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政府预算公开空表情况说明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预算收入表、支出表、</w:t>
      </w:r>
      <w:r>
        <w:rPr>
          <w:rFonts w:hint="eastAsia" w:ascii="仿宋_GB2312" w:hAnsi="仿宋_GB2312" w:eastAsia="仿宋_GB2312" w:cs="仿宋_GB2312"/>
          <w:sz w:val="32"/>
          <w:szCs w:val="32"/>
        </w:rPr>
        <w:t>转移支出表为空表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我区本级无政府性基金收支预算，</w:t>
      </w:r>
      <w:r>
        <w:rPr>
          <w:rFonts w:hint="eastAsia" w:ascii="仿宋_GB2312" w:hAnsi="仿宋_GB2312" w:eastAsia="仿宋_GB2312" w:cs="仿宋_GB2312"/>
          <w:sz w:val="32"/>
          <w:szCs w:val="32"/>
        </w:rPr>
        <w:t>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</w:rPr>
        <w:t>未提前下达政府性基金转移支付资金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，因此未编制政府性基金预算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政府专项债务余额和限额情况表为空表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我区无政府性专项债务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国有资本经营预算收入、支出表，国有资本经营预算转移支付表为空表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我区区</w:t>
      </w:r>
      <w:r>
        <w:rPr>
          <w:rFonts w:hint="eastAsia" w:ascii="仿宋_GB2312" w:hAnsi="仿宋_GB2312" w:eastAsia="仿宋_GB2312" w:cs="仿宋_GB2312"/>
          <w:sz w:val="32"/>
          <w:szCs w:val="32"/>
        </w:rPr>
        <w:t>属国有企业改制后，国有资本已经全部退出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因此未编制国有资本经营收、支预算。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01201"/>
    <w:rsid w:val="47B2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2018-05-23T01:09:40Z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