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spacing w:before="4"/>
        <w:ind w:left="0"/>
        <w:rPr>
          <w:rFonts w:ascii="Times New Roman"/>
          <w:sz w:val="21"/>
        </w:rPr>
      </w:pPr>
    </w:p>
    <w:p>
      <w:pPr>
        <w:jc w:val="center"/>
        <w:rPr>
          <w:rFonts w:ascii="宋体" w:hAnsi="宋体" w:eastAsia="宋体" w:cs="宋体"/>
          <w:b/>
          <w:bCs/>
          <w:sz w:val="44"/>
          <w:szCs w:val="44"/>
        </w:rPr>
      </w:pPr>
      <w:r>
        <w:rPr>
          <w:rFonts w:hint="eastAsia" w:ascii="宋体" w:hAnsi="宋体" w:eastAsia="宋体" w:cs="宋体"/>
          <w:b/>
          <w:bCs/>
          <w:sz w:val="44"/>
          <w:szCs w:val="44"/>
        </w:rPr>
        <w:t>宝鸡市渭滨区</w:t>
      </w:r>
      <w:r>
        <w:rPr>
          <w:rFonts w:hint="eastAsia" w:ascii="宋体" w:hAnsi="宋体" w:eastAsia="宋体" w:cs="宋体"/>
          <w:b/>
          <w:bCs/>
          <w:sz w:val="44"/>
          <w:szCs w:val="44"/>
          <w:lang w:eastAsia="zh-CN"/>
        </w:rPr>
        <w:t>文化和旅游</w:t>
      </w:r>
      <w:r>
        <w:rPr>
          <w:rFonts w:hint="eastAsia" w:ascii="宋体" w:hAnsi="宋体" w:eastAsia="宋体" w:cs="宋体"/>
          <w:b/>
          <w:bCs/>
          <w:sz w:val="44"/>
          <w:szCs w:val="44"/>
        </w:rPr>
        <w:t>局</w:t>
      </w:r>
      <w:r>
        <w:rPr>
          <w:rFonts w:ascii="宋体" w:hAnsi="宋体" w:eastAsia="宋体" w:cs="宋体"/>
          <w:b/>
          <w:bCs/>
          <w:sz w:val="44"/>
          <w:szCs w:val="44"/>
        </w:rPr>
        <w:t>201</w:t>
      </w:r>
      <w:r>
        <w:rPr>
          <w:rFonts w:ascii="宋体" w:hAnsi="宋体" w:eastAsia="宋体" w:cs="宋体"/>
          <w:b/>
          <w:bCs/>
          <w:sz w:val="44"/>
          <w:szCs w:val="44"/>
          <w:lang w:val="en-US"/>
        </w:rPr>
        <w:t>9</w:t>
      </w:r>
      <w:r>
        <w:rPr>
          <w:rFonts w:hint="eastAsia" w:ascii="宋体" w:hAnsi="宋体" w:eastAsia="宋体" w:cs="宋体"/>
          <w:b/>
          <w:bCs/>
          <w:sz w:val="44"/>
          <w:szCs w:val="44"/>
        </w:rPr>
        <w:t>年部门决算说明</w:t>
      </w:r>
    </w:p>
    <w:p>
      <w:pPr>
        <w:spacing w:before="134" w:line="201" w:lineRule="auto"/>
        <w:ind w:left="2650" w:right="2640" w:firstLine="326"/>
        <w:jc w:val="both"/>
        <w:rPr>
          <w:rFonts w:ascii="宋体" w:eastAsia="宋体"/>
          <w:sz w:val="5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3"/>
        <w:ind w:left="0"/>
        <w:rPr>
          <w:rFonts w:ascii="宋体"/>
          <w:sz w:val="62"/>
        </w:rPr>
      </w:pPr>
    </w:p>
    <w:p>
      <w:pPr>
        <w:pStyle w:val="2"/>
        <w:spacing w:before="442"/>
      </w:pPr>
      <w:r>
        <w:rPr>
          <w:rFonts w:hint="eastAsia"/>
        </w:rPr>
        <w:t>保密审查情况：已审查</w:t>
      </w:r>
    </w:p>
    <w:p>
      <w:pPr>
        <w:pStyle w:val="3"/>
        <w:spacing w:before="5"/>
        <w:ind w:left="0"/>
        <w:rPr>
          <w:rFonts w:ascii="宋体"/>
          <w:b/>
          <w:sz w:val="30"/>
        </w:rPr>
      </w:pPr>
    </w:p>
    <w:p>
      <w:pPr>
        <w:ind w:left="2194"/>
        <w:rPr>
          <w:rFonts w:ascii="宋体" w:eastAsia="宋体"/>
          <w:b/>
          <w:sz w:val="32"/>
        </w:rPr>
      </w:pPr>
      <w:r>
        <w:rPr>
          <w:rFonts w:hint="eastAsia" w:ascii="宋体" w:eastAsia="宋体"/>
          <w:b/>
          <w:sz w:val="32"/>
        </w:rPr>
        <w:t>部门主要负责人审签情况：已审签</w:t>
      </w:r>
    </w:p>
    <w:p>
      <w:pPr>
        <w:rPr>
          <w:rFonts w:ascii="宋体" w:eastAsia="宋体"/>
          <w:sz w:val="32"/>
        </w:rPr>
        <w:sectPr>
          <w:headerReference r:id="rId5" w:type="first"/>
          <w:footerReference r:id="rId8" w:type="first"/>
          <w:headerReference r:id="rId3" w:type="default"/>
          <w:footerReference r:id="rId6" w:type="default"/>
          <w:headerReference r:id="rId4" w:type="even"/>
          <w:footerReference r:id="rId7" w:type="even"/>
          <w:type w:val="continuous"/>
          <w:pgSz w:w="11910" w:h="16840"/>
          <w:pgMar w:top="1580" w:right="1480" w:bottom="280" w:left="1360" w:header="720" w:footer="720" w:gutter="0"/>
          <w:cols w:space="720" w:num="1"/>
        </w:sectPr>
      </w:pPr>
    </w:p>
    <w:p>
      <w:pPr>
        <w:tabs>
          <w:tab w:val="left" w:pos="727"/>
        </w:tabs>
        <w:spacing w:before="73"/>
        <w:ind w:left="7"/>
        <w:jc w:val="center"/>
        <w:rPr>
          <w:rFonts w:ascii="黑体" w:eastAsia="黑体"/>
          <w:sz w:val="36"/>
        </w:rPr>
      </w:pPr>
      <w:r>
        <w:rPr>
          <w:rFonts w:hint="eastAsia" w:ascii="黑体" w:eastAsia="黑体"/>
          <w:sz w:val="36"/>
        </w:rPr>
        <w:t>目</w:t>
      </w:r>
      <w:r>
        <w:rPr>
          <w:rFonts w:ascii="黑体" w:eastAsia="黑体"/>
          <w:sz w:val="36"/>
        </w:rPr>
        <w:tab/>
      </w:r>
      <w:r>
        <w:rPr>
          <w:rFonts w:hint="eastAsia" w:ascii="黑体" w:eastAsia="黑体"/>
          <w:sz w:val="36"/>
        </w:rPr>
        <w:t>录</w:t>
      </w:r>
    </w:p>
    <w:p>
      <w:pPr>
        <w:pStyle w:val="3"/>
        <w:tabs>
          <w:tab w:val="left" w:pos="1603"/>
        </w:tabs>
        <w:spacing w:before="176"/>
        <w:ind w:left="4"/>
        <w:jc w:val="center"/>
        <w:rPr>
          <w:rFonts w:ascii="宋体" w:eastAsia="宋体"/>
        </w:rPr>
      </w:pPr>
      <w:r>
        <w:rPr>
          <w:rFonts w:hint="eastAsia" w:ascii="宋体" w:eastAsia="宋体"/>
        </w:rPr>
        <w:t>第一部分</w:t>
      </w:r>
      <w:r>
        <w:rPr>
          <w:rFonts w:ascii="宋体" w:eastAsia="宋体"/>
        </w:rPr>
        <w:tab/>
      </w:r>
      <w:r>
        <w:rPr>
          <w:rFonts w:hint="eastAsia" w:ascii="宋体" w:eastAsia="宋体"/>
        </w:rPr>
        <w:t>部门概况</w:t>
      </w:r>
    </w:p>
    <w:p>
      <w:pPr>
        <w:pStyle w:val="3"/>
        <w:spacing w:before="238" w:line="369" w:lineRule="auto"/>
        <w:ind w:right="4791"/>
      </w:pPr>
      <w:r>
        <w:rPr>
          <w:rFonts w:hint="eastAsia"/>
        </w:rPr>
        <w:t>一、部门主要职责及内设机构二、部门决算单位构成</w:t>
      </w:r>
    </w:p>
    <w:p>
      <w:pPr>
        <w:pStyle w:val="3"/>
        <w:spacing w:line="407" w:lineRule="exact"/>
      </w:pPr>
      <w:r>
        <w:rPr>
          <w:rFonts w:hint="eastAsia"/>
        </w:rPr>
        <w:t>三、部门人员情况</w:t>
      </w:r>
    </w:p>
    <w:p>
      <w:pPr>
        <w:pStyle w:val="3"/>
        <w:tabs>
          <w:tab w:val="left" w:pos="1605"/>
        </w:tabs>
        <w:spacing w:before="202"/>
        <w:ind w:left="4"/>
        <w:jc w:val="center"/>
        <w:rPr>
          <w:rFonts w:ascii="宋体" w:eastAsia="宋体"/>
        </w:rPr>
      </w:pPr>
      <w:r>
        <w:rPr>
          <w:rFonts w:hint="eastAsia" w:ascii="宋体" w:eastAsia="宋体"/>
        </w:rPr>
        <w:t>第二部分</w:t>
      </w:r>
      <w:r>
        <w:rPr>
          <w:rFonts w:ascii="宋体" w:eastAsia="宋体"/>
        </w:rPr>
        <w:tab/>
      </w:r>
      <w:r>
        <w:rPr>
          <w:rFonts w:ascii="宋体" w:eastAsia="宋体"/>
        </w:rPr>
        <w:t>2019</w:t>
      </w:r>
      <w:r>
        <w:rPr>
          <w:rFonts w:ascii="宋体" w:eastAsia="宋体"/>
          <w:spacing w:val="-81"/>
        </w:rPr>
        <w:t xml:space="preserve"> </w:t>
      </w:r>
      <w:r>
        <w:rPr>
          <w:rFonts w:hint="eastAsia" w:ascii="宋体" w:eastAsia="宋体"/>
        </w:rPr>
        <w:t>年部门决算表</w:t>
      </w:r>
    </w:p>
    <w:p>
      <w:pPr>
        <w:pStyle w:val="3"/>
        <w:spacing w:before="238" w:line="369" w:lineRule="auto"/>
        <w:ind w:right="5751"/>
      </w:pPr>
      <w:r>
        <w:rPr>
          <w:rFonts w:hint="eastAsia"/>
          <w:spacing w:val="-2"/>
        </w:rPr>
        <w:t>一、收入支出决算总表</w:t>
      </w:r>
      <w:r>
        <w:rPr>
          <w:rFonts w:hint="eastAsia"/>
        </w:rPr>
        <w:t>二、收入决算总表</w:t>
      </w:r>
    </w:p>
    <w:p>
      <w:pPr>
        <w:pStyle w:val="3"/>
        <w:spacing w:line="407" w:lineRule="exact"/>
      </w:pPr>
      <w:r>
        <w:rPr>
          <w:rFonts w:hint="eastAsia"/>
          <w:w w:val="95"/>
        </w:rPr>
        <w:t>三、支出决算总表</w:t>
      </w:r>
    </w:p>
    <w:p>
      <w:pPr>
        <w:pStyle w:val="3"/>
        <w:spacing w:before="222"/>
      </w:pPr>
      <w:r>
        <w:rPr>
          <w:rFonts w:hint="eastAsia"/>
        </w:rPr>
        <w:t>四、财政拨款收入支出决算总表</w:t>
      </w:r>
    </w:p>
    <w:p>
      <w:pPr>
        <w:pStyle w:val="3"/>
        <w:spacing w:before="218"/>
      </w:pPr>
      <w:r>
        <w:rPr>
          <w:rFonts w:hint="eastAsia"/>
        </w:rPr>
        <w:t>五、一般公共预算财政拨款支出决算表</w:t>
      </w:r>
    </w:p>
    <w:p>
      <w:pPr>
        <w:pStyle w:val="3"/>
        <w:spacing w:before="222"/>
      </w:pPr>
      <w:r>
        <w:rPr>
          <w:rFonts w:hint="eastAsia"/>
        </w:rPr>
        <w:t>六、一般公共预算财政拨款基本支出决算表</w:t>
      </w:r>
    </w:p>
    <w:p>
      <w:pPr>
        <w:pStyle w:val="3"/>
        <w:spacing w:before="218" w:line="369" w:lineRule="auto"/>
        <w:ind w:left="754" w:right="109" w:hanging="641"/>
      </w:pPr>
      <w:r>
        <w:rPr>
          <w:rFonts w:hint="eastAsia"/>
          <w:spacing w:val="-11"/>
          <w:w w:val="95"/>
        </w:rPr>
        <w:t>七、一般公共预算财政拨款“三公”经费及会议费、培训费支出</w:t>
      </w:r>
      <w:r>
        <w:rPr>
          <w:spacing w:val="-11"/>
          <w:w w:val="95"/>
        </w:rPr>
        <w:t xml:space="preserve"> </w:t>
      </w:r>
      <w:r>
        <w:rPr>
          <w:rFonts w:hint="eastAsia"/>
          <w:spacing w:val="-11"/>
        </w:rPr>
        <w:t>决算表</w:t>
      </w:r>
    </w:p>
    <w:p>
      <w:pPr>
        <w:pStyle w:val="3"/>
        <w:spacing w:line="407" w:lineRule="exact"/>
      </w:pPr>
      <w:r>
        <w:rPr>
          <w:rFonts w:hint="eastAsia"/>
        </w:rPr>
        <w:t>八、政府性基金预算财政拨款收入支出决算表</w:t>
      </w:r>
    </w:p>
    <w:p>
      <w:pPr>
        <w:pStyle w:val="3"/>
        <w:tabs>
          <w:tab w:val="left" w:pos="1605"/>
        </w:tabs>
        <w:spacing w:before="202"/>
        <w:ind w:left="4"/>
        <w:jc w:val="center"/>
        <w:rPr>
          <w:rFonts w:ascii="宋体" w:eastAsia="宋体"/>
        </w:rPr>
      </w:pPr>
      <w:r>
        <w:rPr>
          <w:rFonts w:hint="eastAsia" w:ascii="宋体" w:eastAsia="宋体"/>
        </w:rPr>
        <w:t>第三部分</w:t>
      </w:r>
      <w:r>
        <w:rPr>
          <w:rFonts w:ascii="宋体" w:eastAsia="宋体"/>
        </w:rPr>
        <w:tab/>
      </w:r>
      <w:r>
        <w:rPr>
          <w:rFonts w:ascii="宋体" w:eastAsia="宋体"/>
        </w:rPr>
        <w:t>2019</w:t>
      </w:r>
      <w:r>
        <w:rPr>
          <w:rFonts w:ascii="宋体" w:eastAsia="宋体"/>
          <w:spacing w:val="-81"/>
        </w:rPr>
        <w:t xml:space="preserve"> </w:t>
      </w:r>
      <w:r>
        <w:rPr>
          <w:rFonts w:hint="eastAsia" w:ascii="宋体" w:eastAsia="宋体"/>
        </w:rPr>
        <w:t>年部门决算情况说明</w:t>
      </w:r>
    </w:p>
    <w:p>
      <w:pPr>
        <w:pStyle w:val="3"/>
        <w:spacing w:before="238" w:line="369" w:lineRule="auto"/>
        <w:ind w:right="4472"/>
      </w:pPr>
      <w:r>
        <w:rPr>
          <w:rFonts w:hint="eastAsia"/>
          <w:spacing w:val="-1"/>
        </w:rPr>
        <w:t>一、收入支出决算总体情况说明</w:t>
      </w:r>
      <w:r>
        <w:rPr>
          <w:rFonts w:hint="eastAsia"/>
        </w:rPr>
        <w:t>二、收入决算情况说明</w:t>
      </w:r>
    </w:p>
    <w:p>
      <w:pPr>
        <w:pStyle w:val="3"/>
        <w:spacing w:line="407" w:lineRule="exact"/>
      </w:pPr>
      <w:r>
        <w:rPr>
          <w:rFonts w:hint="eastAsia"/>
          <w:w w:val="95"/>
        </w:rPr>
        <w:t>三、支出决算情况说明</w:t>
      </w:r>
    </w:p>
    <w:p>
      <w:pPr>
        <w:pStyle w:val="3"/>
        <w:spacing w:before="222"/>
      </w:pPr>
      <w:r>
        <w:rPr>
          <w:rFonts w:hint="eastAsia"/>
        </w:rPr>
        <w:t>四、财政拨款收入支出决算总体情况说明</w:t>
      </w:r>
    </w:p>
    <w:p>
      <w:pPr>
        <w:pStyle w:val="3"/>
        <w:spacing w:before="218"/>
      </w:pPr>
      <w:r>
        <w:rPr>
          <w:rFonts w:hint="eastAsia"/>
        </w:rPr>
        <w:t>五、一般公共预算财政拨款支出决算情况说明</w:t>
      </w:r>
    </w:p>
    <w:p>
      <w:pPr>
        <w:sectPr>
          <w:pgSz w:w="11910" w:h="16840"/>
          <w:pgMar w:top="1580" w:right="1480" w:bottom="280" w:left="1360" w:header="720" w:footer="720" w:gutter="0"/>
          <w:cols w:space="720" w:num="1"/>
        </w:sectPr>
      </w:pPr>
    </w:p>
    <w:p>
      <w:pPr>
        <w:pStyle w:val="3"/>
        <w:spacing w:before="99"/>
        <w:ind w:left="593"/>
      </w:pPr>
      <w:r>
        <w:rPr>
          <w:rFonts w:hint="eastAsia"/>
          <w:w w:val="95"/>
        </w:rPr>
        <w:t>（一）财政拨款支出决算总体情况说明</w:t>
      </w:r>
    </w:p>
    <w:p>
      <w:pPr>
        <w:pStyle w:val="3"/>
        <w:spacing w:before="221"/>
        <w:ind w:left="593"/>
      </w:pPr>
      <w:r>
        <w:rPr>
          <w:rFonts w:hint="eastAsia"/>
          <w:w w:val="95"/>
        </w:rPr>
        <w:t>（二）财政拨款支出决算具体情况说明</w:t>
      </w:r>
    </w:p>
    <w:p>
      <w:pPr>
        <w:pStyle w:val="3"/>
        <w:spacing w:before="219"/>
      </w:pPr>
      <w:r>
        <w:rPr>
          <w:rFonts w:hint="eastAsia"/>
        </w:rPr>
        <w:t>六、一般公共预算财政拨款基本支出决算情况说明</w:t>
      </w:r>
    </w:p>
    <w:p>
      <w:pPr>
        <w:pStyle w:val="3"/>
        <w:spacing w:before="221" w:line="367" w:lineRule="auto"/>
        <w:ind w:right="109"/>
      </w:pPr>
      <w:r>
        <w:rPr>
          <w:rFonts w:hint="eastAsia"/>
          <w:spacing w:val="-11"/>
          <w:w w:val="95"/>
        </w:rPr>
        <w:t>七、一般公共预算财政拨款“三公”经费及会议费、培训费支出</w:t>
      </w:r>
      <w:r>
        <w:rPr>
          <w:spacing w:val="-11"/>
          <w:w w:val="95"/>
        </w:rPr>
        <w:t xml:space="preserve"> </w:t>
      </w:r>
      <w:r>
        <w:rPr>
          <w:rFonts w:hint="eastAsia"/>
          <w:spacing w:val="-11"/>
        </w:rPr>
        <w:t>决算情况说明</w:t>
      </w:r>
    </w:p>
    <w:p>
      <w:pPr>
        <w:pStyle w:val="3"/>
        <w:spacing w:before="5"/>
        <w:ind w:left="593"/>
      </w:pPr>
      <w:r>
        <w:rPr>
          <w:rFonts w:hint="eastAsia"/>
          <w:w w:val="95"/>
        </w:rPr>
        <w:t>（一）“三公”经费财政拨款支出决算总体情况说明</w:t>
      </w:r>
    </w:p>
    <w:p>
      <w:pPr>
        <w:pStyle w:val="3"/>
        <w:spacing w:before="219"/>
        <w:ind w:left="593"/>
      </w:pPr>
      <w:r>
        <w:rPr>
          <w:rFonts w:hint="eastAsia"/>
          <w:w w:val="95"/>
        </w:rPr>
        <w:t>（二）“三公”经费财政拨款支出决算具体情况说明</w:t>
      </w:r>
    </w:p>
    <w:p>
      <w:pPr>
        <w:pStyle w:val="3"/>
        <w:spacing w:before="221"/>
        <w:ind w:left="593"/>
      </w:pPr>
      <w:r>
        <w:rPr>
          <w:rFonts w:hint="eastAsia"/>
          <w:w w:val="95"/>
        </w:rPr>
        <w:t>（三）培训费支出情况说明</w:t>
      </w:r>
    </w:p>
    <w:p>
      <w:pPr>
        <w:pStyle w:val="3"/>
        <w:spacing w:before="219"/>
        <w:ind w:left="593"/>
      </w:pPr>
      <w:r>
        <w:rPr>
          <w:rFonts w:hint="eastAsia"/>
          <w:w w:val="95"/>
        </w:rPr>
        <w:t>（四）会议费支出情况说明</w:t>
      </w:r>
    </w:p>
    <w:p>
      <w:pPr>
        <w:pStyle w:val="3"/>
        <w:spacing w:before="221" w:line="369" w:lineRule="auto"/>
        <w:ind w:right="2230"/>
      </w:pPr>
      <w:r>
        <w:rPr>
          <w:rFonts w:hint="eastAsia"/>
          <w:spacing w:val="-1"/>
        </w:rPr>
        <w:t>八、政府性基金预算财政拨款收入支出情况说明</w:t>
      </w:r>
      <w:r>
        <w:rPr>
          <w:rFonts w:hint="eastAsia"/>
        </w:rPr>
        <w:t>九、国有资本经营财政拨款收入支出情况说明</w:t>
      </w:r>
      <w:r>
        <w:t xml:space="preserve"> </w:t>
      </w:r>
      <w:r>
        <w:rPr>
          <w:rFonts w:hint="eastAsia"/>
        </w:rPr>
        <w:t>十、预算绩效情况说明</w:t>
      </w:r>
    </w:p>
    <w:p>
      <w:pPr>
        <w:pStyle w:val="3"/>
        <w:spacing w:line="405" w:lineRule="exact"/>
        <w:ind w:left="593"/>
      </w:pPr>
      <w:r>
        <w:rPr>
          <w:rFonts w:hint="eastAsia"/>
        </w:rPr>
        <w:t>（一）预算绩效管理工作开展情况说明</w:t>
      </w:r>
    </w:p>
    <w:p>
      <w:pPr>
        <w:pStyle w:val="3"/>
        <w:spacing w:before="221" w:line="367" w:lineRule="auto"/>
        <w:ind w:left="274" w:right="3351" w:firstLine="319"/>
      </w:pPr>
      <w:r>
        <w:rPr>
          <w:rFonts w:hint="eastAsia"/>
        </w:rPr>
        <w:t>（二）部门决算中项目绩效自评结果十一、其他重要事项说明</w:t>
      </w:r>
    </w:p>
    <w:p>
      <w:pPr>
        <w:pStyle w:val="3"/>
        <w:spacing w:before="6"/>
        <w:ind w:left="593"/>
      </w:pPr>
      <w:r>
        <w:rPr>
          <w:rFonts w:hint="eastAsia"/>
        </w:rPr>
        <w:t>（一）机关运行经费支出情况说明</w:t>
      </w:r>
    </w:p>
    <w:p>
      <w:pPr>
        <w:pStyle w:val="3"/>
        <w:spacing w:before="219"/>
        <w:ind w:left="593"/>
      </w:pPr>
      <w:r>
        <w:rPr>
          <w:rFonts w:hint="eastAsia"/>
        </w:rPr>
        <w:t>（二）政府采购支出情况说明</w:t>
      </w:r>
    </w:p>
    <w:p>
      <w:pPr>
        <w:pStyle w:val="3"/>
        <w:spacing w:before="221"/>
        <w:ind w:left="593"/>
      </w:pPr>
      <w:r>
        <w:rPr>
          <w:rFonts w:hint="eastAsia"/>
        </w:rPr>
        <w:t>（三）国有资产占用及购置情况说明</w:t>
      </w:r>
    </w:p>
    <w:p>
      <w:pPr>
        <w:pStyle w:val="3"/>
        <w:spacing w:before="199"/>
        <w:ind w:left="7"/>
        <w:jc w:val="center"/>
        <w:rPr>
          <w:rFonts w:ascii="宋体" w:eastAsia="宋体"/>
        </w:rPr>
      </w:pPr>
      <w:r>
        <w:rPr>
          <w:rFonts w:hint="eastAsia" w:ascii="宋体" w:eastAsia="宋体"/>
        </w:rPr>
        <w:t>第四部分</w:t>
      </w:r>
      <w:r>
        <w:rPr>
          <w:rFonts w:ascii="宋体" w:eastAsia="宋体"/>
        </w:rPr>
        <w:t xml:space="preserve"> </w:t>
      </w:r>
      <w:r>
        <w:rPr>
          <w:rFonts w:hint="eastAsia" w:ascii="宋体" w:eastAsia="宋体"/>
        </w:rPr>
        <w:t>专业名词解释</w:t>
      </w:r>
    </w:p>
    <w:p>
      <w:pPr>
        <w:jc w:val="center"/>
        <w:rPr>
          <w:rFonts w:ascii="宋体" w:eastAsia="宋体"/>
        </w:rPr>
        <w:sectPr>
          <w:pgSz w:w="11910" w:h="16840"/>
          <w:pgMar w:top="1580" w:right="1480" w:bottom="280" w:left="1360" w:header="720" w:footer="720" w:gutter="0"/>
          <w:cols w:space="720" w:num="1"/>
        </w:sectPr>
      </w:pPr>
    </w:p>
    <w:p>
      <w:pPr>
        <w:spacing w:before="22"/>
        <w:ind w:left="2"/>
        <w:jc w:val="center"/>
        <w:rPr>
          <w:rFonts w:ascii="黑体" w:eastAsia="黑体"/>
          <w:sz w:val="44"/>
        </w:rPr>
      </w:pPr>
      <w:r>
        <w:rPr>
          <w:rFonts w:hint="eastAsia" w:ascii="黑体" w:eastAsia="黑体"/>
          <w:sz w:val="44"/>
        </w:rPr>
        <w:t>第一部分</w:t>
      </w:r>
      <w:r>
        <w:rPr>
          <w:rFonts w:ascii="黑体" w:eastAsia="黑体"/>
          <w:sz w:val="44"/>
        </w:rPr>
        <w:t xml:space="preserve"> </w:t>
      </w:r>
      <w:r>
        <w:rPr>
          <w:rFonts w:hint="eastAsia" w:ascii="黑体" w:eastAsia="黑体"/>
          <w:sz w:val="44"/>
        </w:rPr>
        <w:t>部门概况</w:t>
      </w:r>
    </w:p>
    <w:p>
      <w:pPr>
        <w:pStyle w:val="3"/>
        <w:spacing w:before="144"/>
        <w:ind w:left="754"/>
        <w:rPr>
          <w:rFonts w:ascii="黑体" w:eastAsia="黑体"/>
        </w:rPr>
      </w:pPr>
      <w:r>
        <w:rPr>
          <w:rFonts w:hint="eastAsia" w:ascii="黑体" w:eastAsia="黑体"/>
        </w:rPr>
        <w:t>一、部门主要职责及内设机构</w:t>
      </w:r>
    </w:p>
    <w:p>
      <w:pPr>
        <w:pStyle w:val="2"/>
        <w:spacing w:before="219"/>
        <w:ind w:left="754"/>
        <w:rPr>
          <w:rFonts w:hint="eastAsia" w:ascii="仿宋" w:hAnsi="仿宋" w:eastAsia="仿宋" w:cs="仿宋"/>
          <w:sz w:val="32"/>
          <w:szCs w:val="32"/>
        </w:rPr>
      </w:pPr>
      <w:r>
        <w:rPr>
          <w:rFonts w:hint="eastAsia" w:ascii="仿宋" w:hAnsi="仿宋" w:eastAsia="仿宋" w:cs="仿宋"/>
          <w:sz w:val="32"/>
          <w:szCs w:val="32"/>
        </w:rPr>
        <w:t>（一）主要职责</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(一)贯彻落实国家、省、市关于文化、广播电影电视、新闻出版、文物、旅游、无线电管理工作的方针政策和法律法规,并监督执行。</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(二)研究拟定全区文化艺术、文物旅游、广播影视、新闻出版、无线电事业发展规划并组织实施。</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(三)组织推进全区文化、广电领域公共服务体系建设，指导和加强基层文化、广电工作。组织指导群众性文化活动的开展;管理全区性重大文化艺术、广播影视活动。</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(四)负责全区文物保护工作。审核、申报区级以上重点文物保护单位；审核、申报我区重点文物的保护、考古发掘等项目。负责全区文物的管理、保护、发掘、利用等业务工作。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五)负责全区旅游市场开发工作。充分发挥文物资源优势,负责招商引资和旅游市场开发,做大做强全区旅游产业;研究制定旅游市场开发战略、组织全区旅游整体形象的对外宣传和重大推广活动;组织指导重要旅游产品的开发、包装和营销工作;协调指导全区假日旅游工作;负责渭滨区文物旅游统计分析和信息上报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（六）指导辖区旅游景区(点)的规划和开发建设工作,负责区级重点旅游项目的开发建设;组织指导2A以下旅游景区(点)质量等级划分和审核、申报工作。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（七）拟订全区非物质文化遗产保护规划,组织实施非物质文化遗产保护、优秀民族文化和地域文化的传承普及和挖掘整理工作。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八）负责全区文化广电、文物旅游市场的监督管理。加强文化广电、文物旅游、无线电的综合执法，检查指导全区文物旅游安全，依法组织查处破坏文物的违法行为;加强文化市场监管，负责全区出版物市场管理和“扫黄打非”工作,组织查处非法出版物和非法出版活动;对文化、新闻出版经营活动进行经营许可和行业监管,对从事广播影视制作、演艺、出版活动的民办机构和无线电使用进行监管;负责全区旅游安全的综合协调和监督管理,组织实施旅游应急救援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九)负责监管全区广播电视节目的传输播出监测工作,保障广播电视节目安全播出;负责对广播电视设备经营市场进行监管；负责全区广播电影电视、企事业单位广播电视站、信息网络视听节目服务机构和业务的监管,对其宣传、发展、传输覆盖等重大事项进行指导、协调和管理。</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（十）负责建立城市社区有线电视系统审批；负责电影放映单位设立、变更业务范围或者兼并、合并、分立审批工作；负责全区电影发行、放映以及音像制品管理工作。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(十一)负责指导文物旅游资源调查、学术科研和相关保护工作。组织文物旅游资源普查和相关保护工作;负责流散文物的征集、文物档案资料收集及整理上报工作。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(十二)加强人才建设，依法对文化广电、文物旅游从业人员实施管理，指导全区文物旅游行业精神文明建设和诚信体系建设。</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(十三)组织开展文化广电、文物旅游、新闻出版、无线电领域宣传、交流与合作工作。</w:t>
      </w:r>
    </w:p>
    <w:p>
      <w:pPr>
        <w:pStyle w:val="6"/>
        <w:keepNext w:val="0"/>
        <w:keepLines w:val="0"/>
        <w:widowControl/>
        <w:suppressLineNumbers w:val="0"/>
        <w:spacing w:before="90" w:beforeAutospacing="0" w:after="316" w:afterAutospacing="0" w:line="450" w:lineRule="atLeast"/>
        <w:ind w:left="0" w:right="0" w:firstLine="420"/>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(十四)承办区政府交办的其它事项。</w:t>
      </w:r>
    </w:p>
    <w:p>
      <w:pPr>
        <w:widowControl/>
        <w:numPr>
          <w:ilvl w:val="0"/>
          <w:numId w:val="1"/>
        </w:numPr>
        <w:spacing w:line="370" w:lineRule="auto"/>
        <w:ind w:firstLine="778" w:firstLineChars="250"/>
        <w:rPr>
          <w:rFonts w:ascii="楷体" w:hAnsi="楷体" w:eastAsia="楷体" w:cs="楷体"/>
          <w:b/>
          <w:color w:val="000000"/>
          <w:sz w:val="31"/>
          <w:szCs w:val="31"/>
          <w:lang w:val="en-US"/>
        </w:rPr>
      </w:pPr>
      <w:r>
        <w:rPr>
          <w:rFonts w:hint="eastAsia" w:ascii="楷体" w:hAnsi="楷体" w:eastAsia="楷体" w:cs="楷体"/>
          <w:b/>
          <w:color w:val="000000"/>
          <w:sz w:val="31"/>
          <w:szCs w:val="31"/>
          <w:lang w:val="en-US"/>
        </w:rPr>
        <w:t>内设机构</w:t>
      </w:r>
    </w:p>
    <w:p>
      <w:pPr>
        <w:pStyle w:val="6"/>
        <w:keepNext w:val="0"/>
        <w:keepLines w:val="0"/>
        <w:widowControl/>
        <w:suppressLineNumbers w:val="0"/>
        <w:shd w:val="clear" w:fill="FFFFFF"/>
        <w:spacing w:before="136" w:beforeAutospacing="0" w:after="226" w:afterAutospacing="0" w:line="555" w:lineRule="atLeast"/>
        <w:ind w:left="0" w:right="0" w:firstLine="735"/>
        <w:jc w:val="left"/>
        <w:rPr>
          <w:rFonts w:hint="eastAsia" w:ascii="宋体" w:hAnsi="宋体" w:eastAsia="宋体" w:cs="宋体"/>
          <w:sz w:val="24"/>
          <w:szCs w:val="24"/>
        </w:rPr>
      </w:pPr>
      <w:r>
        <w:rPr>
          <w:rFonts w:hint="default" w:ascii="仿宋_GB2312" w:hAnsi="宋体" w:eastAsia="仿宋_GB2312" w:cs="仿宋_GB2312"/>
          <w:b w:val="0"/>
          <w:color w:val="333333"/>
          <w:sz w:val="34"/>
          <w:szCs w:val="34"/>
          <w:shd w:val="clear" w:fill="FFFFFF"/>
        </w:rPr>
        <w:t>渭滨区</w:t>
      </w:r>
      <w:r>
        <w:rPr>
          <w:rFonts w:hint="eastAsia" w:ascii="仿宋_GB2312" w:hAnsi="宋体" w:eastAsia="仿宋_GB2312" w:cs="仿宋_GB2312"/>
          <w:b w:val="0"/>
          <w:color w:val="333333"/>
          <w:sz w:val="34"/>
          <w:szCs w:val="34"/>
          <w:shd w:val="clear" w:fill="FFFFFF"/>
          <w:lang w:eastAsia="zh-CN"/>
        </w:rPr>
        <w:t>文化和旅游</w:t>
      </w:r>
      <w:r>
        <w:rPr>
          <w:rFonts w:hint="default" w:ascii="仿宋_GB2312" w:hAnsi="宋体" w:eastAsia="仿宋_GB2312" w:cs="仿宋_GB2312"/>
          <w:b w:val="0"/>
          <w:color w:val="333333"/>
          <w:sz w:val="34"/>
          <w:szCs w:val="34"/>
          <w:shd w:val="clear" w:fill="FFFFFF"/>
        </w:rPr>
        <w:t>局内设办公室、文化股、广电股、文物旅游股、4个业务股室，下设</w:t>
      </w:r>
      <w:r>
        <w:rPr>
          <w:rFonts w:hint="eastAsia" w:ascii="仿宋_GB2312" w:hAnsi="宋体" w:eastAsia="仿宋_GB2312" w:cs="仿宋_GB2312"/>
          <w:b w:val="0"/>
          <w:color w:val="333333"/>
          <w:sz w:val="34"/>
          <w:szCs w:val="34"/>
          <w:shd w:val="clear" w:fill="FFFFFF"/>
          <w:lang w:val="en-US" w:eastAsia="zh-CN"/>
        </w:rPr>
        <w:t>4</w:t>
      </w:r>
      <w:r>
        <w:rPr>
          <w:rFonts w:hint="default" w:ascii="仿宋_GB2312" w:hAnsi="宋体" w:eastAsia="仿宋_GB2312" w:cs="仿宋_GB2312"/>
          <w:b w:val="0"/>
          <w:color w:val="333333"/>
          <w:sz w:val="34"/>
          <w:szCs w:val="34"/>
          <w:shd w:val="clear" w:fill="FFFFFF"/>
        </w:rPr>
        <w:t>个事业单位分别是文化馆、图书馆、博物馆、文化稽查大队。本单位为一级预算管理单位，经费管理使用财政集中支付方式。</w:t>
      </w:r>
    </w:p>
    <w:p>
      <w:pPr>
        <w:spacing w:line="370" w:lineRule="auto"/>
        <w:ind w:firstLine="640"/>
        <w:rPr>
          <w:rFonts w:ascii="黑体" w:hAnsi="黑体" w:eastAsia="黑体" w:cs="黑体"/>
          <w:sz w:val="32"/>
          <w:szCs w:val="32"/>
        </w:rPr>
      </w:pPr>
      <w:r>
        <w:rPr>
          <w:rFonts w:hint="eastAsia" w:ascii="黑体" w:hAnsi="黑体" w:eastAsia="黑体" w:cs="黑体"/>
          <w:sz w:val="32"/>
          <w:szCs w:val="32"/>
        </w:rPr>
        <w:t>二、部门决算单位构成</w:t>
      </w:r>
    </w:p>
    <w:p>
      <w:pPr>
        <w:spacing w:line="370" w:lineRule="auto"/>
        <w:ind w:firstLine="640"/>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纳入本部门</w:t>
      </w:r>
      <w:r>
        <w:rPr>
          <w:rFonts w:ascii="仿宋_GB2312" w:hAnsi="仿宋_GB2312" w:eastAsia="仿宋_GB2312" w:cs="仿宋_GB2312"/>
          <w:sz w:val="32"/>
          <w:szCs w:val="32"/>
          <w:lang w:val="en-US"/>
        </w:rPr>
        <w:t>2019</w:t>
      </w:r>
      <w:r>
        <w:rPr>
          <w:rFonts w:hint="eastAsia" w:ascii="仿宋_GB2312" w:hAnsi="仿宋_GB2312" w:eastAsia="仿宋_GB2312" w:cs="仿宋_GB2312"/>
          <w:sz w:val="32"/>
          <w:szCs w:val="32"/>
          <w:lang w:val="en-US"/>
        </w:rPr>
        <w:t>年部门决算编制范围的单位共</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个，包括本级（机关）预算单位：</w:t>
      </w:r>
    </w:p>
    <w:tbl>
      <w:tblPr>
        <w:tblStyle w:val="7"/>
        <w:tblW w:w="9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7597" w:type="dxa"/>
          </w:tcPr>
          <w:p>
            <w:pPr>
              <w:spacing w:line="370" w:lineRule="auto"/>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1</w:t>
            </w:r>
          </w:p>
        </w:tc>
        <w:tc>
          <w:tcPr>
            <w:tcW w:w="7597" w:type="dxa"/>
          </w:tcPr>
          <w:p>
            <w:pPr>
              <w:spacing w:line="370" w:lineRule="auto"/>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宝鸡市渭滨区城区统一建设局部门本级（机关）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p>
        </w:tc>
        <w:tc>
          <w:tcPr>
            <w:tcW w:w="7597" w:type="dxa"/>
          </w:tcPr>
          <w:p>
            <w:pPr>
              <w:spacing w:line="370" w:lineRule="auto"/>
              <w:jc w:val="both"/>
              <w:rPr>
                <w:rFonts w:hint="eastAsia" w:ascii="仿宋_GB2312" w:hAnsi="仿宋_GB2312" w:eastAsia="仿宋_GB2312" w:cs="仿宋_GB2312"/>
                <w:sz w:val="32"/>
                <w:szCs w:val="32"/>
                <w:lang w:val="en-US"/>
              </w:rPr>
            </w:pPr>
            <w:r>
              <w:rPr>
                <w:rFonts w:hint="eastAsia" w:ascii="宋体" w:hAnsi="宋体" w:eastAsia="宋体" w:cs="宋体"/>
                <w:b w:val="0"/>
                <w:color w:val="333333"/>
                <w:sz w:val="30"/>
                <w:szCs w:val="30"/>
              </w:rPr>
              <w:t>宝鸡市渭滨文化馆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p>
        </w:tc>
        <w:tc>
          <w:tcPr>
            <w:tcW w:w="7597" w:type="dxa"/>
          </w:tcPr>
          <w:p>
            <w:pPr>
              <w:spacing w:line="370" w:lineRule="auto"/>
              <w:jc w:val="both"/>
              <w:rPr>
                <w:rFonts w:hint="eastAsia" w:ascii="仿宋_GB2312" w:hAnsi="仿宋_GB2312" w:eastAsia="仿宋_GB2312" w:cs="仿宋_GB2312"/>
                <w:sz w:val="32"/>
                <w:szCs w:val="32"/>
                <w:lang w:val="en-US"/>
              </w:rPr>
            </w:pPr>
            <w:r>
              <w:rPr>
                <w:rFonts w:hint="eastAsia" w:ascii="宋体" w:hAnsi="宋体" w:eastAsia="宋体" w:cs="宋体"/>
                <w:b w:val="0"/>
                <w:color w:val="333333"/>
                <w:sz w:val="30"/>
                <w:szCs w:val="30"/>
              </w:rPr>
              <w:t>宝鸡市渭滨图书馆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p>
        </w:tc>
        <w:tc>
          <w:tcPr>
            <w:tcW w:w="7597" w:type="dxa"/>
          </w:tcPr>
          <w:p>
            <w:pPr>
              <w:spacing w:line="370" w:lineRule="auto"/>
              <w:jc w:val="both"/>
              <w:rPr>
                <w:rFonts w:hint="eastAsia" w:ascii="仿宋_GB2312" w:hAnsi="仿宋_GB2312" w:eastAsia="仿宋_GB2312" w:cs="仿宋_GB2312"/>
                <w:sz w:val="32"/>
                <w:szCs w:val="32"/>
                <w:lang w:val="en-US"/>
              </w:rPr>
            </w:pPr>
            <w:r>
              <w:rPr>
                <w:rFonts w:hint="eastAsia" w:ascii="宋体" w:hAnsi="宋体" w:eastAsia="宋体" w:cs="宋体"/>
                <w:b w:val="0"/>
                <w:color w:val="333333"/>
                <w:sz w:val="30"/>
                <w:szCs w:val="30"/>
              </w:rPr>
              <w:t>宝鸡市渭滨博物馆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9" w:type="dxa"/>
          </w:tcPr>
          <w:p>
            <w:pPr>
              <w:spacing w:line="370" w:lineRule="auto"/>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597" w:type="dxa"/>
          </w:tcPr>
          <w:p>
            <w:pPr>
              <w:spacing w:line="370" w:lineRule="auto"/>
              <w:jc w:val="both"/>
              <w:rPr>
                <w:rFonts w:hint="eastAsia" w:ascii="仿宋_GB2312" w:hAnsi="仿宋_GB2312" w:eastAsia="仿宋_GB2312" w:cs="仿宋_GB2312"/>
                <w:sz w:val="32"/>
                <w:szCs w:val="32"/>
                <w:lang w:val="en-US"/>
              </w:rPr>
            </w:pPr>
            <w:r>
              <w:rPr>
                <w:rFonts w:hint="eastAsia" w:ascii="宋体" w:hAnsi="宋体" w:eastAsia="宋体" w:cs="宋体"/>
                <w:b w:val="0"/>
                <w:color w:val="333333"/>
                <w:sz w:val="30"/>
                <w:szCs w:val="30"/>
              </w:rPr>
              <w:t>宝鸡市渭滨区文化广电执法大队</w:t>
            </w:r>
          </w:p>
        </w:tc>
      </w:tr>
    </w:tbl>
    <w:p>
      <w:pPr>
        <w:spacing w:line="370" w:lineRule="auto"/>
      </w:pPr>
    </w:p>
    <w:p>
      <w:pPr>
        <w:spacing w:line="370" w:lineRule="auto"/>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三、部门人员情况说明</w:t>
      </w:r>
    </w:p>
    <w:p>
      <w:pPr>
        <w:pStyle w:val="6"/>
        <w:keepNext w:val="0"/>
        <w:keepLines w:val="0"/>
        <w:widowControl/>
        <w:suppressLineNumbers w:val="0"/>
        <w:shd w:val="clear" w:fill="FFFFFF"/>
        <w:spacing w:before="136" w:beforeAutospacing="0" w:after="226" w:afterAutospacing="0" w:line="555" w:lineRule="atLeast"/>
        <w:ind w:left="0" w:right="0" w:firstLine="735"/>
        <w:jc w:val="left"/>
        <w:rPr>
          <w:rFonts w:hint="eastAsia" w:ascii="仿宋" w:hAnsi="仿宋" w:eastAsia="仿宋" w:cs="仿宋"/>
          <w:sz w:val="32"/>
          <w:szCs w:val="32"/>
        </w:rPr>
      </w:pPr>
      <w:r>
        <w:rPr>
          <w:rFonts w:hint="eastAsia" w:ascii="仿宋" w:hAnsi="仿宋" w:eastAsia="仿宋" w:cs="仿宋"/>
          <w:b w:val="0"/>
          <w:color w:val="333333"/>
          <w:sz w:val="32"/>
          <w:szCs w:val="32"/>
          <w:shd w:val="clear" w:fill="FFFFFF"/>
        </w:rPr>
        <w:t>截止201</w:t>
      </w:r>
      <w:r>
        <w:rPr>
          <w:rFonts w:hint="eastAsia" w:ascii="仿宋" w:hAnsi="仿宋" w:eastAsia="仿宋" w:cs="仿宋"/>
          <w:b w:val="0"/>
          <w:color w:val="333333"/>
          <w:sz w:val="32"/>
          <w:szCs w:val="32"/>
          <w:shd w:val="clear" w:fill="FFFFFF"/>
          <w:lang w:val="en-US" w:eastAsia="zh-CN"/>
        </w:rPr>
        <w:t>9</w:t>
      </w:r>
      <w:r>
        <w:rPr>
          <w:rFonts w:hint="eastAsia" w:ascii="仿宋" w:hAnsi="仿宋" w:eastAsia="仿宋" w:cs="仿宋"/>
          <w:b w:val="0"/>
          <w:color w:val="333333"/>
          <w:sz w:val="32"/>
          <w:szCs w:val="32"/>
          <w:shd w:val="clear" w:fill="FFFFFF"/>
        </w:rPr>
        <w:t>年底，本部门人员编制</w:t>
      </w:r>
      <w:r>
        <w:rPr>
          <w:rFonts w:hint="eastAsia" w:cs="仿宋"/>
          <w:b w:val="0"/>
          <w:color w:val="333333"/>
          <w:sz w:val="32"/>
          <w:szCs w:val="32"/>
          <w:shd w:val="clear" w:fill="FFFFFF"/>
          <w:lang w:val="en-US" w:eastAsia="zh-CN"/>
        </w:rPr>
        <w:t>37</w:t>
      </w:r>
      <w:r>
        <w:rPr>
          <w:rFonts w:hint="eastAsia" w:ascii="仿宋" w:hAnsi="仿宋" w:eastAsia="仿宋" w:cs="仿宋"/>
          <w:b w:val="0"/>
          <w:color w:val="333333"/>
          <w:sz w:val="32"/>
          <w:szCs w:val="32"/>
          <w:shd w:val="clear" w:fill="FFFFFF"/>
        </w:rPr>
        <w:t>人，其中行政编制</w:t>
      </w:r>
      <w:r>
        <w:rPr>
          <w:rFonts w:hint="eastAsia" w:cs="仿宋"/>
          <w:b w:val="0"/>
          <w:color w:val="333333"/>
          <w:sz w:val="32"/>
          <w:szCs w:val="32"/>
          <w:shd w:val="clear" w:fill="FFFFFF"/>
          <w:lang w:val="en-US" w:eastAsia="zh-CN"/>
        </w:rPr>
        <w:t>7</w:t>
      </w:r>
      <w:r>
        <w:rPr>
          <w:rFonts w:hint="eastAsia" w:ascii="仿宋" w:hAnsi="仿宋" w:eastAsia="仿宋" w:cs="仿宋"/>
          <w:b w:val="0"/>
          <w:color w:val="333333"/>
          <w:sz w:val="32"/>
          <w:szCs w:val="32"/>
          <w:shd w:val="clear" w:fill="FFFFFF"/>
        </w:rPr>
        <w:t>人；实有人员1</w:t>
      </w:r>
      <w:r>
        <w:rPr>
          <w:rFonts w:hint="eastAsia" w:cs="仿宋"/>
          <w:b w:val="0"/>
          <w:color w:val="333333"/>
          <w:sz w:val="32"/>
          <w:szCs w:val="32"/>
          <w:shd w:val="clear" w:fill="FFFFFF"/>
          <w:lang w:val="en-US" w:eastAsia="zh-CN"/>
        </w:rPr>
        <w:t>2</w:t>
      </w:r>
      <w:r>
        <w:rPr>
          <w:rFonts w:hint="eastAsia" w:ascii="仿宋" w:hAnsi="仿宋" w:eastAsia="仿宋" w:cs="仿宋"/>
          <w:b w:val="0"/>
          <w:color w:val="333333"/>
          <w:sz w:val="32"/>
          <w:szCs w:val="32"/>
          <w:shd w:val="clear" w:fill="FFFFFF"/>
        </w:rPr>
        <w:t>人，事业单位实有人员</w:t>
      </w:r>
      <w:r>
        <w:rPr>
          <w:rFonts w:hint="eastAsia" w:cs="仿宋"/>
          <w:b w:val="0"/>
          <w:color w:val="333333"/>
          <w:sz w:val="32"/>
          <w:szCs w:val="32"/>
          <w:shd w:val="clear" w:fill="FFFFFF"/>
          <w:lang w:val="en-US" w:eastAsia="zh-CN"/>
        </w:rPr>
        <w:t>25</w:t>
      </w:r>
      <w:r>
        <w:rPr>
          <w:rFonts w:hint="eastAsia" w:ascii="仿宋" w:hAnsi="仿宋" w:eastAsia="仿宋" w:cs="仿宋"/>
          <w:b w:val="0"/>
          <w:color w:val="333333"/>
          <w:sz w:val="32"/>
          <w:szCs w:val="32"/>
          <w:shd w:val="clear" w:fill="FFFFFF"/>
        </w:rPr>
        <w:t>人，单位管理的退休人员19人，劳务派遣2人。</w:t>
      </w:r>
    </w:p>
    <w:p>
      <w:pPr>
        <w:pStyle w:val="18"/>
        <w:tabs>
          <w:tab w:val="left" w:pos="1235"/>
        </w:tabs>
        <w:spacing w:line="364" w:lineRule="auto"/>
        <w:ind w:left="0" w:firstLine="960" w:firstLineChars="30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pict>
          <v:shape id="_x0000_i1025" o:spt="75" alt="0c23feb313ae2fc1804fa994892ac89" type="#_x0000_t75" style="height:331.5pt;width:437.25pt;" filled="f" o:preferrelative="t" stroked="f" coordsize="21600,21600">
            <v:path/>
            <v:fill on="f" focussize="0,0"/>
            <v:stroke on="f" joinstyle="miter"/>
            <v:imagedata r:id="rId10" o:title=""/>
            <o:lock v:ext="edit" aspectratio="t"/>
            <w10:wrap type="none"/>
            <w10:anchorlock/>
          </v:shape>
        </w:pict>
      </w:r>
    </w:p>
    <w:p>
      <w:pPr>
        <w:widowControl/>
        <w:numPr>
          <w:ilvl w:val="0"/>
          <w:numId w:val="2"/>
        </w:numPr>
        <w:jc w:val="center"/>
        <w:rPr>
          <w:rFonts w:ascii="黑体" w:hAnsi="宋体" w:eastAsia="黑体" w:cs="黑体"/>
          <w:color w:val="000000"/>
          <w:sz w:val="43"/>
          <w:szCs w:val="43"/>
          <w:lang w:val="en-US"/>
        </w:rPr>
      </w:pPr>
      <w:r>
        <w:rPr>
          <w:rFonts w:ascii="黑体" w:hAnsi="宋体" w:eastAsia="黑体" w:cs="黑体"/>
          <w:color w:val="000000"/>
          <w:sz w:val="43"/>
          <w:szCs w:val="43"/>
          <w:lang w:val="en-US"/>
        </w:rPr>
        <w:t xml:space="preserve">2019 </w:t>
      </w:r>
      <w:r>
        <w:rPr>
          <w:rFonts w:hint="eastAsia" w:ascii="黑体" w:hAnsi="宋体" w:eastAsia="黑体" w:cs="黑体"/>
          <w:color w:val="000000"/>
          <w:sz w:val="43"/>
          <w:szCs w:val="43"/>
          <w:lang w:val="en-US"/>
        </w:rPr>
        <w:t>年度部门决算表</w:t>
      </w:r>
    </w:p>
    <w:p>
      <w:pPr>
        <w:widowControl/>
        <w:rPr>
          <w:rFonts w:ascii="黑体" w:hAnsi="宋体" w:eastAsia="黑体" w:cs="黑体"/>
          <w:color w:val="000000"/>
          <w:sz w:val="43"/>
          <w:szCs w:val="43"/>
          <w:lang w:val="en-US"/>
        </w:rPr>
      </w:pPr>
    </w:p>
    <w:tbl>
      <w:tblPr>
        <w:tblStyle w:val="7"/>
        <w:tblW w:w="8818" w:type="dxa"/>
        <w:tblInd w:w="0" w:type="dxa"/>
        <w:tblLayout w:type="fixed"/>
        <w:tblCellMar>
          <w:top w:w="0" w:type="dxa"/>
          <w:left w:w="0" w:type="dxa"/>
          <w:bottom w:w="0" w:type="dxa"/>
          <w:right w:w="0" w:type="dxa"/>
        </w:tblCellMar>
      </w:tblPr>
      <w:tblGrid>
        <w:gridCol w:w="794"/>
        <w:gridCol w:w="4880"/>
        <w:gridCol w:w="1174"/>
        <w:gridCol w:w="1970"/>
      </w:tblGrid>
      <w:tr>
        <w:tblPrEx>
          <w:tblCellMar>
            <w:top w:w="0" w:type="dxa"/>
            <w:left w:w="0" w:type="dxa"/>
            <w:bottom w:w="0" w:type="dxa"/>
            <w:right w:w="0" w:type="dxa"/>
          </w:tblCellMar>
        </w:tblPrEx>
        <w:trPr>
          <w:trHeight w:val="53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序号</w:t>
            </w:r>
          </w:p>
        </w:tc>
        <w:tc>
          <w:tcPr>
            <w:tcW w:w="488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内容</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是否空表</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黑体" w:hAnsi="宋体" w:eastAsia="黑体" w:cs="黑体"/>
                <w:color w:val="000000"/>
                <w:sz w:val="24"/>
                <w:szCs w:val="24"/>
              </w:rPr>
            </w:pPr>
            <w:r>
              <w:rPr>
                <w:rFonts w:hint="eastAsia" w:ascii="黑体" w:hAnsi="宋体" w:eastAsia="黑体" w:cs="黑体"/>
                <w:color w:val="000000"/>
                <w:sz w:val="24"/>
                <w:szCs w:val="24"/>
                <w:lang w:val="en-US"/>
              </w:rPr>
              <w:t>表格为空的理由</w:t>
            </w:r>
          </w:p>
        </w:tc>
      </w:tr>
      <w:tr>
        <w:tblPrEx>
          <w:tblCellMar>
            <w:top w:w="0" w:type="dxa"/>
            <w:left w:w="0" w:type="dxa"/>
            <w:bottom w:w="0" w:type="dxa"/>
            <w:right w:w="0" w:type="dxa"/>
          </w:tblCellMar>
        </w:tblPrEx>
        <w:trPr>
          <w:trHeight w:val="53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1</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收入支出决算总表</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53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2</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收入决算总表</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53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3</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支出决算总表</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53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4</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财政拨款收入支出决算总表</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78"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5</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一般公共预算财政拨款支出决算表（按功能分类科目）</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78"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6</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一般公共预算财政拨款基本支出决算表（按经济分类科目）</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否</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r>
        <w:tblPrEx>
          <w:tblCellMar>
            <w:top w:w="0" w:type="dxa"/>
            <w:left w:w="0" w:type="dxa"/>
            <w:bottom w:w="0" w:type="dxa"/>
            <w:right w:w="0" w:type="dxa"/>
          </w:tblCellMar>
        </w:tblPrEx>
        <w:trPr>
          <w:trHeight w:val="878" w:hRule="atLeast"/>
        </w:trPr>
        <w:tc>
          <w:tcPr>
            <w:tcW w:w="79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7</w:t>
            </w:r>
          </w:p>
        </w:tc>
        <w:tc>
          <w:tcPr>
            <w:tcW w:w="4880"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一般公共决预算财政拨款“三公”经费及会议费、培训费支出决算表</w:t>
            </w:r>
          </w:p>
        </w:tc>
        <w:tc>
          <w:tcPr>
            <w:tcW w:w="1174"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是</w:t>
            </w:r>
          </w:p>
        </w:tc>
        <w:tc>
          <w:tcPr>
            <w:tcW w:w="197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不涉及</w:t>
            </w:r>
          </w:p>
        </w:tc>
      </w:tr>
      <w:tr>
        <w:tblPrEx>
          <w:tblCellMar>
            <w:top w:w="0" w:type="dxa"/>
            <w:left w:w="0" w:type="dxa"/>
            <w:bottom w:w="0" w:type="dxa"/>
            <w:right w:w="0" w:type="dxa"/>
          </w:tblCellMar>
        </w:tblPrEx>
        <w:trPr>
          <w:trHeight w:val="542" w:hRule="atLeast"/>
        </w:trPr>
        <w:tc>
          <w:tcPr>
            <w:tcW w:w="79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表</w:t>
            </w:r>
            <w:r>
              <w:rPr>
                <w:rFonts w:ascii="宋体" w:hAnsi="宋体" w:eastAsia="宋体" w:cs="宋体"/>
                <w:color w:val="000000"/>
                <w:sz w:val="24"/>
                <w:szCs w:val="24"/>
                <w:lang w:val="en-US"/>
              </w:rPr>
              <w:t>8</w:t>
            </w:r>
          </w:p>
        </w:tc>
        <w:tc>
          <w:tcPr>
            <w:tcW w:w="48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4"/>
                <w:szCs w:val="24"/>
              </w:rPr>
            </w:pPr>
            <w:r>
              <w:rPr>
                <w:rFonts w:hint="eastAsia" w:ascii="宋体" w:hAnsi="宋体" w:eastAsia="宋体" w:cs="宋体"/>
                <w:color w:val="000000"/>
                <w:sz w:val="24"/>
                <w:szCs w:val="24"/>
                <w:lang w:val="en-US"/>
              </w:rPr>
              <w:t>政府性基金预算财政拨款收入支出决算表</w:t>
            </w:r>
          </w:p>
        </w:tc>
        <w:tc>
          <w:tcPr>
            <w:tcW w:w="11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是</w:t>
            </w:r>
          </w:p>
        </w:tc>
        <w:tc>
          <w:tcPr>
            <w:tcW w:w="1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4"/>
                <w:szCs w:val="24"/>
              </w:rPr>
            </w:pPr>
          </w:p>
        </w:tc>
      </w:tr>
    </w:tbl>
    <w:p>
      <w:pPr>
        <w:pStyle w:val="18"/>
        <w:tabs>
          <w:tab w:val="left" w:pos="1235"/>
        </w:tabs>
        <w:spacing w:line="364" w:lineRule="auto"/>
        <w:ind w:left="753" w:firstLine="0"/>
        <w:rPr>
          <w:sz w:val="32"/>
        </w:rPr>
      </w:pPr>
    </w:p>
    <w:p>
      <w:pPr>
        <w:pStyle w:val="18"/>
        <w:tabs>
          <w:tab w:val="left" w:pos="1235"/>
        </w:tabs>
        <w:spacing w:line="364" w:lineRule="auto"/>
        <w:ind w:left="0" w:firstLine="0"/>
        <w:jc w:val="center"/>
        <w:rPr>
          <w:b/>
          <w:bCs/>
          <w:sz w:val="40"/>
          <w:szCs w:val="40"/>
        </w:rPr>
      </w:pPr>
      <w:r>
        <w:rPr>
          <w:rFonts w:hint="eastAsia"/>
          <w:b/>
          <w:bCs/>
          <w:sz w:val="36"/>
          <w:szCs w:val="36"/>
        </w:rPr>
        <w:t>收入支出决算总表</w:t>
      </w:r>
    </w:p>
    <w:p>
      <w:pPr>
        <w:pStyle w:val="18"/>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01</w:t>
      </w:r>
      <w:r>
        <w:rPr>
          <w:rFonts w:hint="eastAsia"/>
          <w:b/>
          <w:bCs/>
          <w:sz w:val="20"/>
          <w:szCs w:val="20"/>
          <w:lang w:val="en-US"/>
        </w:rPr>
        <w:t>表</w:t>
      </w:r>
    </w:p>
    <w:p>
      <w:pPr>
        <w:pStyle w:val="18"/>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540" w:type="dxa"/>
        <w:tblInd w:w="0" w:type="dxa"/>
        <w:tblLayout w:type="fixed"/>
        <w:tblCellMar>
          <w:top w:w="0" w:type="dxa"/>
          <w:left w:w="0" w:type="dxa"/>
          <w:bottom w:w="0" w:type="dxa"/>
          <w:right w:w="0" w:type="dxa"/>
        </w:tblCellMar>
      </w:tblPr>
      <w:tblGrid>
        <w:gridCol w:w="3285"/>
        <w:gridCol w:w="1410"/>
        <w:gridCol w:w="3319"/>
        <w:gridCol w:w="1526"/>
      </w:tblGrid>
      <w:tr>
        <w:tblPrEx>
          <w:tblCellMar>
            <w:top w:w="0" w:type="dxa"/>
            <w:left w:w="0" w:type="dxa"/>
            <w:bottom w:w="0" w:type="dxa"/>
            <w:right w:w="0" w:type="dxa"/>
          </w:tblCellMar>
        </w:tblPrEx>
        <w:trPr>
          <w:trHeight w:val="540" w:hRule="atLeast"/>
        </w:trPr>
        <w:tc>
          <w:tcPr>
            <w:tcW w:w="469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收</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入</w:t>
            </w:r>
          </w:p>
        </w:tc>
        <w:tc>
          <w:tcPr>
            <w:tcW w:w="484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支</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出</w:t>
            </w:r>
          </w:p>
        </w:tc>
      </w:tr>
      <w:tr>
        <w:tblPrEx>
          <w:tblCellMar>
            <w:top w:w="0" w:type="dxa"/>
            <w:left w:w="0" w:type="dxa"/>
            <w:bottom w:w="0" w:type="dxa"/>
            <w:right w:w="0" w:type="dxa"/>
          </w:tblCellMar>
        </w:tblPrEx>
        <w:trPr>
          <w:trHeight w:val="48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目</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1</w:t>
            </w:r>
            <w:r>
              <w:rPr>
                <w:rFonts w:hint="eastAsia" w:ascii="宋体" w:hAnsi="宋体" w:eastAsia="宋体" w:cs="宋体"/>
                <w:color w:val="000000"/>
                <w:sz w:val="20"/>
                <w:szCs w:val="20"/>
                <w:lang w:val="en-US"/>
              </w:rPr>
              <w:t>、一般公共预算财政拨款收入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default" w:ascii="宋体" w:hAnsi="宋体" w:eastAsia="宋体" w:cs="宋体"/>
                <w:color w:val="000000"/>
                <w:sz w:val="18"/>
                <w:szCs w:val="18"/>
                <w:lang w:val="en-US" w:eastAsia="zh-CN"/>
              </w:rPr>
            </w:pPr>
            <w:r>
              <w:rPr>
                <w:rFonts w:hint="default" w:ascii="宋体" w:hAnsi="宋体" w:eastAsia="宋体" w:cs="宋体"/>
                <w:color w:val="000000"/>
                <w:sz w:val="18"/>
                <w:szCs w:val="18"/>
                <w:lang w:val="en-US" w:eastAsia="zh-CN"/>
              </w:rPr>
              <w:t>999.29</w:t>
            </w: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w:t>
            </w:r>
            <w:r>
              <w:rPr>
                <w:rFonts w:hint="eastAsia" w:ascii="宋体" w:hAnsi="宋体" w:eastAsia="宋体" w:cs="宋体"/>
                <w:color w:val="000000"/>
                <w:sz w:val="20"/>
                <w:szCs w:val="20"/>
                <w:lang w:val="en-US"/>
              </w:rPr>
              <w:t>、一般公共服务支出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2</w:t>
            </w:r>
            <w:r>
              <w:rPr>
                <w:rFonts w:hint="eastAsia" w:ascii="宋体" w:hAnsi="宋体" w:eastAsia="宋体" w:cs="宋体"/>
                <w:color w:val="000000"/>
                <w:sz w:val="20"/>
                <w:szCs w:val="20"/>
                <w:lang w:val="en-US"/>
              </w:rPr>
              <w:t>、政府性基金预算财政拨款收入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w:t>
            </w:r>
            <w:r>
              <w:rPr>
                <w:rFonts w:hint="eastAsia" w:ascii="宋体" w:hAnsi="宋体" w:eastAsia="宋体" w:cs="宋体"/>
                <w:color w:val="000000"/>
                <w:sz w:val="20"/>
                <w:szCs w:val="20"/>
                <w:lang w:val="en-US"/>
              </w:rPr>
              <w:t>、外交支出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3</w:t>
            </w:r>
            <w:r>
              <w:rPr>
                <w:rFonts w:hint="eastAsia" w:ascii="宋体" w:hAnsi="宋体" w:eastAsia="宋体" w:cs="宋体"/>
                <w:color w:val="000000"/>
                <w:sz w:val="20"/>
                <w:szCs w:val="20"/>
                <w:lang w:val="en-US"/>
              </w:rPr>
              <w:t>、上级补助收入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3</w:t>
            </w:r>
            <w:r>
              <w:rPr>
                <w:rFonts w:hint="eastAsia" w:ascii="宋体" w:hAnsi="宋体" w:eastAsia="宋体" w:cs="宋体"/>
                <w:color w:val="000000"/>
                <w:sz w:val="20"/>
                <w:szCs w:val="20"/>
                <w:lang w:val="en-US"/>
              </w:rPr>
              <w:t>、国防支出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4</w:t>
            </w:r>
            <w:r>
              <w:rPr>
                <w:rFonts w:hint="eastAsia" w:ascii="宋体" w:hAnsi="宋体" w:eastAsia="宋体" w:cs="宋体"/>
                <w:color w:val="000000"/>
                <w:sz w:val="20"/>
                <w:szCs w:val="20"/>
                <w:lang w:val="en-US"/>
              </w:rPr>
              <w:t>、事业收入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4</w:t>
            </w:r>
            <w:r>
              <w:rPr>
                <w:rFonts w:hint="eastAsia" w:ascii="宋体" w:hAnsi="宋体" w:eastAsia="宋体" w:cs="宋体"/>
                <w:color w:val="000000"/>
                <w:sz w:val="20"/>
                <w:szCs w:val="20"/>
                <w:lang w:val="en-US"/>
              </w:rPr>
              <w:t>、公共安全支出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5</w:t>
            </w:r>
            <w:r>
              <w:rPr>
                <w:rFonts w:hint="eastAsia" w:ascii="宋体" w:hAnsi="宋体" w:eastAsia="宋体" w:cs="宋体"/>
                <w:color w:val="000000"/>
                <w:sz w:val="20"/>
                <w:szCs w:val="20"/>
                <w:lang w:val="en-US"/>
              </w:rPr>
              <w:t>、经营收入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5</w:t>
            </w:r>
            <w:r>
              <w:rPr>
                <w:rFonts w:hint="eastAsia" w:ascii="宋体" w:hAnsi="宋体" w:eastAsia="宋体" w:cs="宋体"/>
                <w:color w:val="000000"/>
                <w:sz w:val="20"/>
                <w:szCs w:val="20"/>
                <w:lang w:val="en-US"/>
              </w:rPr>
              <w:t>、教育支出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6</w:t>
            </w:r>
            <w:r>
              <w:rPr>
                <w:rFonts w:hint="eastAsia" w:ascii="宋体" w:hAnsi="宋体" w:eastAsia="宋体" w:cs="宋体"/>
                <w:color w:val="000000"/>
                <w:sz w:val="20"/>
                <w:szCs w:val="20"/>
                <w:lang w:val="en-US"/>
              </w:rPr>
              <w:t>、附属单位上缴收入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6</w:t>
            </w:r>
            <w:r>
              <w:rPr>
                <w:rFonts w:hint="eastAsia" w:ascii="宋体" w:hAnsi="宋体" w:eastAsia="宋体" w:cs="宋体"/>
                <w:color w:val="000000"/>
                <w:sz w:val="20"/>
                <w:szCs w:val="20"/>
                <w:lang w:val="en-US"/>
              </w:rPr>
              <w:t>、科学技术支出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7</w:t>
            </w:r>
            <w:r>
              <w:rPr>
                <w:rFonts w:hint="eastAsia" w:ascii="宋体" w:hAnsi="宋体" w:eastAsia="宋体" w:cs="宋体"/>
                <w:color w:val="000000"/>
                <w:sz w:val="20"/>
                <w:szCs w:val="20"/>
                <w:lang w:val="en-US"/>
              </w:rPr>
              <w:t>、其他收入</w:t>
            </w: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7</w:t>
            </w:r>
            <w:r>
              <w:rPr>
                <w:rFonts w:hint="eastAsia" w:ascii="宋体" w:hAnsi="宋体" w:eastAsia="宋体" w:cs="宋体"/>
                <w:color w:val="000000"/>
                <w:sz w:val="20"/>
                <w:szCs w:val="20"/>
                <w:lang w:val="en-US"/>
              </w:rPr>
              <w:t>、文化体育与传媒支出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r>
              <w:rPr>
                <w:rFonts w:hint="eastAsia" w:ascii="宋体" w:hAnsi="宋体" w:eastAsia="宋体" w:cs="宋体"/>
                <w:color w:val="000000"/>
                <w:sz w:val="18"/>
                <w:szCs w:val="18"/>
              </w:rPr>
              <w:t>965.13</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8</w:t>
            </w:r>
            <w:r>
              <w:rPr>
                <w:rFonts w:hint="eastAsia" w:ascii="宋体" w:hAnsi="宋体" w:eastAsia="宋体" w:cs="宋体"/>
                <w:color w:val="000000"/>
                <w:sz w:val="20"/>
                <w:szCs w:val="20"/>
                <w:lang w:val="en-US"/>
              </w:rPr>
              <w:t>、社会保障和就业支出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r>
              <w:rPr>
                <w:rFonts w:hint="eastAsia" w:ascii="宋体" w:hAnsi="宋体" w:eastAsia="宋体" w:cs="宋体"/>
                <w:color w:val="000000"/>
                <w:sz w:val="18"/>
                <w:szCs w:val="18"/>
                <w:lang w:val="en-US"/>
              </w:rPr>
              <w:t>51.34</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9</w:t>
            </w:r>
            <w:r>
              <w:rPr>
                <w:rFonts w:hint="eastAsia" w:ascii="宋体" w:hAnsi="宋体" w:eastAsia="宋体" w:cs="宋体"/>
                <w:color w:val="000000"/>
                <w:sz w:val="20"/>
                <w:szCs w:val="20"/>
                <w:lang w:val="en-US"/>
              </w:rPr>
              <w:t>、医疗卫生与计划生育支出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r>
              <w:rPr>
                <w:rFonts w:hint="eastAsia" w:ascii="宋体" w:hAnsi="宋体" w:eastAsia="宋体" w:cs="宋体"/>
                <w:color w:val="000000"/>
                <w:sz w:val="18"/>
                <w:szCs w:val="18"/>
                <w:lang w:val="en-US"/>
              </w:rPr>
              <w:t>22.24</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10</w:t>
            </w:r>
            <w:r>
              <w:rPr>
                <w:rFonts w:hint="eastAsia" w:ascii="宋体" w:hAnsi="宋体" w:eastAsia="宋体" w:cs="宋体"/>
                <w:color w:val="000000"/>
                <w:sz w:val="20"/>
                <w:szCs w:val="20"/>
                <w:lang w:val="en-US"/>
              </w:rPr>
              <w:t>、节能环保支出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11</w:t>
            </w:r>
            <w:r>
              <w:rPr>
                <w:rFonts w:hint="eastAsia" w:ascii="宋体" w:hAnsi="宋体" w:eastAsia="宋体" w:cs="宋体"/>
                <w:color w:val="000000"/>
                <w:sz w:val="20"/>
                <w:szCs w:val="20"/>
                <w:lang w:val="en-US"/>
              </w:rPr>
              <w:t>、城乡社区支出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12</w:t>
            </w:r>
            <w:r>
              <w:rPr>
                <w:rFonts w:hint="eastAsia" w:ascii="宋体" w:hAnsi="宋体" w:eastAsia="宋体" w:cs="宋体"/>
                <w:color w:val="000000"/>
                <w:sz w:val="20"/>
                <w:szCs w:val="20"/>
                <w:lang w:val="en-US"/>
              </w:rPr>
              <w:t>、农林水支出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tbl>
            <w:tblPr>
              <w:tblStyle w:val="7"/>
              <w:tblW w:w="9540" w:type="dxa"/>
              <w:tblInd w:w="0" w:type="dxa"/>
              <w:tblLayout w:type="fixed"/>
              <w:tblCellMar>
                <w:top w:w="0" w:type="dxa"/>
                <w:left w:w="0" w:type="dxa"/>
                <w:bottom w:w="0" w:type="dxa"/>
                <w:right w:w="0" w:type="dxa"/>
              </w:tblCellMar>
            </w:tblPr>
            <w:tblGrid>
              <w:gridCol w:w="1526"/>
            </w:tblGrid>
            <w:tr>
              <w:tblPrEx>
                <w:tblCellMar>
                  <w:top w:w="0" w:type="dxa"/>
                  <w:left w:w="0" w:type="dxa"/>
                  <w:bottom w:w="0" w:type="dxa"/>
                  <w:right w:w="0" w:type="dxa"/>
                </w:tblCellMar>
              </w:tblPrEx>
              <w:trPr>
                <w:trHeight w:val="300" w:hRule="atLeast"/>
              </w:trPr>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r>
                    <w:rPr>
                      <w:rFonts w:hint="eastAsia" w:ascii="宋体" w:hAnsi="宋体" w:eastAsia="宋体" w:cs="宋体"/>
                      <w:color w:val="000000"/>
                      <w:sz w:val="18"/>
                      <w:szCs w:val="18"/>
                      <w:lang w:val="en-US"/>
                    </w:rPr>
                    <w:t>64.50</w:t>
                  </w:r>
                </w:p>
              </w:tc>
            </w:tr>
          </w:tbl>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13</w:t>
            </w:r>
            <w:r>
              <w:rPr>
                <w:rFonts w:hint="eastAsia" w:ascii="宋体" w:hAnsi="宋体" w:eastAsia="宋体" w:cs="宋体"/>
                <w:color w:val="000000"/>
                <w:sz w:val="20"/>
                <w:szCs w:val="20"/>
                <w:lang w:val="en-US"/>
              </w:rPr>
              <w:t>、交通运输支出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14</w:t>
            </w:r>
            <w:r>
              <w:rPr>
                <w:rFonts w:hint="eastAsia" w:ascii="宋体" w:hAnsi="宋体" w:eastAsia="宋体" w:cs="宋体"/>
                <w:color w:val="000000"/>
                <w:sz w:val="20"/>
                <w:szCs w:val="20"/>
                <w:lang w:val="en-US"/>
              </w:rPr>
              <w:t>、资源勘探信息等支出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15</w:t>
            </w:r>
            <w:r>
              <w:rPr>
                <w:rFonts w:hint="eastAsia" w:ascii="宋体" w:hAnsi="宋体" w:eastAsia="宋体" w:cs="宋体"/>
                <w:color w:val="000000"/>
                <w:sz w:val="20"/>
                <w:szCs w:val="20"/>
                <w:lang w:val="en-US"/>
              </w:rPr>
              <w:t>、商业服务业等支出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16</w:t>
            </w:r>
            <w:r>
              <w:rPr>
                <w:rFonts w:hint="eastAsia" w:ascii="宋体" w:hAnsi="宋体" w:eastAsia="宋体" w:cs="宋体"/>
                <w:color w:val="000000"/>
                <w:sz w:val="20"/>
                <w:szCs w:val="20"/>
                <w:lang w:val="en-US"/>
              </w:rPr>
              <w:t>、金融支出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17</w:t>
            </w:r>
            <w:r>
              <w:rPr>
                <w:rFonts w:hint="eastAsia" w:ascii="宋体" w:hAnsi="宋体" w:eastAsia="宋体" w:cs="宋体"/>
                <w:color w:val="000000"/>
                <w:sz w:val="20"/>
                <w:szCs w:val="20"/>
                <w:lang w:val="en-US"/>
              </w:rPr>
              <w:t>、援助其他地区支出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18</w:t>
            </w:r>
            <w:r>
              <w:rPr>
                <w:rFonts w:hint="eastAsia" w:ascii="宋体" w:hAnsi="宋体" w:eastAsia="宋体" w:cs="宋体"/>
                <w:color w:val="000000"/>
                <w:sz w:val="20"/>
                <w:szCs w:val="20"/>
                <w:lang w:val="en-US"/>
              </w:rPr>
              <w:t>、国土海洋气象等支出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19</w:t>
            </w:r>
            <w:r>
              <w:rPr>
                <w:rFonts w:hint="eastAsia" w:ascii="宋体" w:hAnsi="宋体" w:eastAsia="宋体" w:cs="宋体"/>
                <w:color w:val="000000"/>
                <w:sz w:val="20"/>
                <w:szCs w:val="20"/>
                <w:lang w:val="en-US"/>
              </w:rPr>
              <w:t>、住房保障支出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20</w:t>
            </w:r>
            <w:r>
              <w:rPr>
                <w:rFonts w:hint="eastAsia" w:ascii="宋体" w:hAnsi="宋体" w:eastAsia="宋体" w:cs="宋体"/>
                <w:color w:val="000000"/>
                <w:sz w:val="20"/>
                <w:szCs w:val="20"/>
                <w:lang w:val="en-US"/>
              </w:rPr>
              <w:t>、粮油物资储备支出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21</w:t>
            </w:r>
            <w:r>
              <w:rPr>
                <w:rFonts w:hint="eastAsia" w:ascii="宋体" w:hAnsi="宋体" w:eastAsia="宋体" w:cs="宋体"/>
                <w:color w:val="000000"/>
                <w:sz w:val="20"/>
                <w:szCs w:val="20"/>
                <w:lang w:val="en-US"/>
              </w:rPr>
              <w:t>、灾害防治及应急管理支出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22</w:t>
            </w:r>
            <w:r>
              <w:rPr>
                <w:rFonts w:hint="eastAsia" w:ascii="宋体" w:hAnsi="宋体" w:eastAsia="宋体" w:cs="宋体"/>
                <w:color w:val="000000"/>
                <w:sz w:val="20"/>
                <w:szCs w:val="20"/>
                <w:lang w:val="en-US"/>
              </w:rPr>
              <w:t>、其他支出</w:t>
            </w: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52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本年收入合计</w:t>
            </w:r>
          </w:p>
        </w:tc>
        <w:tc>
          <w:tcPr>
            <w:tcW w:w="1410"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999.29</w:t>
            </w:r>
          </w:p>
        </w:tc>
        <w:tc>
          <w:tcPr>
            <w:tcW w:w="3319"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本年支出合计</w:t>
            </w:r>
          </w:p>
        </w:tc>
        <w:tc>
          <w:tcPr>
            <w:tcW w:w="1526"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1,103.21</w:t>
            </w:r>
          </w:p>
        </w:tc>
      </w:tr>
      <w:tr>
        <w:tblPrEx>
          <w:tblCellMar>
            <w:top w:w="0" w:type="dxa"/>
            <w:left w:w="0" w:type="dxa"/>
            <w:bottom w:w="0" w:type="dxa"/>
            <w:right w:w="0" w:type="dxa"/>
          </w:tblCellMar>
        </w:tblPrEx>
        <w:trPr>
          <w:trHeight w:val="390" w:hRule="atLeast"/>
        </w:trPr>
        <w:tc>
          <w:tcPr>
            <w:tcW w:w="328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用事业基金弥补收支差额</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ascii="宋体" w:hAnsi="宋体" w:eastAsia="宋体" w:cs="宋体"/>
                <w:b/>
                <w:color w:val="000000"/>
                <w:sz w:val="18"/>
                <w:szCs w:val="18"/>
                <w:lang w:val="en-US"/>
              </w:rPr>
              <w:t xml:space="preserve">           </w:t>
            </w:r>
            <w:r>
              <w:rPr>
                <w:rFonts w:hint="eastAsia" w:ascii="宋体" w:hAnsi="宋体" w:eastAsia="宋体" w:cs="宋体"/>
                <w:b/>
                <w:color w:val="000000"/>
                <w:sz w:val="18"/>
                <w:szCs w:val="18"/>
                <w:lang w:val="en-US"/>
              </w:rPr>
              <w:t>结余分配</w:t>
            </w:r>
            <w:r>
              <w:rPr>
                <w:rFonts w:ascii="宋体" w:hAnsi="宋体" w:eastAsia="宋体" w:cs="宋体"/>
                <w:b/>
                <w:color w:val="000000"/>
                <w:sz w:val="18"/>
                <w:szCs w:val="18"/>
                <w:lang w:val="en-US"/>
              </w:rPr>
              <w:t xml:space="preserve"> </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jc w:val="center"/>
              <w:textAlignment w:val="center"/>
              <w:rPr>
                <w:rFonts w:ascii="宋体" w:hAnsi="宋体" w:eastAsia="宋体" w:cs="宋体"/>
                <w:b/>
                <w:color w:val="000000"/>
                <w:sz w:val="18"/>
                <w:szCs w:val="18"/>
                <w:lang w:val="en-US"/>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ascii="宋体" w:hAnsi="宋体" w:eastAsia="宋体" w:cs="宋体"/>
                <w:b/>
                <w:color w:val="000000"/>
                <w:sz w:val="18"/>
                <w:szCs w:val="18"/>
                <w:lang w:val="en-US"/>
              </w:rPr>
              <w:t xml:space="preserve">       </w:t>
            </w:r>
            <w:r>
              <w:rPr>
                <w:rFonts w:hint="eastAsia" w:ascii="宋体" w:hAnsi="宋体" w:eastAsia="宋体" w:cs="宋体"/>
                <w:b/>
                <w:color w:val="000000"/>
                <w:sz w:val="18"/>
                <w:szCs w:val="18"/>
                <w:lang w:val="en-US"/>
              </w:rPr>
              <w:t>年初结转和结余</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346.15</w:t>
            </w: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ascii="宋体" w:hAnsi="宋体" w:eastAsia="宋体" w:cs="宋体"/>
                <w:b/>
                <w:color w:val="000000"/>
                <w:sz w:val="18"/>
                <w:szCs w:val="18"/>
                <w:lang w:val="en-US"/>
              </w:rPr>
              <w:t xml:space="preserve">            </w:t>
            </w:r>
            <w:r>
              <w:rPr>
                <w:rFonts w:hint="eastAsia" w:ascii="宋体" w:hAnsi="宋体" w:eastAsia="宋体" w:cs="宋体"/>
                <w:b/>
                <w:color w:val="000000"/>
                <w:sz w:val="18"/>
                <w:szCs w:val="18"/>
                <w:lang w:val="en-US"/>
              </w:rPr>
              <w:t>年末结转和结余</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242.23</w:t>
            </w: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p>
        </w:tc>
      </w:tr>
      <w:tr>
        <w:tblPrEx>
          <w:tblCellMar>
            <w:top w:w="0" w:type="dxa"/>
            <w:left w:w="0" w:type="dxa"/>
            <w:bottom w:w="0" w:type="dxa"/>
            <w:right w:w="0" w:type="dxa"/>
          </w:tblCellMar>
        </w:tblPrEx>
        <w:trPr>
          <w:trHeight w:val="300" w:hRule="atLeast"/>
        </w:trPr>
        <w:tc>
          <w:tcPr>
            <w:tcW w:w="32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收入总计</w:t>
            </w:r>
          </w:p>
        </w:tc>
        <w:tc>
          <w:tcPr>
            <w:tcW w:w="14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1,345.44</w:t>
            </w:r>
          </w:p>
        </w:tc>
        <w:tc>
          <w:tcPr>
            <w:tcW w:w="33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支出总计</w:t>
            </w:r>
          </w:p>
        </w:tc>
        <w:tc>
          <w:tcPr>
            <w:tcW w:w="15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1,345.44</w:t>
            </w:r>
          </w:p>
        </w:tc>
      </w:tr>
      <w:tr>
        <w:tblPrEx>
          <w:tblCellMar>
            <w:top w:w="0" w:type="dxa"/>
            <w:left w:w="0" w:type="dxa"/>
            <w:bottom w:w="0" w:type="dxa"/>
            <w:right w:w="0" w:type="dxa"/>
          </w:tblCellMar>
        </w:tblPrEx>
        <w:trPr>
          <w:trHeight w:val="405" w:hRule="atLeast"/>
        </w:trPr>
        <w:tc>
          <w:tcPr>
            <w:tcW w:w="9540" w:type="dxa"/>
            <w:gridSpan w:val="4"/>
            <w:tcBorders>
              <w:top w:val="nil"/>
              <w:left w:val="nil"/>
              <w:bottom w:val="nil"/>
              <w:right w:val="nil"/>
            </w:tcBorders>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注：本表反映部门本年度的总收支和年末结转结余情况</w:t>
            </w:r>
            <w:r>
              <w:rPr>
                <w:rFonts w:ascii="宋体" w:hAnsi="宋体" w:eastAsia="宋体" w:cs="宋体"/>
                <w:color w:val="000000"/>
                <w:sz w:val="20"/>
                <w:szCs w:val="20"/>
                <w:lang w:val="en-US"/>
              </w:rPr>
              <w:t>;</w:t>
            </w:r>
            <w:r>
              <w:rPr>
                <w:rFonts w:hint="eastAsia" w:ascii="宋体" w:hAnsi="宋体" w:eastAsia="宋体" w:cs="宋体"/>
                <w:color w:val="000000"/>
                <w:sz w:val="20"/>
                <w:szCs w:val="20"/>
                <w:lang w:val="en-US"/>
              </w:rPr>
              <w:t>报表存在尾数差异因四舍五入造成，可以忽略不计。</w:t>
            </w:r>
          </w:p>
        </w:tc>
      </w:tr>
    </w:tbl>
    <w:p>
      <w:pPr>
        <w:pStyle w:val="18"/>
        <w:tabs>
          <w:tab w:val="left" w:pos="1235"/>
        </w:tabs>
        <w:spacing w:line="364" w:lineRule="auto"/>
        <w:ind w:left="0" w:firstLine="0"/>
        <w:jc w:val="center"/>
        <w:rPr>
          <w:sz w:val="24"/>
          <w:szCs w:val="24"/>
          <w:lang w:val="en-US"/>
        </w:rPr>
      </w:pPr>
    </w:p>
    <w:p>
      <w:pPr>
        <w:pStyle w:val="18"/>
        <w:tabs>
          <w:tab w:val="left" w:pos="1235"/>
        </w:tabs>
        <w:spacing w:line="364" w:lineRule="auto"/>
        <w:ind w:left="0" w:firstLine="0"/>
        <w:jc w:val="center"/>
        <w:rPr>
          <w:b/>
          <w:bCs/>
          <w:sz w:val="36"/>
          <w:szCs w:val="36"/>
          <w:lang w:val="en-US"/>
        </w:rPr>
      </w:pPr>
    </w:p>
    <w:p>
      <w:pPr>
        <w:pStyle w:val="18"/>
        <w:tabs>
          <w:tab w:val="left" w:pos="1235"/>
        </w:tabs>
        <w:spacing w:line="364" w:lineRule="auto"/>
        <w:ind w:left="0" w:firstLine="0"/>
        <w:jc w:val="center"/>
        <w:rPr>
          <w:b/>
          <w:bCs/>
          <w:sz w:val="36"/>
          <w:szCs w:val="36"/>
          <w:lang w:val="en-US"/>
        </w:rPr>
      </w:pPr>
    </w:p>
    <w:p>
      <w:pPr>
        <w:pStyle w:val="18"/>
        <w:tabs>
          <w:tab w:val="left" w:pos="1235"/>
        </w:tabs>
        <w:spacing w:line="364" w:lineRule="auto"/>
        <w:ind w:left="0" w:firstLine="0"/>
        <w:jc w:val="center"/>
        <w:rPr>
          <w:b/>
          <w:bCs/>
          <w:sz w:val="36"/>
          <w:szCs w:val="36"/>
          <w:lang w:val="en-US"/>
        </w:rPr>
      </w:pPr>
    </w:p>
    <w:p>
      <w:pPr>
        <w:pStyle w:val="18"/>
        <w:tabs>
          <w:tab w:val="left" w:pos="1235"/>
        </w:tabs>
        <w:spacing w:line="364" w:lineRule="auto"/>
        <w:ind w:left="0" w:firstLine="0"/>
        <w:jc w:val="center"/>
        <w:rPr>
          <w:b/>
          <w:bCs/>
          <w:sz w:val="36"/>
          <w:szCs w:val="36"/>
        </w:rPr>
      </w:pPr>
      <w:r>
        <w:rPr>
          <w:rFonts w:hint="eastAsia"/>
          <w:b/>
          <w:bCs/>
          <w:sz w:val="36"/>
          <w:szCs w:val="36"/>
          <w:lang w:val="en-US"/>
        </w:rPr>
        <w:t>收入决算表</w:t>
      </w:r>
    </w:p>
    <w:p>
      <w:pPr>
        <w:pStyle w:val="18"/>
        <w:tabs>
          <w:tab w:val="left" w:pos="1235"/>
        </w:tabs>
        <w:spacing w:line="200" w:lineRule="exact"/>
        <w:ind w:left="0" w:right="108" w:firstLine="0"/>
        <w:jc w:val="center"/>
        <w:rPr>
          <w:b/>
          <w:bCs/>
          <w:sz w:val="20"/>
          <w:szCs w:val="20"/>
          <w:lang w:val="en-US"/>
        </w:rPr>
      </w:pPr>
      <w:r>
        <w:rPr>
          <w:sz w:val="32"/>
          <w:lang w:val="en-US"/>
        </w:rPr>
        <w:t xml:space="preserve">                                              </w:t>
      </w:r>
      <w:r>
        <w:rPr>
          <w:sz w:val="24"/>
          <w:szCs w:val="24"/>
          <w:lang w:val="en-US"/>
        </w:rPr>
        <w:t xml:space="preserve">   </w:t>
      </w:r>
      <w:r>
        <w:rPr>
          <w:b/>
          <w:bCs/>
          <w:sz w:val="24"/>
          <w:szCs w:val="24"/>
          <w:lang w:val="en-US"/>
        </w:rPr>
        <w:t xml:space="preserve">  </w:t>
      </w:r>
      <w:r>
        <w:rPr>
          <w:rFonts w:hint="eastAsia"/>
          <w:b/>
          <w:bCs/>
          <w:sz w:val="20"/>
          <w:szCs w:val="20"/>
        </w:rPr>
        <w:t>公开</w:t>
      </w:r>
      <w:r>
        <w:rPr>
          <w:b/>
          <w:bCs/>
          <w:sz w:val="20"/>
          <w:szCs w:val="20"/>
          <w:lang w:val="en-US"/>
        </w:rPr>
        <w:t>02</w:t>
      </w:r>
      <w:r>
        <w:rPr>
          <w:rFonts w:hint="eastAsia"/>
          <w:b/>
          <w:bCs/>
          <w:sz w:val="20"/>
          <w:szCs w:val="20"/>
          <w:lang w:val="en-US"/>
        </w:rPr>
        <w:t>表</w:t>
      </w:r>
    </w:p>
    <w:p>
      <w:pPr>
        <w:pStyle w:val="18"/>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rPr>
        <w:t>宝鸡市渭滨区</w:t>
      </w:r>
      <w:r>
        <w:rPr>
          <w:rFonts w:hint="eastAsia"/>
          <w:b/>
          <w:bCs/>
          <w:sz w:val="20"/>
          <w:szCs w:val="20"/>
          <w:lang w:val="en-US" w:eastAsia="zh-CN"/>
        </w:rPr>
        <w:t>文化旅游</w:t>
      </w:r>
      <w:r>
        <w:rPr>
          <w:rFonts w:hint="eastAsia"/>
          <w:b/>
          <w:bCs/>
          <w:sz w:val="20"/>
          <w:szCs w:val="20"/>
          <w:lang w:val="en-US"/>
        </w:rPr>
        <w:t>局</w:t>
      </w:r>
      <w:r>
        <w:rPr>
          <w:b/>
          <w:bCs/>
          <w:sz w:val="20"/>
          <w:szCs w:val="20"/>
          <w:lang w:val="en-US"/>
        </w:rPr>
        <w:t xml:space="preserve">                                        </w:t>
      </w:r>
      <w:r>
        <w:rPr>
          <w:rFonts w:hint="eastAsia"/>
          <w:b/>
          <w:bCs/>
          <w:sz w:val="20"/>
          <w:szCs w:val="20"/>
          <w:lang w:val="en-US"/>
        </w:rPr>
        <w:t>单位：万元</w:t>
      </w:r>
    </w:p>
    <w:tbl>
      <w:tblPr>
        <w:tblStyle w:val="7"/>
        <w:tblW w:w="8902" w:type="dxa"/>
        <w:tblInd w:w="0" w:type="dxa"/>
        <w:tblLayout w:type="fixed"/>
        <w:tblCellMar>
          <w:top w:w="0" w:type="dxa"/>
          <w:left w:w="0" w:type="dxa"/>
          <w:bottom w:w="0" w:type="dxa"/>
          <w:right w:w="0" w:type="dxa"/>
        </w:tblCellMar>
      </w:tblPr>
      <w:tblGrid>
        <w:gridCol w:w="838"/>
        <w:gridCol w:w="1127"/>
        <w:gridCol w:w="930"/>
        <w:gridCol w:w="1207"/>
        <w:gridCol w:w="735"/>
        <w:gridCol w:w="720"/>
        <w:gridCol w:w="1095"/>
        <w:gridCol w:w="690"/>
        <w:gridCol w:w="668"/>
        <w:gridCol w:w="892"/>
      </w:tblGrid>
      <w:tr>
        <w:tblPrEx>
          <w:tblCellMar>
            <w:top w:w="0" w:type="dxa"/>
            <w:left w:w="0" w:type="dxa"/>
            <w:bottom w:w="0" w:type="dxa"/>
            <w:right w:w="0" w:type="dxa"/>
          </w:tblCellMar>
        </w:tblPrEx>
        <w:trPr>
          <w:trHeight w:val="390" w:hRule="atLeast"/>
        </w:trPr>
        <w:tc>
          <w:tcPr>
            <w:tcW w:w="19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9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本年收入合计</w:t>
            </w:r>
          </w:p>
        </w:tc>
        <w:tc>
          <w:tcPr>
            <w:tcW w:w="120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财政拨款收入</w:t>
            </w:r>
          </w:p>
        </w:tc>
        <w:tc>
          <w:tcPr>
            <w:tcW w:w="7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上级补助收入</w:t>
            </w:r>
          </w:p>
        </w:tc>
        <w:tc>
          <w:tcPr>
            <w:tcW w:w="181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事业收入</w:t>
            </w:r>
          </w:p>
        </w:tc>
        <w:tc>
          <w:tcPr>
            <w:tcW w:w="6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经营收入</w:t>
            </w:r>
          </w:p>
        </w:tc>
        <w:tc>
          <w:tcPr>
            <w:tcW w:w="6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附属单位上缴收入</w:t>
            </w:r>
          </w:p>
        </w:tc>
        <w:tc>
          <w:tcPr>
            <w:tcW w:w="8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其他收入</w:t>
            </w:r>
          </w:p>
        </w:tc>
      </w:tr>
      <w:tr>
        <w:tblPrEx>
          <w:tblCellMar>
            <w:top w:w="0" w:type="dxa"/>
            <w:left w:w="0" w:type="dxa"/>
            <w:bottom w:w="0" w:type="dxa"/>
            <w:right w:w="0" w:type="dxa"/>
          </w:tblCellMar>
        </w:tblPrEx>
        <w:trPr>
          <w:trHeight w:val="570" w:hRule="atLeast"/>
        </w:trPr>
        <w:tc>
          <w:tcPr>
            <w:tcW w:w="838"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1127"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9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20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7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7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right"/>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其中：教育收费</w:t>
            </w:r>
          </w:p>
        </w:tc>
        <w:tc>
          <w:tcPr>
            <w:tcW w:w="6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6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8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19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color w:val="000000"/>
                <w:sz w:val="18"/>
                <w:szCs w:val="18"/>
              </w:rPr>
            </w:pPr>
            <w:r>
              <w:rPr>
                <w:rFonts w:hint="eastAsia" w:ascii="宋体" w:hAnsi="宋体" w:eastAsia="宋体" w:cs="宋体"/>
                <w:color w:val="000000"/>
                <w:sz w:val="18"/>
                <w:szCs w:val="18"/>
                <w:lang w:val="en-US"/>
              </w:rPr>
              <w:t>合计</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999.29</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999.29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文化旅游体育与传媒支出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861.46</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861.46</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文化和旅游</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781.78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781.78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2070101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行政运行</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140.49</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140.49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2070104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图书馆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76.97</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76.97</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2070108</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文化活动</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125.09</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125.09</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2070109</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群众文化</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145.27</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145.27</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2070111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文化创作与保护</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2070112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文化和旅游市场管理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111.28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111.28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2070113</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旅游宣传</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2070199</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其他文化和旅游支出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102.68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102.68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文物</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76.68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76.68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2070204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文物保护</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24.00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24.00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2070205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博物馆</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52.68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52.68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20706</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新闻出版电影</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2070607</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电影</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3.00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i w:val="0"/>
                <w:color w:val="000000"/>
                <w:kern w:val="0"/>
                <w:sz w:val="18"/>
                <w:szCs w:val="18"/>
                <w:u w:val="none"/>
                <w:lang w:val="en-US" w:eastAsia="zh-CN" w:bidi="ar"/>
              </w:rPr>
              <w:t>208</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社会保障和就业支出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20805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行政事业单位离退休</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2080505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机关事业单位基本养老保险缴费支出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50.68</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210</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卫生健康支出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22.65</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22.65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21011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行政事业单位医疗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22.65</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22.65</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2101101</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行政单位医疗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7.93</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7.93</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2101102</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事业单位医疗</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14.71</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14.71</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213</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农林水支出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64.50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64.50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21305</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扶贫</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64.50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64.50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2130504</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农村基础设施建设</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21.50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21.50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83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2130599</w:t>
            </w:r>
          </w:p>
        </w:tc>
        <w:tc>
          <w:tcPr>
            <w:tcW w:w="11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i w:val="0"/>
                <w:color w:val="000000"/>
                <w:kern w:val="0"/>
                <w:sz w:val="18"/>
                <w:szCs w:val="18"/>
                <w:u w:val="none"/>
                <w:lang w:val="en-US" w:eastAsia="zh-CN" w:bidi="ar"/>
              </w:rPr>
              <w:t xml:space="preserve">  其他扶贫支出</w:t>
            </w: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43.00</w:t>
            </w:r>
          </w:p>
        </w:tc>
        <w:tc>
          <w:tcPr>
            <w:tcW w:w="120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i w:val="0"/>
                <w:color w:val="000000"/>
                <w:kern w:val="0"/>
                <w:sz w:val="18"/>
                <w:szCs w:val="18"/>
                <w:u w:val="none"/>
                <w:lang w:val="en-US" w:eastAsia="zh-CN" w:bidi="ar"/>
              </w:rPr>
              <w:t>43.00</w:t>
            </w:r>
          </w:p>
        </w:tc>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10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6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89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r>
    </w:tbl>
    <w:p>
      <w:pPr>
        <w:pStyle w:val="18"/>
        <w:tabs>
          <w:tab w:val="left" w:pos="1235"/>
        </w:tabs>
        <w:spacing w:line="364" w:lineRule="auto"/>
        <w:ind w:left="0" w:firstLine="0"/>
        <w:jc w:val="both"/>
        <w:rPr>
          <w:b/>
          <w:bCs/>
          <w:sz w:val="40"/>
          <w:szCs w:val="40"/>
          <w:lang w:val="en-US"/>
        </w:rPr>
      </w:pPr>
      <w:r>
        <w:rPr>
          <w:rFonts w:hint="eastAsia" w:ascii="宋体" w:hAnsi="宋体" w:eastAsia="宋体" w:cs="宋体"/>
          <w:color w:val="000000"/>
          <w:sz w:val="18"/>
          <w:szCs w:val="18"/>
          <w:lang w:val="en-US"/>
        </w:rPr>
        <w:t>注：本表反映部门本年度取得的各项收入情况。</w:t>
      </w:r>
    </w:p>
    <w:p>
      <w:pPr>
        <w:pStyle w:val="18"/>
        <w:tabs>
          <w:tab w:val="left" w:pos="1235"/>
        </w:tabs>
        <w:spacing w:line="364" w:lineRule="auto"/>
        <w:ind w:left="0" w:firstLine="0"/>
        <w:jc w:val="both"/>
        <w:rPr>
          <w:b/>
          <w:bCs/>
          <w:sz w:val="36"/>
          <w:szCs w:val="36"/>
          <w:lang w:val="en-US"/>
        </w:rPr>
      </w:pPr>
    </w:p>
    <w:p>
      <w:pPr>
        <w:pStyle w:val="18"/>
        <w:tabs>
          <w:tab w:val="left" w:pos="1235"/>
        </w:tabs>
        <w:spacing w:line="364" w:lineRule="auto"/>
        <w:ind w:left="0" w:firstLine="0"/>
        <w:jc w:val="center"/>
        <w:rPr>
          <w:b/>
          <w:bCs/>
          <w:sz w:val="36"/>
          <w:szCs w:val="36"/>
          <w:lang w:val="en-US"/>
        </w:rPr>
      </w:pPr>
    </w:p>
    <w:p>
      <w:pPr>
        <w:pStyle w:val="18"/>
        <w:tabs>
          <w:tab w:val="left" w:pos="1235"/>
        </w:tabs>
        <w:spacing w:line="364" w:lineRule="auto"/>
        <w:ind w:left="0" w:firstLine="0"/>
        <w:jc w:val="center"/>
        <w:rPr>
          <w:b/>
          <w:bCs/>
          <w:sz w:val="36"/>
          <w:szCs w:val="36"/>
          <w:lang w:val="en-US"/>
        </w:rPr>
      </w:pPr>
      <w:r>
        <w:rPr>
          <w:rFonts w:hint="eastAsia"/>
          <w:b/>
          <w:bCs/>
          <w:sz w:val="36"/>
          <w:szCs w:val="36"/>
          <w:lang w:val="en-US"/>
        </w:rPr>
        <w:t>支出决算表</w:t>
      </w:r>
    </w:p>
    <w:p>
      <w:pPr>
        <w:pStyle w:val="18"/>
        <w:tabs>
          <w:tab w:val="left" w:pos="1235"/>
        </w:tabs>
        <w:spacing w:line="200" w:lineRule="exact"/>
        <w:ind w:left="0" w:right="108" w:firstLine="0"/>
        <w:jc w:val="center"/>
        <w:rPr>
          <w:b/>
          <w:bCs/>
          <w:sz w:val="20"/>
          <w:szCs w:val="20"/>
          <w:lang w:val="en-US"/>
        </w:rPr>
      </w:pPr>
      <w:r>
        <w:rPr>
          <w:b/>
          <w:bCs/>
          <w:sz w:val="24"/>
          <w:szCs w:val="24"/>
          <w:lang w:val="en-US"/>
        </w:rPr>
        <w:t xml:space="preserve">                                                                   </w:t>
      </w:r>
      <w:r>
        <w:rPr>
          <w:rFonts w:hint="eastAsia"/>
          <w:b/>
          <w:bCs/>
          <w:sz w:val="20"/>
          <w:szCs w:val="20"/>
        </w:rPr>
        <w:t>公开</w:t>
      </w:r>
      <w:r>
        <w:rPr>
          <w:b/>
          <w:bCs/>
          <w:sz w:val="20"/>
          <w:szCs w:val="20"/>
          <w:lang w:val="en-US"/>
        </w:rPr>
        <w:t>03</w:t>
      </w:r>
      <w:r>
        <w:rPr>
          <w:rFonts w:hint="eastAsia"/>
          <w:b/>
          <w:bCs/>
          <w:sz w:val="20"/>
          <w:szCs w:val="20"/>
          <w:lang w:val="en-US"/>
        </w:rPr>
        <w:t>表</w:t>
      </w:r>
    </w:p>
    <w:p>
      <w:pPr>
        <w:pStyle w:val="18"/>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270" w:type="dxa"/>
        <w:tblInd w:w="0" w:type="dxa"/>
        <w:tblLayout w:type="fixed"/>
        <w:tblCellMar>
          <w:top w:w="0" w:type="dxa"/>
          <w:left w:w="0" w:type="dxa"/>
          <w:bottom w:w="0" w:type="dxa"/>
          <w:right w:w="0" w:type="dxa"/>
        </w:tblCellMar>
      </w:tblPr>
      <w:tblGrid>
        <w:gridCol w:w="913"/>
        <w:gridCol w:w="3280"/>
        <w:gridCol w:w="837"/>
        <w:gridCol w:w="976"/>
        <w:gridCol w:w="935"/>
        <w:gridCol w:w="647"/>
        <w:gridCol w:w="831"/>
        <w:gridCol w:w="851"/>
      </w:tblGrid>
      <w:tr>
        <w:tblPrEx>
          <w:tblCellMar>
            <w:top w:w="0" w:type="dxa"/>
            <w:left w:w="0" w:type="dxa"/>
            <w:bottom w:w="0" w:type="dxa"/>
            <w:right w:w="0" w:type="dxa"/>
          </w:tblCellMar>
        </w:tblPrEx>
        <w:trPr>
          <w:trHeight w:val="420" w:hRule="atLeast"/>
        </w:trPr>
        <w:tc>
          <w:tcPr>
            <w:tcW w:w="41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83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97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93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64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上缴上级支出</w:t>
            </w:r>
          </w:p>
        </w:tc>
        <w:tc>
          <w:tcPr>
            <w:tcW w:w="83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经营支出</w:t>
            </w:r>
          </w:p>
        </w:tc>
        <w:tc>
          <w:tcPr>
            <w:tcW w:w="8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对附属单位补助支出</w:t>
            </w:r>
          </w:p>
        </w:tc>
      </w:tr>
      <w:tr>
        <w:tblPrEx>
          <w:tblCellMar>
            <w:top w:w="0" w:type="dxa"/>
            <w:left w:w="0" w:type="dxa"/>
            <w:bottom w:w="0" w:type="dxa"/>
            <w:right w:w="0" w:type="dxa"/>
          </w:tblCellMar>
        </w:tblPrEx>
        <w:trPr>
          <w:trHeight w:val="735" w:hRule="atLeast"/>
        </w:trPr>
        <w:tc>
          <w:tcPr>
            <w:tcW w:w="91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3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83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97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64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83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8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419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1,103.21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602.78</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500.43</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文化旅游体育与传媒支出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965.13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529.20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435.93</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文化和旅游</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881.21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470.43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410.78</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2070101</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行政运行</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143.72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143.72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2070104</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图书馆</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79.14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79.14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2070108</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文化活动</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139.59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139.59</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2070109</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群众文化</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154.45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126.45</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28.00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2070111</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文化创作与保护</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1.51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1.51</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2070112</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文化和旅游市场管理</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121.12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121.12</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2070113</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旅游宣传</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30.00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30.00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2070199</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其他文化和旅游支出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211.68</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211.68</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20702</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文物</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80.79</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55.77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25.02</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2070204</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文物保护</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25.02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25.02</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2070205</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博物馆</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55.77</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55.77</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20706</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新闻出版电影</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3.13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0.13</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2070607</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电影</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3.13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3.00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0.13</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208</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社会保障和就业支出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20805</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行政事业单位离退休</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2080505</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51.34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210</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卫生健康支出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22.24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22.24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21011</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行政事业单位医疗</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22.24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22.24</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2101101</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行政单位医疗</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7.93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7.93</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2101102</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事业单位医疗</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14.30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14.30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0.00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213</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农林水支出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64.50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64.50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21305</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扶贫</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64.50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64.50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2130504</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农村基础设施建设</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21.50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21.50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91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2130599</w:t>
            </w: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r>
              <w:rPr>
                <w:rFonts w:hint="eastAsia" w:ascii="宋体" w:hAnsi="宋体" w:eastAsia="宋体" w:cs="宋体"/>
                <w:i w:val="0"/>
                <w:color w:val="000000"/>
                <w:kern w:val="0"/>
                <w:sz w:val="18"/>
                <w:szCs w:val="18"/>
                <w:u w:val="none"/>
                <w:lang w:val="en-US" w:eastAsia="zh-CN" w:bidi="ar"/>
              </w:rPr>
              <w:t xml:space="preserve">  其他扶贫支出</w:t>
            </w:r>
          </w:p>
        </w:tc>
        <w:tc>
          <w:tcPr>
            <w:tcW w:w="83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43.00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eastAsia="宋体" w:cs="宋体"/>
                <w:color w:val="000000"/>
                <w:sz w:val="18"/>
                <w:szCs w:val="18"/>
                <w:lang w:val="en-US"/>
              </w:rPr>
            </w:pPr>
            <w:r>
              <w:rPr>
                <w:rFonts w:hint="eastAsia" w:ascii="宋体" w:hAnsi="宋体" w:eastAsia="宋体" w:cs="宋体"/>
                <w:i w:val="0"/>
                <w:color w:val="000000"/>
                <w:kern w:val="0"/>
                <w:sz w:val="18"/>
                <w:szCs w:val="18"/>
                <w:u w:val="none"/>
                <w:lang w:val="en-US" w:eastAsia="zh-CN" w:bidi="ar"/>
              </w:rPr>
              <w:t>43.00</w:t>
            </w:r>
          </w:p>
        </w:tc>
        <w:tc>
          <w:tcPr>
            <w:tcW w:w="64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eastAsia="宋体" w:cs="宋体"/>
                <w:color w:val="000000"/>
                <w:sz w:val="18"/>
                <w:szCs w:val="18"/>
              </w:rPr>
            </w:pPr>
          </w:p>
        </w:tc>
        <w:tc>
          <w:tcPr>
            <w:tcW w:w="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8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bl>
    <w:p>
      <w:pPr>
        <w:pStyle w:val="18"/>
        <w:tabs>
          <w:tab w:val="left" w:pos="1235"/>
        </w:tabs>
        <w:spacing w:line="364" w:lineRule="auto"/>
        <w:ind w:left="0" w:firstLine="0"/>
        <w:jc w:val="both"/>
        <w:rPr>
          <w:b/>
          <w:bCs/>
          <w:sz w:val="40"/>
          <w:szCs w:val="40"/>
          <w:lang w:val="en-US"/>
        </w:rPr>
      </w:pPr>
      <w:r>
        <w:rPr>
          <w:rFonts w:hint="eastAsia" w:ascii="宋体" w:hAnsi="宋体" w:eastAsia="宋体" w:cs="宋体"/>
          <w:color w:val="000000"/>
          <w:sz w:val="18"/>
          <w:szCs w:val="18"/>
          <w:lang w:val="en-US"/>
        </w:rPr>
        <w:t>注：本表反映部门本年度取得的各项</w:t>
      </w:r>
      <w:r>
        <w:rPr>
          <w:rFonts w:hint="eastAsia" w:ascii="宋体" w:hAnsi="宋体" w:eastAsia="宋体" w:cs="宋体"/>
          <w:color w:val="000000"/>
          <w:sz w:val="18"/>
          <w:szCs w:val="18"/>
          <w:lang w:val="en-US" w:eastAsia="zh-CN"/>
        </w:rPr>
        <w:t>支出</w:t>
      </w:r>
      <w:r>
        <w:rPr>
          <w:rFonts w:hint="eastAsia" w:ascii="宋体" w:hAnsi="宋体" w:eastAsia="宋体" w:cs="宋体"/>
          <w:color w:val="000000"/>
          <w:sz w:val="18"/>
          <w:szCs w:val="18"/>
          <w:lang w:val="en-US"/>
        </w:rPr>
        <w:t>情况。</w:t>
      </w:r>
    </w:p>
    <w:p>
      <w:pPr>
        <w:pStyle w:val="18"/>
        <w:tabs>
          <w:tab w:val="left" w:pos="1235"/>
        </w:tabs>
        <w:spacing w:line="364" w:lineRule="auto"/>
        <w:ind w:left="0" w:firstLine="0"/>
        <w:jc w:val="both"/>
        <w:rPr>
          <w:b/>
          <w:bCs/>
          <w:sz w:val="40"/>
          <w:szCs w:val="40"/>
          <w:lang w:val="en-US"/>
        </w:rPr>
      </w:pPr>
    </w:p>
    <w:p>
      <w:pPr>
        <w:pStyle w:val="18"/>
        <w:tabs>
          <w:tab w:val="left" w:pos="1235"/>
        </w:tabs>
        <w:spacing w:line="364" w:lineRule="auto"/>
        <w:ind w:left="0" w:firstLine="0"/>
        <w:jc w:val="center"/>
        <w:rPr>
          <w:b/>
          <w:bCs/>
          <w:sz w:val="40"/>
          <w:szCs w:val="40"/>
          <w:lang w:val="en-US"/>
        </w:rPr>
      </w:pPr>
    </w:p>
    <w:p>
      <w:pPr>
        <w:pStyle w:val="18"/>
        <w:tabs>
          <w:tab w:val="left" w:pos="1235"/>
        </w:tabs>
        <w:spacing w:line="364" w:lineRule="auto"/>
        <w:ind w:left="0" w:firstLine="0"/>
        <w:jc w:val="center"/>
        <w:rPr>
          <w:b/>
          <w:bCs/>
          <w:sz w:val="36"/>
          <w:szCs w:val="36"/>
          <w:lang w:val="en-US"/>
        </w:rPr>
      </w:pPr>
      <w:r>
        <w:rPr>
          <w:rFonts w:hint="eastAsia"/>
          <w:b/>
          <w:bCs/>
          <w:sz w:val="36"/>
          <w:szCs w:val="36"/>
          <w:lang w:val="en-US"/>
        </w:rPr>
        <w:t>财政拨款收入支出决算总表</w:t>
      </w:r>
    </w:p>
    <w:p>
      <w:pPr>
        <w:pStyle w:val="18"/>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04</w:t>
      </w:r>
      <w:r>
        <w:rPr>
          <w:rFonts w:hint="eastAsia"/>
          <w:b/>
          <w:bCs/>
          <w:sz w:val="20"/>
          <w:szCs w:val="20"/>
          <w:lang w:val="en-US"/>
        </w:rPr>
        <w:t>表</w:t>
      </w:r>
    </w:p>
    <w:p>
      <w:pPr>
        <w:pStyle w:val="18"/>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547" w:type="dxa"/>
        <w:tblInd w:w="0" w:type="dxa"/>
        <w:tblLayout w:type="fixed"/>
        <w:tblCellMar>
          <w:top w:w="0" w:type="dxa"/>
          <w:left w:w="0" w:type="dxa"/>
          <w:bottom w:w="0" w:type="dxa"/>
          <w:right w:w="0" w:type="dxa"/>
        </w:tblCellMar>
      </w:tblPr>
      <w:tblGrid>
        <w:gridCol w:w="2630"/>
        <w:gridCol w:w="1382"/>
        <w:gridCol w:w="2400"/>
        <w:gridCol w:w="1206"/>
        <w:gridCol w:w="1009"/>
        <w:gridCol w:w="920"/>
      </w:tblGrid>
      <w:tr>
        <w:tblPrEx>
          <w:tblCellMar>
            <w:top w:w="0" w:type="dxa"/>
            <w:left w:w="0" w:type="dxa"/>
            <w:bottom w:w="0" w:type="dxa"/>
            <w:right w:w="0" w:type="dxa"/>
          </w:tblCellMar>
        </w:tblPrEx>
        <w:trPr>
          <w:trHeight w:val="377" w:hRule="atLeast"/>
        </w:trPr>
        <w:tc>
          <w:tcPr>
            <w:tcW w:w="401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收入</w:t>
            </w:r>
          </w:p>
        </w:tc>
        <w:tc>
          <w:tcPr>
            <w:tcW w:w="553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支出</w:t>
            </w:r>
          </w:p>
        </w:tc>
      </w:tr>
      <w:tr>
        <w:tblPrEx>
          <w:tblCellMar>
            <w:top w:w="0" w:type="dxa"/>
            <w:left w:w="0" w:type="dxa"/>
            <w:bottom w:w="0" w:type="dxa"/>
            <w:right w:w="0" w:type="dxa"/>
          </w:tblCellMar>
        </w:tblPrEx>
        <w:trPr>
          <w:trHeight w:val="720"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目</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决算数</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0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一般公共预算财政拨款</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政府性基金预算财政拨款</w:t>
            </w:r>
          </w:p>
        </w:tc>
      </w:tr>
      <w:tr>
        <w:tblPrEx>
          <w:tblCellMar>
            <w:top w:w="0" w:type="dxa"/>
            <w:left w:w="0" w:type="dxa"/>
            <w:bottom w:w="0" w:type="dxa"/>
            <w:right w:w="0" w:type="dxa"/>
          </w:tblCellMar>
        </w:tblPrEx>
        <w:trPr>
          <w:trHeight w:val="445" w:hRule="atLeast"/>
        </w:trPr>
        <w:tc>
          <w:tcPr>
            <w:tcW w:w="2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1</w:t>
            </w:r>
            <w:r>
              <w:rPr>
                <w:rFonts w:hint="eastAsia" w:ascii="宋体" w:hAnsi="宋体" w:eastAsia="宋体" w:cs="宋体"/>
                <w:color w:val="000000"/>
                <w:sz w:val="20"/>
                <w:szCs w:val="20"/>
                <w:lang w:val="en-US"/>
              </w:rPr>
              <w:t>、一般公共预算财政拨款</w:t>
            </w: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r>
              <w:rPr>
                <w:rFonts w:hint="eastAsia" w:ascii="宋体" w:hAnsi="宋体" w:eastAsia="宋体" w:cs="宋体"/>
                <w:color w:val="000000"/>
                <w:sz w:val="18"/>
                <w:szCs w:val="18"/>
                <w:lang w:val="en-US"/>
              </w:rPr>
              <w:t>999.29</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w:t>
            </w:r>
            <w:r>
              <w:rPr>
                <w:rFonts w:hint="eastAsia" w:ascii="宋体" w:hAnsi="宋体" w:eastAsia="宋体" w:cs="宋体"/>
                <w:color w:val="000000"/>
                <w:sz w:val="20"/>
                <w:szCs w:val="20"/>
                <w:lang w:val="en-US"/>
              </w:rPr>
              <w:t>、一般公共服务支出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40" w:hRule="atLeast"/>
        </w:trPr>
        <w:tc>
          <w:tcPr>
            <w:tcW w:w="2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2</w:t>
            </w:r>
            <w:r>
              <w:rPr>
                <w:rFonts w:hint="eastAsia" w:ascii="宋体" w:hAnsi="宋体" w:eastAsia="宋体" w:cs="宋体"/>
                <w:color w:val="000000"/>
                <w:sz w:val="20"/>
                <w:szCs w:val="20"/>
                <w:lang w:val="en-US"/>
              </w:rPr>
              <w:t>、政府性基金预算财政拨款</w:t>
            </w: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w:t>
            </w:r>
            <w:r>
              <w:rPr>
                <w:rFonts w:hint="eastAsia" w:ascii="宋体" w:hAnsi="宋体" w:eastAsia="宋体" w:cs="宋体"/>
                <w:color w:val="000000"/>
                <w:sz w:val="20"/>
                <w:szCs w:val="20"/>
                <w:lang w:val="en-US"/>
              </w:rPr>
              <w:t>、外交支出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60" w:hRule="atLeast"/>
        </w:trPr>
        <w:tc>
          <w:tcPr>
            <w:tcW w:w="2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3</w:t>
            </w:r>
            <w:r>
              <w:rPr>
                <w:rFonts w:hint="eastAsia" w:ascii="宋体" w:hAnsi="宋体" w:eastAsia="宋体" w:cs="宋体"/>
                <w:color w:val="000000"/>
                <w:sz w:val="20"/>
                <w:szCs w:val="20"/>
                <w:lang w:val="en-US"/>
              </w:rPr>
              <w:t>、国有资本经营预算收入</w:t>
            </w: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3</w:t>
            </w:r>
            <w:r>
              <w:rPr>
                <w:rFonts w:hint="eastAsia" w:ascii="宋体" w:hAnsi="宋体" w:eastAsia="宋体" w:cs="宋体"/>
                <w:color w:val="000000"/>
                <w:sz w:val="20"/>
                <w:szCs w:val="20"/>
                <w:lang w:val="en-US"/>
              </w:rPr>
              <w:t>、国防支出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17"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4</w:t>
            </w:r>
            <w:r>
              <w:rPr>
                <w:rFonts w:hint="eastAsia" w:ascii="宋体" w:hAnsi="宋体" w:eastAsia="宋体" w:cs="宋体"/>
                <w:color w:val="000000"/>
                <w:sz w:val="20"/>
                <w:szCs w:val="20"/>
                <w:lang w:val="en-US"/>
              </w:rPr>
              <w:t>、公共安全支出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5</w:t>
            </w:r>
            <w:r>
              <w:rPr>
                <w:rFonts w:hint="eastAsia" w:ascii="宋体" w:hAnsi="宋体" w:eastAsia="宋体" w:cs="宋体"/>
                <w:color w:val="000000"/>
                <w:sz w:val="20"/>
                <w:szCs w:val="20"/>
                <w:lang w:val="en-US"/>
              </w:rPr>
              <w:t>、教育支出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287"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6</w:t>
            </w:r>
            <w:r>
              <w:rPr>
                <w:rFonts w:hint="eastAsia" w:ascii="宋体" w:hAnsi="宋体" w:eastAsia="宋体" w:cs="宋体"/>
                <w:color w:val="000000"/>
                <w:sz w:val="20"/>
                <w:szCs w:val="20"/>
                <w:lang w:val="en-US"/>
              </w:rPr>
              <w:t>、科学技术支出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7</w:t>
            </w:r>
            <w:r>
              <w:rPr>
                <w:rFonts w:hint="eastAsia" w:ascii="宋体" w:hAnsi="宋体" w:eastAsia="宋体" w:cs="宋体"/>
                <w:color w:val="000000"/>
                <w:sz w:val="20"/>
                <w:szCs w:val="20"/>
                <w:lang w:val="en-US"/>
              </w:rPr>
              <w:t>、文化体育与传媒支出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965.13</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zh-CN" w:eastAsia="zh-CN" w:bidi="ar-SA"/>
              </w:rPr>
            </w:pPr>
            <w:r>
              <w:rPr>
                <w:rFonts w:hint="eastAsia" w:asciiTheme="minorEastAsia" w:hAnsiTheme="minorEastAsia" w:eastAsiaTheme="minorEastAsia" w:cstheme="minorEastAsia"/>
                <w:sz w:val="18"/>
                <w:szCs w:val="18"/>
              </w:rPr>
              <w:t>965.13</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8</w:t>
            </w:r>
            <w:r>
              <w:rPr>
                <w:rFonts w:hint="eastAsia" w:ascii="宋体" w:hAnsi="宋体" w:eastAsia="宋体" w:cs="宋体"/>
                <w:color w:val="000000"/>
                <w:sz w:val="20"/>
                <w:szCs w:val="20"/>
                <w:lang w:val="en-US"/>
              </w:rPr>
              <w:t>、社会保障和就业支出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51.34</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51.34</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w:t>
            </w:r>
            <w:r>
              <w:rPr>
                <w:rFonts w:ascii="宋体" w:hAnsi="宋体" w:eastAsia="宋体" w:cs="宋体"/>
                <w:color w:val="000000"/>
                <w:sz w:val="16"/>
                <w:szCs w:val="16"/>
                <w:lang w:val="en-US"/>
              </w:rPr>
              <w:t xml:space="preserve"> 9</w:t>
            </w:r>
            <w:r>
              <w:rPr>
                <w:rFonts w:hint="eastAsia" w:ascii="宋体" w:hAnsi="宋体" w:eastAsia="宋体" w:cs="宋体"/>
                <w:color w:val="000000"/>
                <w:sz w:val="16"/>
                <w:szCs w:val="16"/>
                <w:lang w:val="en-US"/>
              </w:rPr>
              <w:t>、医疗卫生与计划生育支出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22.24</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sz w:val="18"/>
                <w:szCs w:val="18"/>
              </w:rPr>
              <w:t>22.24</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10</w:t>
            </w:r>
            <w:r>
              <w:rPr>
                <w:rFonts w:hint="eastAsia" w:ascii="宋体" w:hAnsi="宋体" w:eastAsia="宋体" w:cs="宋体"/>
                <w:color w:val="000000"/>
                <w:sz w:val="20"/>
                <w:szCs w:val="20"/>
                <w:lang w:val="en-US"/>
              </w:rPr>
              <w:t>、节能环保支出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zh-CN" w:eastAsia="zh-CN" w:bidi="ar-SA"/>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11</w:t>
            </w:r>
            <w:r>
              <w:rPr>
                <w:rFonts w:hint="eastAsia" w:ascii="宋体" w:hAnsi="宋体" w:eastAsia="宋体" w:cs="宋体"/>
                <w:color w:val="000000"/>
                <w:sz w:val="20"/>
                <w:szCs w:val="20"/>
                <w:lang w:val="en-US"/>
              </w:rPr>
              <w:t>、城乡社区支出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en-US" w:eastAsia="zh-CN" w:bidi="ar-SA"/>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lang w:val="en-US"/>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12</w:t>
            </w:r>
            <w:r>
              <w:rPr>
                <w:rFonts w:hint="eastAsia" w:ascii="宋体" w:hAnsi="宋体" w:eastAsia="宋体" w:cs="宋体"/>
                <w:color w:val="000000"/>
                <w:sz w:val="20"/>
                <w:szCs w:val="20"/>
                <w:lang w:val="en-US"/>
              </w:rPr>
              <w:t>、农林水支出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64.50</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kern w:val="0"/>
                <w:sz w:val="18"/>
                <w:szCs w:val="18"/>
                <w:lang w:val="zh-CN" w:eastAsia="zh-CN" w:bidi="ar-SA"/>
              </w:rPr>
            </w:pPr>
            <w:r>
              <w:rPr>
                <w:rFonts w:hint="eastAsia" w:asciiTheme="minorEastAsia" w:hAnsiTheme="minorEastAsia" w:eastAsiaTheme="minorEastAsia" w:cstheme="minorEastAsia"/>
                <w:color w:val="000000"/>
                <w:sz w:val="18"/>
                <w:szCs w:val="18"/>
              </w:rPr>
              <w:t>64.50</w:t>
            </w: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13</w:t>
            </w:r>
            <w:r>
              <w:rPr>
                <w:rFonts w:hint="eastAsia" w:ascii="宋体" w:hAnsi="宋体" w:eastAsia="宋体" w:cs="宋体"/>
                <w:color w:val="000000"/>
                <w:sz w:val="20"/>
                <w:szCs w:val="20"/>
                <w:lang w:val="en-US"/>
              </w:rPr>
              <w:t>、交通运输支出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w:t>
            </w:r>
            <w:r>
              <w:rPr>
                <w:rFonts w:ascii="宋体" w:hAnsi="宋体" w:eastAsia="宋体" w:cs="宋体"/>
                <w:color w:val="000000"/>
                <w:sz w:val="18"/>
                <w:szCs w:val="18"/>
                <w:lang w:val="en-US"/>
              </w:rPr>
              <w:t>14</w:t>
            </w:r>
            <w:r>
              <w:rPr>
                <w:rFonts w:hint="eastAsia" w:ascii="宋体" w:hAnsi="宋体" w:eastAsia="宋体" w:cs="宋体"/>
                <w:color w:val="000000"/>
                <w:sz w:val="18"/>
                <w:szCs w:val="18"/>
                <w:lang w:val="en-US"/>
              </w:rPr>
              <w:t>、资源勘探信息等支出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15</w:t>
            </w:r>
            <w:r>
              <w:rPr>
                <w:rFonts w:hint="eastAsia" w:ascii="宋体" w:hAnsi="宋体" w:eastAsia="宋体" w:cs="宋体"/>
                <w:color w:val="000000"/>
                <w:sz w:val="20"/>
                <w:szCs w:val="20"/>
                <w:lang w:val="en-US"/>
              </w:rPr>
              <w:t>、商业服务业等支出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77"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16</w:t>
            </w:r>
            <w:r>
              <w:rPr>
                <w:rFonts w:hint="eastAsia" w:ascii="宋体" w:hAnsi="宋体" w:eastAsia="宋体" w:cs="宋体"/>
                <w:color w:val="000000"/>
                <w:sz w:val="20"/>
                <w:szCs w:val="20"/>
                <w:lang w:val="en-US"/>
              </w:rPr>
              <w:t>、金融支出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17</w:t>
            </w:r>
            <w:r>
              <w:rPr>
                <w:rFonts w:hint="eastAsia" w:ascii="宋体" w:hAnsi="宋体" w:eastAsia="宋体" w:cs="宋体"/>
                <w:color w:val="000000"/>
                <w:sz w:val="20"/>
                <w:szCs w:val="20"/>
                <w:lang w:val="en-US"/>
              </w:rPr>
              <w:t>、援助其他地区支出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w:t>
            </w:r>
            <w:r>
              <w:rPr>
                <w:rFonts w:ascii="宋体" w:hAnsi="宋体" w:eastAsia="宋体" w:cs="宋体"/>
                <w:color w:val="000000"/>
                <w:sz w:val="18"/>
                <w:szCs w:val="18"/>
                <w:lang w:val="en-US"/>
              </w:rPr>
              <w:t>18</w:t>
            </w:r>
            <w:r>
              <w:rPr>
                <w:rFonts w:hint="eastAsia" w:ascii="宋体" w:hAnsi="宋体" w:eastAsia="宋体" w:cs="宋体"/>
                <w:color w:val="000000"/>
                <w:sz w:val="18"/>
                <w:szCs w:val="18"/>
                <w:lang w:val="en-US"/>
              </w:rPr>
              <w:t>、国土海洋气象等支出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19</w:t>
            </w:r>
            <w:r>
              <w:rPr>
                <w:rFonts w:hint="eastAsia" w:ascii="宋体" w:hAnsi="宋体" w:eastAsia="宋体" w:cs="宋体"/>
                <w:color w:val="000000"/>
                <w:sz w:val="20"/>
                <w:szCs w:val="20"/>
                <w:lang w:val="en-US"/>
              </w:rPr>
              <w:t>、住房保障支出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33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20</w:t>
            </w:r>
            <w:r>
              <w:rPr>
                <w:rFonts w:hint="eastAsia" w:ascii="宋体" w:hAnsi="宋体" w:eastAsia="宋体" w:cs="宋体"/>
                <w:color w:val="000000"/>
                <w:sz w:val="20"/>
                <w:szCs w:val="20"/>
                <w:lang w:val="en-US"/>
              </w:rPr>
              <w:t>、粮油物资储备支出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21</w:t>
            </w:r>
            <w:r>
              <w:rPr>
                <w:rFonts w:hint="eastAsia" w:ascii="宋体" w:hAnsi="宋体" w:eastAsia="宋体" w:cs="宋体"/>
                <w:color w:val="000000"/>
                <w:sz w:val="20"/>
                <w:szCs w:val="20"/>
                <w:lang w:val="en-US"/>
              </w:rPr>
              <w:t>、其他支出</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18"/>
                <w:szCs w:val="18"/>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18"/>
                <w:szCs w:val="18"/>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本年收入合计</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999.29</w:t>
            </w:r>
            <w:r>
              <w:rPr>
                <w:rFonts w:ascii="宋体" w:hAnsi="宋体" w:eastAsia="宋体" w:cs="宋体"/>
                <w:b/>
                <w:color w:val="000000"/>
                <w:sz w:val="18"/>
                <w:szCs w:val="18"/>
                <w:lang w:val="en-US"/>
              </w:rPr>
              <w:t xml:space="preserve"> </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本年支出合计</w:t>
            </w:r>
          </w:p>
        </w:tc>
        <w:tc>
          <w:tcPr>
            <w:tcW w:w="120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1,103.21</w:t>
            </w:r>
          </w:p>
        </w:tc>
        <w:tc>
          <w:tcPr>
            <w:tcW w:w="10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1,103.21</w:t>
            </w: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lang w:val="en-US"/>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年初财政拨款结转和结余</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346.15</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年末财政拨款结转和结余</w:t>
            </w:r>
          </w:p>
        </w:tc>
        <w:tc>
          <w:tcPr>
            <w:tcW w:w="120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242.23</w:t>
            </w:r>
          </w:p>
        </w:tc>
        <w:tc>
          <w:tcPr>
            <w:tcW w:w="10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ascii="宋体" w:hAnsi="宋体" w:eastAsia="宋体" w:cs="宋体"/>
                <w:color w:val="000000"/>
                <w:sz w:val="20"/>
                <w:szCs w:val="20"/>
                <w:lang w:val="en-US"/>
              </w:rPr>
              <w:t>242.23</w:t>
            </w: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ascii="宋体" w:hAnsi="宋体" w:eastAsia="宋体" w:cs="宋体"/>
                <w:color w:val="000000"/>
                <w:sz w:val="20"/>
                <w:szCs w:val="20"/>
                <w:lang w:val="en-US"/>
              </w:rPr>
              <w:t xml:space="preserve">    </w:t>
            </w:r>
            <w:r>
              <w:rPr>
                <w:rFonts w:hint="eastAsia" w:ascii="宋体" w:hAnsi="宋体" w:eastAsia="宋体" w:cs="宋体"/>
                <w:color w:val="000000"/>
                <w:sz w:val="20"/>
                <w:szCs w:val="20"/>
                <w:lang w:val="en-US"/>
              </w:rPr>
              <w:t>一般公共预算财政拨款</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18"/>
                <w:szCs w:val="18"/>
              </w:rPr>
            </w:pP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ascii="宋体" w:hAnsi="宋体" w:eastAsia="宋体" w:cs="宋体"/>
                <w:color w:val="000000"/>
                <w:sz w:val="20"/>
                <w:szCs w:val="20"/>
                <w:lang w:val="en-US"/>
              </w:rPr>
              <w:t xml:space="preserve">    </w:t>
            </w:r>
            <w:r>
              <w:rPr>
                <w:rFonts w:hint="eastAsia" w:ascii="宋体" w:hAnsi="宋体" w:eastAsia="宋体" w:cs="宋体"/>
                <w:color w:val="000000"/>
                <w:sz w:val="20"/>
                <w:szCs w:val="20"/>
                <w:lang w:val="en-US"/>
              </w:rPr>
              <w:t>政府性基金预算财政拨款</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120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10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1206"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1009"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c>
          <w:tcPr>
            <w:tcW w:w="92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rPr>
            </w:pPr>
          </w:p>
        </w:tc>
      </w:tr>
      <w:tr>
        <w:tblPrEx>
          <w:tblCellMar>
            <w:top w:w="0" w:type="dxa"/>
            <w:left w:w="0" w:type="dxa"/>
            <w:bottom w:w="0" w:type="dxa"/>
            <w:right w:w="0" w:type="dxa"/>
          </w:tblCellMar>
        </w:tblPrEx>
        <w:trPr>
          <w:trHeight w:val="402" w:hRule="atLeast"/>
        </w:trPr>
        <w:tc>
          <w:tcPr>
            <w:tcW w:w="26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收入总计</w:t>
            </w:r>
          </w:p>
        </w:tc>
        <w:tc>
          <w:tcPr>
            <w:tcW w:w="13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1,345.44</w:t>
            </w:r>
          </w:p>
        </w:tc>
        <w:tc>
          <w:tcPr>
            <w:tcW w:w="24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18"/>
                <w:szCs w:val="18"/>
              </w:rPr>
            </w:pPr>
            <w:r>
              <w:rPr>
                <w:rFonts w:hint="eastAsia" w:ascii="宋体" w:hAnsi="宋体" w:eastAsia="宋体" w:cs="宋体"/>
                <w:b/>
                <w:color w:val="000000"/>
                <w:sz w:val="18"/>
                <w:szCs w:val="18"/>
                <w:lang w:val="en-US"/>
              </w:rPr>
              <w:t>支出总计</w:t>
            </w:r>
          </w:p>
        </w:tc>
        <w:tc>
          <w:tcPr>
            <w:tcW w:w="120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1,345.44</w:t>
            </w:r>
          </w:p>
        </w:tc>
        <w:tc>
          <w:tcPr>
            <w:tcW w:w="100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lang w:val="en-US"/>
              </w:rPr>
            </w:pPr>
            <w:r>
              <w:rPr>
                <w:rFonts w:hint="eastAsia" w:ascii="宋体" w:hAnsi="宋体" w:eastAsia="宋体" w:cs="宋体"/>
                <w:b/>
                <w:color w:val="000000"/>
                <w:sz w:val="18"/>
                <w:szCs w:val="18"/>
                <w:lang w:val="en-US"/>
              </w:rPr>
              <w:t>1,345.44</w:t>
            </w:r>
          </w:p>
        </w:tc>
        <w:tc>
          <w:tcPr>
            <w:tcW w:w="9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18"/>
                <w:szCs w:val="18"/>
                <w:lang w:val="en-US"/>
              </w:rPr>
            </w:pPr>
          </w:p>
        </w:tc>
      </w:tr>
      <w:tr>
        <w:tblPrEx>
          <w:tblCellMar>
            <w:top w:w="0" w:type="dxa"/>
            <w:left w:w="0" w:type="dxa"/>
            <w:bottom w:w="0" w:type="dxa"/>
            <w:right w:w="0" w:type="dxa"/>
          </w:tblCellMar>
        </w:tblPrEx>
        <w:trPr>
          <w:trHeight w:val="560" w:hRule="atLeast"/>
        </w:trPr>
        <w:tc>
          <w:tcPr>
            <w:tcW w:w="9547" w:type="dxa"/>
            <w:gridSpan w:val="6"/>
            <w:tcBorders>
              <w:top w:val="single" w:color="000000" w:sz="4" w:space="0"/>
              <w:left w:val="nil"/>
              <w:bottom w:val="nil"/>
              <w:right w:val="nil"/>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注：本表反映部门本年度一般公共预算财政拨款和政府性基金预算财政拨款的总收支和年末结转结余情况</w:t>
            </w:r>
            <w:r>
              <w:rPr>
                <w:rFonts w:ascii="宋体" w:hAnsi="宋体" w:eastAsia="宋体" w:cs="宋体"/>
                <w:color w:val="000000"/>
                <w:sz w:val="20"/>
                <w:szCs w:val="20"/>
                <w:lang w:val="en-US"/>
              </w:rPr>
              <w:t>;</w:t>
            </w:r>
            <w:r>
              <w:rPr>
                <w:rFonts w:hint="eastAsia" w:ascii="宋体" w:hAnsi="宋体" w:eastAsia="宋体" w:cs="宋体"/>
                <w:color w:val="000000"/>
                <w:sz w:val="20"/>
                <w:szCs w:val="20"/>
                <w:lang w:val="en-US"/>
              </w:rPr>
              <w:t>报表存在尾数差异因四舍五入造成，可以忽略不计。</w:t>
            </w:r>
          </w:p>
        </w:tc>
      </w:tr>
    </w:tbl>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一般公共预算财政拨款支出决算表（按功能分类科目）</w:t>
      </w:r>
    </w:p>
    <w:p>
      <w:pPr>
        <w:pStyle w:val="18"/>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05</w:t>
      </w:r>
      <w:r>
        <w:rPr>
          <w:rFonts w:hint="eastAsia"/>
          <w:b/>
          <w:bCs/>
          <w:sz w:val="20"/>
          <w:szCs w:val="20"/>
          <w:lang w:val="en-US"/>
        </w:rPr>
        <w:t>表</w:t>
      </w:r>
    </w:p>
    <w:p>
      <w:pPr>
        <w:pStyle w:val="18"/>
        <w:tabs>
          <w:tab w:val="left" w:pos="1235"/>
        </w:tabs>
        <w:spacing w:line="364" w:lineRule="auto"/>
        <w:ind w:left="0" w:firstLine="0"/>
        <w:jc w:val="center"/>
        <w:rPr>
          <w:b/>
          <w:bCs/>
          <w:sz w:val="36"/>
          <w:szCs w:val="36"/>
          <w:lang w:val="en-US"/>
        </w:rPr>
      </w:pPr>
      <w:r>
        <w:rPr>
          <w:rFonts w:hint="eastAsia"/>
          <w:b/>
          <w:bCs/>
          <w:sz w:val="20"/>
          <w:szCs w:val="20"/>
          <w:lang w:val="en-US"/>
        </w:rPr>
        <w:t>编制部门：</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165" w:type="dxa"/>
        <w:tblInd w:w="0" w:type="dxa"/>
        <w:tblLayout w:type="fixed"/>
        <w:tblCellMar>
          <w:top w:w="0" w:type="dxa"/>
          <w:left w:w="0" w:type="dxa"/>
          <w:bottom w:w="0" w:type="dxa"/>
          <w:right w:w="0" w:type="dxa"/>
        </w:tblCellMar>
      </w:tblPr>
      <w:tblGrid>
        <w:gridCol w:w="1056"/>
        <w:gridCol w:w="2430"/>
        <w:gridCol w:w="866"/>
        <w:gridCol w:w="1190"/>
        <w:gridCol w:w="1069"/>
        <w:gridCol w:w="1003"/>
        <w:gridCol w:w="949"/>
        <w:gridCol w:w="602"/>
      </w:tblGrid>
      <w:tr>
        <w:tblPrEx>
          <w:tblCellMar>
            <w:top w:w="0" w:type="dxa"/>
            <w:left w:w="0" w:type="dxa"/>
            <w:bottom w:w="0" w:type="dxa"/>
            <w:right w:w="0" w:type="dxa"/>
          </w:tblCellMar>
        </w:tblPrEx>
        <w:trPr>
          <w:trHeight w:val="450" w:hRule="atLeast"/>
        </w:trPr>
        <w:tc>
          <w:tcPr>
            <w:tcW w:w="34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目</w:t>
            </w:r>
          </w:p>
        </w:tc>
        <w:tc>
          <w:tcPr>
            <w:tcW w:w="8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本年支出合计</w:t>
            </w:r>
          </w:p>
        </w:tc>
        <w:tc>
          <w:tcPr>
            <w:tcW w:w="3262"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94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60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备注</w:t>
            </w:r>
          </w:p>
        </w:tc>
      </w:tr>
      <w:tr>
        <w:tblPrEx>
          <w:tblCellMar>
            <w:top w:w="0" w:type="dxa"/>
            <w:left w:w="0" w:type="dxa"/>
            <w:bottom w:w="0" w:type="dxa"/>
            <w:right w:w="0" w:type="dxa"/>
          </w:tblCellMar>
        </w:tblPrEx>
        <w:trPr>
          <w:trHeight w:val="675" w:hRule="atLeast"/>
        </w:trPr>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24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8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人员经费</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公用经费</w:t>
            </w:r>
          </w:p>
        </w:tc>
        <w:tc>
          <w:tcPr>
            <w:tcW w:w="94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60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合计</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ascii="宋体" w:hAnsi="宋体" w:eastAsia="宋体" w:cs="宋体"/>
                <w:color w:val="000000"/>
                <w:sz w:val="20"/>
                <w:szCs w:val="20"/>
                <w:lang w:val="en-US"/>
              </w:rPr>
              <w:t>1,103.21</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602.78</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433.63</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169.15</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500.43</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文化旅游体育与传媒支出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965.13</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529.20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360.05</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169.15</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435.93</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文化和旅游</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881.21</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470.43</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318.30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152.13</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410.78</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2070101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行政运行</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143.72</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143.72</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112.37</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31.35</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2070104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图书馆</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79.14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79.14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25.07</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54.06</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2070108</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文化活动</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139.59</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139.59</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2070109</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群众文化</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154.45</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126.45</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78.36</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48.09</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28.00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2070111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文化创作与保护</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1.51</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1.51</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2070112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文化和旅游市场管理</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121.12</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121.12</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102.50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18.62</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2070113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旅游宣传</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30.00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30.00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2070199</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其他文化和旅游支出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211.68</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211.68</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rPr>
              <w:t>文物</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80.79</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55.77</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38.74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17.02</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25.02</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2070204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文物保护</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25.02</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25.02</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2070205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博物馆</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55.77</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55.77</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38.74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17.02</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20706</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新闻出版电影</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3.13</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0.13</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2070607</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电影</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3.13</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3.00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0.13</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208</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社会保障和就业支出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20805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行政事业单位离退休</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561"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2080505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机关事业单位基本养老保险缴费支出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51.34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210</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卫生健康支出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21011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行政事业单位医疗</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22.24</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2101101</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行政单位医疗</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7.93</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7.93</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7.93</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2101102</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事业单位医疗</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14.30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14.30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14.30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213</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农林水支出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64.50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64.50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21305</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扶贫</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64.50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64.50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2130504</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农村基础设施建设</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21.50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21.50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r>
        <w:tblPrEx>
          <w:tblCellMar>
            <w:top w:w="0" w:type="dxa"/>
            <w:left w:w="0" w:type="dxa"/>
            <w:bottom w:w="0" w:type="dxa"/>
            <w:right w:w="0" w:type="dxa"/>
          </w:tblCellMar>
        </w:tblPrEx>
        <w:trPr>
          <w:trHeight w:val="402" w:hRule="atLeast"/>
        </w:trPr>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lang w:val="en-US"/>
              </w:rPr>
            </w:pPr>
            <w:r>
              <w:rPr>
                <w:rFonts w:hint="eastAsia" w:asciiTheme="minorEastAsia" w:hAnsiTheme="minorEastAsia" w:eastAsiaTheme="minorEastAsia" w:cstheme="minorEastAsia"/>
                <w:sz w:val="18"/>
                <w:szCs w:val="18"/>
              </w:rPr>
              <w:t>2130599</w:t>
            </w:r>
          </w:p>
        </w:tc>
        <w:tc>
          <w:tcPr>
            <w:tcW w:w="24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sz w:val="18"/>
                <w:szCs w:val="18"/>
              </w:rPr>
              <w:t xml:space="preserve">  其他扶贫支出</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43.00</w:t>
            </w:r>
          </w:p>
        </w:tc>
        <w:tc>
          <w:tcPr>
            <w:tcW w:w="11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lang w:val="en-US"/>
              </w:rPr>
            </w:pPr>
            <w:r>
              <w:rPr>
                <w:rFonts w:hint="eastAsia"/>
              </w:rPr>
              <w:t>0.00</w:t>
            </w:r>
          </w:p>
        </w:tc>
        <w:tc>
          <w:tcPr>
            <w:tcW w:w="100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0.00</w:t>
            </w:r>
          </w:p>
        </w:tc>
        <w:tc>
          <w:tcPr>
            <w:tcW w:w="94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r>
              <w:rPr>
                <w:rFonts w:hint="eastAsia"/>
              </w:rPr>
              <w:t>43.00</w:t>
            </w:r>
          </w:p>
        </w:tc>
        <w:tc>
          <w:tcPr>
            <w:tcW w:w="60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Theme="minorEastAsia" w:hAnsiTheme="minorEastAsia" w:eastAsiaTheme="minorEastAsia" w:cstheme="minorEastAsia"/>
                <w:color w:val="000000"/>
                <w:sz w:val="18"/>
                <w:szCs w:val="18"/>
              </w:rPr>
            </w:pPr>
          </w:p>
        </w:tc>
      </w:tr>
    </w:tbl>
    <w:p>
      <w:pPr>
        <w:pStyle w:val="18"/>
        <w:tabs>
          <w:tab w:val="left" w:pos="1235"/>
        </w:tabs>
        <w:spacing w:line="364" w:lineRule="auto"/>
        <w:ind w:left="0" w:firstLine="0"/>
        <w:rPr>
          <w:b/>
          <w:bCs/>
          <w:sz w:val="36"/>
          <w:szCs w:val="36"/>
          <w:lang w:val="en-US"/>
        </w:rPr>
      </w:pPr>
      <w:r>
        <w:rPr>
          <w:rFonts w:hint="eastAsia" w:ascii="宋体" w:hAnsi="宋体" w:eastAsia="宋体" w:cs="宋体"/>
          <w:color w:val="000000"/>
          <w:sz w:val="20"/>
          <w:szCs w:val="20"/>
          <w:lang w:val="en-US"/>
        </w:rPr>
        <w:t>注：本表反映部门本年度一般公共预算财政拨款实际支出情况。</w:t>
      </w:r>
    </w:p>
    <w:p>
      <w:pPr>
        <w:pStyle w:val="18"/>
        <w:tabs>
          <w:tab w:val="left" w:pos="1235"/>
        </w:tabs>
        <w:spacing w:line="364" w:lineRule="auto"/>
        <w:ind w:left="0" w:firstLine="0"/>
        <w:rPr>
          <w:b/>
          <w:bCs/>
          <w:sz w:val="36"/>
          <w:szCs w:val="36"/>
          <w:lang w:val="en-US"/>
        </w:rPr>
      </w:pPr>
    </w:p>
    <w:p>
      <w:pPr>
        <w:pStyle w:val="18"/>
        <w:tabs>
          <w:tab w:val="left" w:pos="1235"/>
        </w:tabs>
        <w:spacing w:line="364" w:lineRule="auto"/>
        <w:ind w:left="0" w:firstLine="0"/>
        <w:jc w:val="center"/>
        <w:rPr>
          <w:b/>
          <w:bCs/>
          <w:sz w:val="32"/>
          <w:szCs w:val="32"/>
          <w:lang w:val="en-US"/>
        </w:rPr>
      </w:pPr>
      <w:r>
        <w:rPr>
          <w:rFonts w:hint="eastAsia"/>
          <w:b/>
          <w:bCs/>
          <w:sz w:val="32"/>
          <w:szCs w:val="32"/>
          <w:lang w:val="en-US"/>
        </w:rPr>
        <w:t>一般公共预算财政拨款基本支出决算表（按经济分类科目）</w:t>
      </w:r>
    </w:p>
    <w:p>
      <w:pPr>
        <w:pStyle w:val="18"/>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06</w:t>
      </w:r>
      <w:r>
        <w:rPr>
          <w:rFonts w:hint="eastAsia"/>
          <w:b/>
          <w:bCs/>
          <w:sz w:val="20"/>
          <w:szCs w:val="20"/>
          <w:lang w:val="en-US"/>
        </w:rPr>
        <w:t>表</w:t>
      </w:r>
    </w:p>
    <w:p>
      <w:pPr>
        <w:pStyle w:val="18"/>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210" w:type="dxa"/>
        <w:tblInd w:w="0" w:type="dxa"/>
        <w:tblLayout w:type="fixed"/>
        <w:tblCellMar>
          <w:top w:w="0" w:type="dxa"/>
          <w:left w:w="0" w:type="dxa"/>
          <w:bottom w:w="0" w:type="dxa"/>
          <w:right w:w="0" w:type="dxa"/>
        </w:tblCellMar>
      </w:tblPr>
      <w:tblGrid>
        <w:gridCol w:w="1065"/>
        <w:gridCol w:w="1845"/>
        <w:gridCol w:w="1740"/>
        <w:gridCol w:w="1830"/>
        <w:gridCol w:w="1725"/>
        <w:gridCol w:w="1005"/>
      </w:tblGrid>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目</w:t>
            </w:r>
          </w:p>
        </w:tc>
        <w:tc>
          <w:tcPr>
            <w:tcW w:w="174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本年支出合计</w:t>
            </w:r>
          </w:p>
        </w:tc>
        <w:tc>
          <w:tcPr>
            <w:tcW w:w="183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人员经费</w:t>
            </w:r>
          </w:p>
        </w:tc>
        <w:tc>
          <w:tcPr>
            <w:tcW w:w="17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公用经费</w:t>
            </w:r>
          </w:p>
        </w:tc>
        <w:tc>
          <w:tcPr>
            <w:tcW w:w="10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备注</w:t>
            </w:r>
          </w:p>
        </w:tc>
      </w:tr>
      <w:tr>
        <w:tblPrEx>
          <w:tblCellMar>
            <w:top w:w="0" w:type="dxa"/>
            <w:left w:w="0" w:type="dxa"/>
            <w:bottom w:w="0" w:type="dxa"/>
            <w:right w:w="0" w:type="dxa"/>
          </w:tblCellMar>
        </w:tblPrEx>
        <w:trPr>
          <w:trHeight w:val="585"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经济分类科目编码</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174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83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7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291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174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lang w:val="en-US"/>
              </w:rPr>
            </w:pPr>
            <w:r>
              <w:rPr>
                <w:rFonts w:hint="eastAsia"/>
              </w:rPr>
              <w:t>602.78</w:t>
            </w:r>
          </w:p>
        </w:tc>
        <w:tc>
          <w:tcPr>
            <w:tcW w:w="1830"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lang w:val="en-US"/>
              </w:rPr>
            </w:pPr>
            <w:r>
              <w:rPr>
                <w:rFonts w:hint="eastAsia" w:ascii="宋体" w:hAnsi="宋体" w:eastAsia="宋体" w:cs="宋体"/>
                <w:b/>
                <w:color w:val="000000"/>
                <w:sz w:val="20"/>
                <w:szCs w:val="20"/>
                <w:lang w:val="en-US"/>
              </w:rPr>
              <w:t>420.59</w:t>
            </w:r>
          </w:p>
        </w:tc>
        <w:tc>
          <w:tcPr>
            <w:tcW w:w="172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lang w:val="en-US"/>
              </w:rPr>
            </w:pPr>
            <w:r>
              <w:rPr>
                <w:rFonts w:hint="eastAsia"/>
              </w:rPr>
              <w:t>169.15</w:t>
            </w:r>
          </w:p>
        </w:tc>
        <w:tc>
          <w:tcPr>
            <w:tcW w:w="1005" w:type="dxa"/>
            <w:tcBorders>
              <w:top w:val="nil"/>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207</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文化旅游体育与传媒支出</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529.20</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347.01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169.15</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rPr>
              <w:t>20701</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文化和旅游</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470.43</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308.27</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152.13</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rPr>
              <w:t>2070101</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 xml:space="preserve">  行政运行</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143.72</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106.21</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31.35</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rPr>
              <w:t>2070104</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图书馆</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79.14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25.07</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54.06</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rPr>
              <w:t>2070109</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 xml:space="preserve">  群众文化</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126.45</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78.36</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48.09</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rPr>
              <w:t>2070112</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 xml:space="preserve">  文化和旅游市场管理</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121.12</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98.63</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18.62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rPr>
              <w:t>20702</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rPr>
              <w:t>文物</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55.77</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38.74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17.02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color w:val="000000"/>
                <w:sz w:val="20"/>
                <w:szCs w:val="20"/>
                <w:lang w:val="en-US"/>
              </w:rPr>
            </w:pPr>
            <w:r>
              <w:rPr>
                <w:rFonts w:hint="eastAsia"/>
              </w:rPr>
              <w:t>2070205</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博物馆</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55.77</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38.74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17.02</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lang w:val="en-US"/>
              </w:rPr>
            </w:pPr>
            <w:r>
              <w:rPr>
                <w:rFonts w:hint="eastAsia"/>
              </w:rPr>
              <w:t>20706</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新闻出版电影</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3.00</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0.00</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2070607</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电影</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3.00</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0.00</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208</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社会保障和就业支出</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51.34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51.34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20805</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行政事业单位离退休</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51.34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51.34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2080505</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机关事业单位基本养老保险缴费支出</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51.34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51.34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210</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卫生健康支出</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22.24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22.24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21011</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行政事业单位医疗</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22.24</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22.24</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2101101</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行政单位医疗</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7.93</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7.93</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2" w:hRule="atLeast"/>
        </w:trPr>
        <w:tc>
          <w:tcPr>
            <w:tcW w:w="10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color w:val="000000"/>
                <w:sz w:val="20"/>
                <w:szCs w:val="20"/>
                <w:lang w:val="en-US"/>
              </w:rPr>
            </w:pPr>
            <w:r>
              <w:rPr>
                <w:rFonts w:hint="eastAsia"/>
              </w:rPr>
              <w:t>2101102</w:t>
            </w:r>
          </w:p>
        </w:tc>
        <w:tc>
          <w:tcPr>
            <w:tcW w:w="18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eastAsia="宋体" w:cs="宋体"/>
                <w:color w:val="000000"/>
                <w:sz w:val="20"/>
                <w:szCs w:val="20"/>
              </w:rPr>
            </w:pPr>
            <w:r>
              <w:rPr>
                <w:rFonts w:hint="eastAsia"/>
              </w:rPr>
              <w:t xml:space="preserve">  事业单位医疗</w:t>
            </w:r>
          </w:p>
        </w:tc>
        <w:tc>
          <w:tcPr>
            <w:tcW w:w="174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14.30</w:t>
            </w:r>
          </w:p>
        </w:tc>
        <w:tc>
          <w:tcPr>
            <w:tcW w:w="18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r>
              <w:rPr>
                <w:rFonts w:hint="eastAsia"/>
              </w:rPr>
              <w:t>14.30</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lang w:val="en-US"/>
              </w:rPr>
            </w:pPr>
            <w:r>
              <w:rPr>
                <w:rFonts w:hint="eastAsia"/>
              </w:rPr>
              <w:t>0.00</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405" w:hRule="atLeast"/>
        </w:trPr>
        <w:tc>
          <w:tcPr>
            <w:tcW w:w="9210" w:type="dxa"/>
            <w:gridSpan w:val="6"/>
            <w:tcBorders>
              <w:top w:val="single" w:color="000000" w:sz="4" w:space="0"/>
              <w:left w:val="nil"/>
              <w:bottom w:val="nil"/>
              <w:right w:val="nil"/>
            </w:tcBorders>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注：本表反映部门本年度一般公共预算财政拨款基本支出明细情况。</w:t>
            </w:r>
          </w:p>
        </w:tc>
      </w:tr>
    </w:tbl>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20"/>
          <w:szCs w:val="20"/>
          <w:lang w:val="en-US"/>
        </w:rPr>
      </w:pPr>
    </w:p>
    <w:p>
      <w:pPr>
        <w:pStyle w:val="18"/>
        <w:tabs>
          <w:tab w:val="left" w:pos="1235"/>
        </w:tabs>
        <w:spacing w:line="364" w:lineRule="auto"/>
        <w:ind w:left="0" w:firstLine="0"/>
        <w:jc w:val="center"/>
        <w:rPr>
          <w:b/>
          <w:bCs/>
          <w:sz w:val="36"/>
          <w:szCs w:val="36"/>
          <w:lang w:val="en-US"/>
        </w:rPr>
      </w:pPr>
      <w:r>
        <w:rPr>
          <w:rFonts w:hint="eastAsia"/>
          <w:b/>
          <w:bCs/>
          <w:sz w:val="36"/>
          <w:szCs w:val="36"/>
          <w:lang w:val="en-US"/>
        </w:rPr>
        <w:t>一般公共预算财政拨款“三公”经费及会议费、培训费支出决算表</w:t>
      </w:r>
    </w:p>
    <w:p>
      <w:pPr>
        <w:pStyle w:val="18"/>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07</w:t>
      </w:r>
      <w:r>
        <w:rPr>
          <w:rFonts w:hint="eastAsia"/>
          <w:b/>
          <w:bCs/>
          <w:sz w:val="20"/>
          <w:szCs w:val="20"/>
          <w:lang w:val="en-US"/>
        </w:rPr>
        <w:t>表</w:t>
      </w:r>
    </w:p>
    <w:p>
      <w:pPr>
        <w:pStyle w:val="18"/>
        <w:tabs>
          <w:tab w:val="left" w:pos="1235"/>
        </w:tabs>
        <w:spacing w:line="200" w:lineRule="exact"/>
        <w:ind w:left="0" w:firstLine="0"/>
        <w:jc w:val="center"/>
        <w:rPr>
          <w:b/>
          <w:bCs/>
          <w:sz w:val="20"/>
          <w:szCs w:val="20"/>
          <w:lang w:val="en-US"/>
        </w:rPr>
      </w:pPr>
      <w:r>
        <w:rPr>
          <w:rFonts w:hint="eastAsia"/>
          <w:b/>
          <w:bCs/>
          <w:sz w:val="20"/>
          <w:szCs w:val="20"/>
          <w:lang w:val="en-US"/>
        </w:rPr>
        <w:t>编制部门：</w:t>
      </w:r>
      <w:r>
        <w:rPr>
          <w:b/>
          <w:bCs/>
          <w:sz w:val="20"/>
          <w:szCs w:val="20"/>
          <w:lang w:val="en-US"/>
        </w:rPr>
        <w:t xml:space="preserve">  </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450" w:type="dxa"/>
        <w:tblInd w:w="0" w:type="dxa"/>
        <w:tblLayout w:type="fixed"/>
        <w:tblCellMar>
          <w:top w:w="0" w:type="dxa"/>
          <w:left w:w="0" w:type="dxa"/>
          <w:bottom w:w="0" w:type="dxa"/>
          <w:right w:w="0" w:type="dxa"/>
        </w:tblCellMar>
      </w:tblPr>
      <w:tblGrid>
        <w:gridCol w:w="1130"/>
        <w:gridCol w:w="1364"/>
        <w:gridCol w:w="1155"/>
        <w:gridCol w:w="869"/>
        <w:gridCol w:w="1019"/>
        <w:gridCol w:w="1034"/>
        <w:gridCol w:w="1274"/>
        <w:gridCol w:w="825"/>
        <w:gridCol w:w="780"/>
      </w:tblGrid>
      <w:tr>
        <w:tblPrEx>
          <w:tblCellMar>
            <w:top w:w="0" w:type="dxa"/>
            <w:left w:w="0" w:type="dxa"/>
            <w:bottom w:w="0" w:type="dxa"/>
            <w:right w:w="0" w:type="dxa"/>
          </w:tblCellMar>
        </w:tblPrEx>
        <w:trPr>
          <w:trHeight w:val="500" w:hRule="atLeast"/>
        </w:trPr>
        <w:tc>
          <w:tcPr>
            <w:tcW w:w="113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w:t>
            </w:r>
          </w:p>
        </w:tc>
        <w:tc>
          <w:tcPr>
            <w:tcW w:w="6715"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一般公共预算财政拨款安排的“三公”经费</w:t>
            </w:r>
          </w:p>
        </w:tc>
        <w:tc>
          <w:tcPr>
            <w:tcW w:w="82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会议费</w:t>
            </w:r>
          </w:p>
        </w:tc>
        <w:tc>
          <w:tcPr>
            <w:tcW w:w="7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培训费</w:t>
            </w: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36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15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因公出国（境）费用</w:t>
            </w:r>
          </w:p>
        </w:tc>
        <w:tc>
          <w:tcPr>
            <w:tcW w:w="869"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公务接待费</w:t>
            </w:r>
          </w:p>
        </w:tc>
        <w:tc>
          <w:tcPr>
            <w:tcW w:w="332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公务用车购置及运行维护费</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36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15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869"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0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10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公务用车购置费</w:t>
            </w:r>
          </w:p>
        </w:tc>
        <w:tc>
          <w:tcPr>
            <w:tcW w:w="1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公务用车运行维护费</w:t>
            </w:r>
          </w:p>
        </w:tc>
        <w:tc>
          <w:tcPr>
            <w:tcW w:w="82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trPr>
        <w:tc>
          <w:tcPr>
            <w:tcW w:w="113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1</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2</w:t>
            </w: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3</w:t>
            </w:r>
          </w:p>
        </w:tc>
        <w:tc>
          <w:tcPr>
            <w:tcW w:w="1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4</w:t>
            </w: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5</w:t>
            </w: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6</w:t>
            </w: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7</w:t>
            </w: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ascii="宋体" w:hAnsi="宋体" w:eastAsia="宋体" w:cs="宋体"/>
                <w:b/>
                <w:color w:val="000000"/>
                <w:sz w:val="20"/>
                <w:szCs w:val="20"/>
                <w:lang w:val="en-US"/>
              </w:rPr>
              <w:t>8</w:t>
            </w:r>
          </w:p>
        </w:tc>
      </w:tr>
      <w:tr>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预算数</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1</w:t>
            </w:r>
          </w:p>
        </w:tc>
        <w:tc>
          <w:tcPr>
            <w:tcW w:w="1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00" w:hRule="atLeast"/>
        </w:trPr>
        <w:tc>
          <w:tcPr>
            <w:tcW w:w="11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宋体" w:hAnsi="宋体" w:eastAsia="宋体" w:cs="宋体"/>
                <w:color w:val="000000"/>
                <w:sz w:val="20"/>
                <w:szCs w:val="20"/>
              </w:rPr>
            </w:pPr>
            <w:r>
              <w:rPr>
                <w:rFonts w:hint="eastAsia" w:ascii="宋体" w:hAnsi="宋体" w:eastAsia="宋体" w:cs="宋体"/>
                <w:color w:val="000000"/>
                <w:sz w:val="20"/>
                <w:szCs w:val="20"/>
                <w:lang w:val="en-US"/>
              </w:rPr>
              <w:t>决算数</w:t>
            </w:r>
          </w:p>
        </w:tc>
        <w:tc>
          <w:tcPr>
            <w:tcW w:w="136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86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宋体" w:hAnsi="宋体" w:eastAsia="宋体" w:cs="宋体"/>
                <w:b/>
                <w:color w:val="000000"/>
                <w:sz w:val="20"/>
                <w:szCs w:val="20"/>
                <w:lang w:val="en-US" w:eastAsia="zh-CN"/>
              </w:rPr>
            </w:pPr>
            <w:r>
              <w:rPr>
                <w:rFonts w:hint="eastAsia" w:ascii="宋体" w:hAnsi="宋体" w:eastAsia="宋体" w:cs="宋体"/>
                <w:b/>
                <w:color w:val="000000"/>
                <w:sz w:val="20"/>
                <w:szCs w:val="20"/>
                <w:lang w:val="en-US" w:eastAsia="zh-CN"/>
              </w:rPr>
              <w:t>0.86</w:t>
            </w:r>
          </w:p>
        </w:tc>
        <w:tc>
          <w:tcPr>
            <w:tcW w:w="101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03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27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8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7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510" w:hRule="atLeast"/>
        </w:trPr>
        <w:tc>
          <w:tcPr>
            <w:tcW w:w="9450" w:type="dxa"/>
            <w:gridSpan w:val="9"/>
            <w:tcBorders>
              <w:top w:val="nil"/>
              <w:left w:val="nil"/>
              <w:bottom w:val="nil"/>
              <w:right w:val="nil"/>
            </w:tcBorders>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注：本表反映部门本年度一般公共预算财政拨款“三公”经费、会议费、培训费的预算数和实际支出数</w:t>
            </w:r>
          </w:p>
        </w:tc>
      </w:tr>
    </w:tbl>
    <w:p>
      <w:pPr>
        <w:pStyle w:val="18"/>
        <w:tabs>
          <w:tab w:val="left" w:pos="1235"/>
        </w:tabs>
        <w:spacing w:line="364" w:lineRule="auto"/>
        <w:ind w:left="0" w:firstLine="0"/>
        <w:jc w:val="center"/>
        <w:rPr>
          <w:b/>
          <w:bCs/>
          <w:sz w:val="36"/>
          <w:szCs w:val="36"/>
          <w:lang w:val="en-US"/>
        </w:rPr>
      </w:pPr>
    </w:p>
    <w:p>
      <w:pPr>
        <w:pStyle w:val="18"/>
        <w:tabs>
          <w:tab w:val="left" w:pos="1235"/>
        </w:tabs>
        <w:spacing w:line="364" w:lineRule="auto"/>
        <w:ind w:left="0" w:firstLine="0"/>
        <w:jc w:val="center"/>
        <w:rPr>
          <w:b/>
          <w:bCs/>
          <w:sz w:val="36"/>
          <w:szCs w:val="36"/>
          <w:lang w:val="en-US"/>
        </w:rPr>
      </w:pPr>
      <w:r>
        <w:rPr>
          <w:rFonts w:hint="eastAsia"/>
          <w:b/>
          <w:bCs/>
          <w:sz w:val="36"/>
          <w:szCs w:val="36"/>
          <w:lang w:val="en-US"/>
        </w:rPr>
        <w:t>政府性基金预算财政拨款收入支出决算表</w:t>
      </w:r>
    </w:p>
    <w:p>
      <w:pPr>
        <w:pStyle w:val="18"/>
        <w:tabs>
          <w:tab w:val="left" w:pos="1235"/>
        </w:tabs>
        <w:spacing w:line="200" w:lineRule="exact"/>
        <w:ind w:left="0" w:right="108" w:firstLine="0"/>
        <w:jc w:val="center"/>
        <w:rPr>
          <w:b/>
          <w:bCs/>
          <w:sz w:val="20"/>
          <w:szCs w:val="20"/>
          <w:lang w:val="en-US"/>
        </w:rPr>
      </w:pPr>
      <w:r>
        <w:rPr>
          <w:b/>
          <w:bCs/>
          <w:sz w:val="20"/>
          <w:szCs w:val="20"/>
          <w:lang w:val="en-US"/>
        </w:rPr>
        <w:t xml:space="preserve">                                                                                </w:t>
      </w:r>
      <w:r>
        <w:rPr>
          <w:rFonts w:hint="eastAsia"/>
          <w:b/>
          <w:bCs/>
          <w:sz w:val="20"/>
          <w:szCs w:val="20"/>
        </w:rPr>
        <w:t>公开</w:t>
      </w:r>
      <w:r>
        <w:rPr>
          <w:b/>
          <w:bCs/>
          <w:sz w:val="20"/>
          <w:szCs w:val="20"/>
          <w:lang w:val="en-US"/>
        </w:rPr>
        <w:t>08</w:t>
      </w:r>
      <w:r>
        <w:rPr>
          <w:rFonts w:hint="eastAsia"/>
          <w:b/>
          <w:bCs/>
          <w:sz w:val="20"/>
          <w:szCs w:val="20"/>
          <w:lang w:val="en-US"/>
        </w:rPr>
        <w:t>表</w:t>
      </w:r>
    </w:p>
    <w:p>
      <w:pPr>
        <w:pStyle w:val="18"/>
        <w:tabs>
          <w:tab w:val="left" w:pos="1235"/>
        </w:tabs>
        <w:spacing w:line="200" w:lineRule="exact"/>
        <w:ind w:left="0" w:right="108" w:firstLine="0"/>
        <w:jc w:val="center"/>
        <w:rPr>
          <w:b/>
          <w:bCs/>
          <w:sz w:val="20"/>
          <w:szCs w:val="20"/>
          <w:lang w:val="en-US"/>
        </w:rPr>
      </w:pPr>
      <w:r>
        <w:rPr>
          <w:rFonts w:hint="eastAsia"/>
          <w:b/>
          <w:bCs/>
          <w:sz w:val="20"/>
          <w:szCs w:val="20"/>
          <w:lang w:val="en-US"/>
        </w:rPr>
        <w:t>编制部门：</w:t>
      </w:r>
      <w:r>
        <w:rPr>
          <w:rFonts w:hint="eastAsia"/>
          <w:b/>
          <w:bCs/>
          <w:sz w:val="20"/>
          <w:szCs w:val="20"/>
          <w:lang w:val="en-US" w:eastAsia="zh-CN"/>
        </w:rPr>
        <w:t>宝鸡市渭滨区文化和旅游局</w:t>
      </w:r>
      <w:r>
        <w:rPr>
          <w:b/>
          <w:bCs/>
          <w:sz w:val="20"/>
          <w:szCs w:val="20"/>
          <w:lang w:val="en-US"/>
        </w:rPr>
        <w:t xml:space="preserve">                                   </w:t>
      </w:r>
      <w:r>
        <w:rPr>
          <w:rFonts w:hint="eastAsia"/>
          <w:b/>
          <w:bCs/>
          <w:sz w:val="20"/>
          <w:szCs w:val="20"/>
          <w:lang w:val="en-US"/>
        </w:rPr>
        <w:t>单位：万元</w:t>
      </w:r>
    </w:p>
    <w:tbl>
      <w:tblPr>
        <w:tblStyle w:val="7"/>
        <w:tblW w:w="9795" w:type="dxa"/>
        <w:tblInd w:w="0" w:type="dxa"/>
        <w:tblLayout w:type="fixed"/>
        <w:tblCellMar>
          <w:top w:w="0" w:type="dxa"/>
          <w:left w:w="0" w:type="dxa"/>
          <w:bottom w:w="0" w:type="dxa"/>
          <w:right w:w="0" w:type="dxa"/>
        </w:tblCellMar>
      </w:tblPr>
      <w:tblGrid>
        <w:gridCol w:w="991"/>
        <w:gridCol w:w="3280"/>
        <w:gridCol w:w="885"/>
        <w:gridCol w:w="1050"/>
        <w:gridCol w:w="667"/>
        <w:gridCol w:w="866"/>
        <w:gridCol w:w="1000"/>
        <w:gridCol w:w="1056"/>
      </w:tblGrid>
      <w:tr>
        <w:tblPrEx>
          <w:tblCellMar>
            <w:top w:w="0" w:type="dxa"/>
            <w:left w:w="0" w:type="dxa"/>
            <w:bottom w:w="0" w:type="dxa"/>
            <w:right w:w="0" w:type="dxa"/>
          </w:tblCellMar>
        </w:tblPrEx>
        <w:trPr>
          <w:trHeight w:val="402" w:hRule="atLeast"/>
        </w:trPr>
        <w:tc>
          <w:tcPr>
            <w:tcW w:w="427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w:t>
            </w:r>
            <w:r>
              <w:rPr>
                <w:rFonts w:ascii="宋体" w:hAnsi="宋体" w:eastAsia="宋体" w:cs="宋体"/>
                <w:b/>
                <w:color w:val="000000"/>
                <w:sz w:val="20"/>
                <w:szCs w:val="20"/>
                <w:lang w:val="en-US"/>
              </w:rPr>
              <w:t xml:space="preserve">    </w:t>
            </w:r>
            <w:r>
              <w:rPr>
                <w:rFonts w:hint="eastAsia" w:ascii="宋体" w:hAnsi="宋体" w:eastAsia="宋体" w:cs="宋体"/>
                <w:b/>
                <w:color w:val="000000"/>
                <w:sz w:val="20"/>
                <w:szCs w:val="20"/>
                <w:lang w:val="en-US"/>
              </w:rPr>
              <w:t>目</w:t>
            </w:r>
          </w:p>
        </w:tc>
        <w:tc>
          <w:tcPr>
            <w:tcW w:w="88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年初结转和结余</w:t>
            </w:r>
          </w:p>
        </w:tc>
        <w:tc>
          <w:tcPr>
            <w:tcW w:w="10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本年收入</w:t>
            </w:r>
          </w:p>
        </w:tc>
        <w:tc>
          <w:tcPr>
            <w:tcW w:w="2533" w:type="dxa"/>
            <w:gridSpan w:val="3"/>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本年支出</w:t>
            </w:r>
          </w:p>
        </w:tc>
        <w:tc>
          <w:tcPr>
            <w:tcW w:w="105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年末结转和结余</w:t>
            </w:r>
          </w:p>
        </w:tc>
      </w:tr>
      <w:tr>
        <w:tblPrEx>
          <w:tblCellMar>
            <w:top w:w="0" w:type="dxa"/>
            <w:left w:w="0" w:type="dxa"/>
            <w:bottom w:w="0" w:type="dxa"/>
            <w:right w:w="0" w:type="dxa"/>
          </w:tblCellMar>
        </w:tblPrEx>
        <w:trPr>
          <w:trHeight w:val="615" w:hRule="atLeast"/>
        </w:trPr>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功能分类科目编码</w:t>
            </w:r>
          </w:p>
        </w:tc>
        <w:tc>
          <w:tcPr>
            <w:tcW w:w="32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科目名称</w:t>
            </w:r>
          </w:p>
        </w:tc>
        <w:tc>
          <w:tcPr>
            <w:tcW w:w="88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10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小计</w:t>
            </w: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基本支出</w:t>
            </w:r>
          </w:p>
        </w:tc>
        <w:tc>
          <w:tcPr>
            <w:tcW w:w="10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项目支出</w:t>
            </w:r>
          </w:p>
        </w:tc>
        <w:tc>
          <w:tcPr>
            <w:tcW w:w="105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342" w:hRule="atLeast"/>
        </w:trPr>
        <w:tc>
          <w:tcPr>
            <w:tcW w:w="4271"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eastAsia="宋体" w:cs="宋体"/>
                <w:b/>
                <w:color w:val="000000"/>
                <w:sz w:val="20"/>
                <w:szCs w:val="20"/>
              </w:rPr>
            </w:pPr>
            <w:r>
              <w:rPr>
                <w:rFonts w:hint="eastAsia" w:ascii="宋体" w:hAnsi="宋体" w:eastAsia="宋体" w:cs="宋体"/>
                <w:b/>
                <w:color w:val="000000"/>
                <w:sz w:val="20"/>
                <w:szCs w:val="20"/>
                <w:lang w:val="en-US"/>
              </w:rPr>
              <w:t>合计</w:t>
            </w:r>
          </w:p>
        </w:tc>
        <w:tc>
          <w:tcPr>
            <w:tcW w:w="885"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lang w:val="en-US"/>
              </w:rPr>
            </w:pPr>
          </w:p>
        </w:tc>
        <w:tc>
          <w:tcPr>
            <w:tcW w:w="6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b/>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lang w:val="en-US"/>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287"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77"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lang w:val="en-US"/>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b/>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bottom"/>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3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8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ascii="宋体" w:hAnsi="宋体" w:eastAsia="宋体" w:cs="宋体"/>
                <w:color w:val="000000"/>
                <w:sz w:val="20"/>
                <w:szCs w:val="20"/>
              </w:rPr>
            </w:pPr>
          </w:p>
        </w:tc>
        <w:tc>
          <w:tcPr>
            <w:tcW w:w="10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6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8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c>
          <w:tcPr>
            <w:tcW w:w="10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hAnsi="宋体" w:eastAsia="宋体" w:cs="宋体"/>
                <w:color w:val="000000"/>
                <w:sz w:val="20"/>
                <w:szCs w:val="20"/>
              </w:rPr>
            </w:pP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right"/>
              <w:rPr>
                <w:rFonts w:ascii="宋体" w:hAnsi="宋体" w:eastAsia="宋体" w:cs="宋体"/>
                <w:color w:val="000000"/>
                <w:sz w:val="20"/>
                <w:szCs w:val="20"/>
              </w:rPr>
            </w:pPr>
          </w:p>
        </w:tc>
      </w:tr>
      <w:tr>
        <w:tblPrEx>
          <w:tblCellMar>
            <w:top w:w="0" w:type="dxa"/>
            <w:left w:w="0" w:type="dxa"/>
            <w:bottom w:w="0" w:type="dxa"/>
            <w:right w:w="0" w:type="dxa"/>
          </w:tblCellMar>
        </w:tblPrEx>
        <w:trPr>
          <w:trHeight w:val="342" w:hRule="atLeast"/>
        </w:trPr>
        <w:tc>
          <w:tcPr>
            <w:tcW w:w="9795" w:type="dxa"/>
            <w:gridSpan w:val="8"/>
            <w:tcBorders>
              <w:top w:val="single" w:color="000000" w:sz="4" w:space="0"/>
              <w:left w:val="nil"/>
              <w:bottom w:val="nil"/>
              <w:right w:val="nil"/>
            </w:tcBorders>
            <w:noWrap/>
            <w:tcMar>
              <w:top w:w="15" w:type="dxa"/>
              <w:left w:w="15" w:type="dxa"/>
              <w:right w:w="15" w:type="dxa"/>
            </w:tcMar>
            <w:vAlign w:val="bottom"/>
          </w:tcPr>
          <w:p>
            <w:pPr>
              <w:widowControl/>
              <w:textAlignment w:val="bottom"/>
              <w:rPr>
                <w:rFonts w:ascii="宋体" w:hAnsi="宋体" w:eastAsia="宋体" w:cs="宋体"/>
                <w:color w:val="000000"/>
                <w:sz w:val="20"/>
                <w:szCs w:val="20"/>
              </w:rPr>
            </w:pPr>
            <w:r>
              <w:rPr>
                <w:rFonts w:hint="eastAsia" w:ascii="宋体" w:hAnsi="宋体" w:eastAsia="宋体" w:cs="宋体"/>
                <w:color w:val="000000"/>
                <w:sz w:val="20"/>
                <w:szCs w:val="20"/>
                <w:lang w:val="en-US"/>
              </w:rPr>
              <w:t>注：本表反映部门本年度政府性基金预算财政拨款收入支出及结转和结余情况</w:t>
            </w:r>
          </w:p>
        </w:tc>
      </w:tr>
    </w:tbl>
    <w:p>
      <w:pPr>
        <w:pStyle w:val="18"/>
        <w:tabs>
          <w:tab w:val="left" w:pos="1235"/>
        </w:tabs>
        <w:spacing w:line="364" w:lineRule="auto"/>
        <w:ind w:left="0" w:firstLine="0"/>
        <w:jc w:val="center"/>
        <w:rPr>
          <w:b/>
          <w:bCs/>
          <w:sz w:val="20"/>
          <w:szCs w:val="20"/>
          <w:lang w:val="en-US"/>
        </w:rPr>
      </w:pPr>
    </w:p>
    <w:p>
      <w:pPr>
        <w:widowControl/>
        <w:jc w:val="both"/>
        <w:rPr>
          <w:rFonts w:ascii="黑体" w:hAnsi="宋体" w:eastAsia="黑体" w:cs="黑体"/>
          <w:color w:val="000000"/>
          <w:sz w:val="43"/>
          <w:szCs w:val="43"/>
          <w:lang w:val="en-US"/>
        </w:rPr>
      </w:pPr>
    </w:p>
    <w:p>
      <w:pPr>
        <w:widowControl/>
        <w:numPr>
          <w:ilvl w:val="0"/>
          <w:numId w:val="2"/>
        </w:numPr>
        <w:jc w:val="center"/>
        <w:rPr>
          <w:rFonts w:ascii="黑体" w:hAnsi="宋体" w:eastAsia="黑体" w:cs="黑体"/>
          <w:color w:val="000000"/>
          <w:sz w:val="43"/>
          <w:szCs w:val="43"/>
          <w:lang w:val="en-US"/>
        </w:rPr>
      </w:pPr>
      <w:r>
        <w:rPr>
          <w:rFonts w:ascii="黑体" w:hAnsi="宋体" w:eastAsia="黑体" w:cs="黑体"/>
          <w:color w:val="000000"/>
          <w:sz w:val="43"/>
          <w:szCs w:val="43"/>
          <w:lang w:val="en-US"/>
        </w:rPr>
        <w:t xml:space="preserve">2019 </w:t>
      </w:r>
      <w:r>
        <w:rPr>
          <w:rFonts w:hint="eastAsia" w:ascii="黑体" w:hAnsi="宋体" w:eastAsia="黑体" w:cs="黑体"/>
          <w:color w:val="000000"/>
          <w:sz w:val="43"/>
          <w:szCs w:val="43"/>
          <w:lang w:val="en-US"/>
        </w:rPr>
        <w:t>年部门决算情况说明</w:t>
      </w:r>
    </w:p>
    <w:p>
      <w:pPr>
        <w:widowControl/>
        <w:ind w:firstLine="620" w:firstLineChars="200"/>
        <w:rPr>
          <w:rFonts w:ascii="黑体" w:hAnsi="宋体" w:eastAsia="黑体" w:cs="黑体"/>
          <w:color w:val="000000"/>
          <w:sz w:val="31"/>
          <w:szCs w:val="31"/>
          <w:lang w:val="en-US"/>
        </w:rPr>
      </w:pP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一、收入支出决算总体情况说明</w:t>
      </w:r>
    </w:p>
    <w:p>
      <w:pPr>
        <w:pStyle w:val="6"/>
        <w:keepNext w:val="0"/>
        <w:keepLines w:val="0"/>
        <w:widowControl/>
        <w:suppressLineNumbers w:val="0"/>
        <w:spacing w:before="0" w:beforeAutospacing="0" w:after="226" w:afterAutospacing="0" w:line="450" w:lineRule="atLeast"/>
        <w:ind w:left="0" w:right="0" w:firstLine="420"/>
        <w:jc w:val="left"/>
        <w:rPr>
          <w:rFonts w:hint="eastAsia" w:ascii="宋体" w:hAnsi="宋体" w:eastAsia="宋体" w:cs="宋体"/>
          <w:sz w:val="24"/>
          <w:szCs w:val="24"/>
        </w:rPr>
      </w:pPr>
      <w:r>
        <w:rPr>
          <w:rFonts w:hint="eastAsia" w:ascii="仿宋" w:hAnsi="仿宋" w:eastAsia="仿宋" w:cs="仿宋"/>
          <w:bCs/>
          <w:color w:val="000000"/>
          <w:sz w:val="32"/>
          <w:szCs w:val="32"/>
          <w:lang w:val="en-US"/>
        </w:rPr>
        <w:t>2019年度收入</w:t>
      </w:r>
      <w:r>
        <w:rPr>
          <w:rFonts w:hint="eastAsia" w:ascii="仿宋" w:hAnsi="仿宋" w:eastAsia="仿宋" w:cs="仿宋"/>
          <w:bCs/>
          <w:color w:val="000000"/>
          <w:sz w:val="32"/>
          <w:szCs w:val="32"/>
          <w:lang w:val="en-US" w:eastAsia="zh-CN"/>
        </w:rPr>
        <w:t>999.29</w:t>
      </w:r>
      <w:r>
        <w:rPr>
          <w:rFonts w:hint="eastAsia" w:ascii="仿宋" w:hAnsi="仿宋" w:eastAsia="仿宋" w:cs="仿宋"/>
          <w:bCs/>
          <w:color w:val="000000"/>
          <w:sz w:val="32"/>
          <w:szCs w:val="32"/>
          <w:lang w:val="en-US"/>
        </w:rPr>
        <w:t>万元，支出</w:t>
      </w:r>
      <w:r>
        <w:rPr>
          <w:rFonts w:hint="eastAsia" w:ascii="仿宋" w:hAnsi="仿宋" w:eastAsia="仿宋" w:cs="仿宋"/>
          <w:bCs/>
          <w:color w:val="000000"/>
          <w:sz w:val="32"/>
          <w:szCs w:val="32"/>
          <w:lang w:val="en-US" w:eastAsia="zh-CN"/>
        </w:rPr>
        <w:t>1101.26</w:t>
      </w:r>
      <w:r>
        <w:rPr>
          <w:rFonts w:hint="eastAsia" w:ascii="仿宋" w:hAnsi="仿宋" w:eastAsia="仿宋" w:cs="仿宋"/>
          <w:bCs/>
          <w:color w:val="000000"/>
          <w:sz w:val="32"/>
          <w:szCs w:val="32"/>
          <w:lang w:val="en-US"/>
        </w:rPr>
        <w:t>万元，年末结转</w:t>
      </w:r>
      <w:r>
        <w:rPr>
          <w:rFonts w:hint="eastAsia" w:ascii="仿宋" w:hAnsi="仿宋" w:eastAsia="仿宋" w:cs="仿宋"/>
          <w:bCs/>
          <w:color w:val="000000"/>
          <w:sz w:val="32"/>
          <w:szCs w:val="32"/>
          <w:lang w:val="en-US" w:eastAsia="zh-CN"/>
        </w:rPr>
        <w:t>242.23</w:t>
      </w:r>
      <w:r>
        <w:rPr>
          <w:rFonts w:hint="eastAsia" w:ascii="仿宋" w:hAnsi="仿宋" w:eastAsia="仿宋" w:cs="仿宋"/>
          <w:bCs/>
          <w:color w:val="000000"/>
          <w:sz w:val="32"/>
          <w:szCs w:val="32"/>
          <w:lang w:val="en-US"/>
        </w:rPr>
        <w:t>万元</w:t>
      </w:r>
      <w:r>
        <w:rPr>
          <w:rFonts w:hint="eastAsia" w:ascii="仿宋" w:hAnsi="仿宋" w:eastAsia="仿宋" w:cs="仿宋"/>
          <w:b w:val="0"/>
          <w:color w:val="333333"/>
          <w:sz w:val="32"/>
          <w:szCs w:val="32"/>
          <w:shd w:val="clear" w:fill="FFFFFF"/>
        </w:rPr>
        <w:t>，同比去年决算总收入</w:t>
      </w:r>
      <w:r>
        <w:rPr>
          <w:rFonts w:hint="eastAsia" w:ascii="仿宋" w:hAnsi="仿宋" w:eastAsia="仿宋" w:cs="仿宋"/>
          <w:i w:val="0"/>
          <w:caps w:val="0"/>
          <w:color w:val="000000"/>
          <w:spacing w:val="0"/>
          <w:sz w:val="32"/>
          <w:szCs w:val="32"/>
        </w:rPr>
        <w:t>1,191.75</w:t>
      </w:r>
      <w:r>
        <w:rPr>
          <w:rFonts w:hint="eastAsia" w:ascii="仿宋" w:hAnsi="仿宋" w:eastAsia="仿宋" w:cs="仿宋"/>
          <w:b w:val="0"/>
          <w:color w:val="333333"/>
          <w:sz w:val="32"/>
          <w:szCs w:val="32"/>
          <w:shd w:val="clear" w:fill="FFFFFF"/>
        </w:rPr>
        <w:t>万元，</w:t>
      </w:r>
      <w:r>
        <w:rPr>
          <w:rFonts w:hint="eastAsia" w:ascii="仿宋" w:hAnsi="仿宋" w:eastAsia="仿宋" w:cs="仿宋"/>
          <w:b w:val="0"/>
          <w:color w:val="333333"/>
          <w:sz w:val="32"/>
          <w:szCs w:val="32"/>
          <w:shd w:val="clear" w:fill="FFFFFF"/>
          <w:lang w:eastAsia="zh-CN"/>
        </w:rPr>
        <w:t>减少</w:t>
      </w:r>
      <w:r>
        <w:rPr>
          <w:rFonts w:hint="eastAsia" w:ascii="仿宋" w:hAnsi="仿宋" w:eastAsia="仿宋" w:cs="仿宋"/>
          <w:b w:val="0"/>
          <w:color w:val="333333"/>
          <w:sz w:val="32"/>
          <w:szCs w:val="32"/>
          <w:shd w:val="clear" w:fill="FFFFFF"/>
          <w:lang w:val="en-US" w:eastAsia="zh-CN"/>
        </w:rPr>
        <w:t>10.2</w:t>
      </w:r>
      <w:r>
        <w:rPr>
          <w:rFonts w:hint="eastAsia" w:ascii="仿宋" w:hAnsi="仿宋" w:eastAsia="仿宋" w:cs="仿宋"/>
          <w:b w:val="0"/>
          <w:color w:val="333333"/>
          <w:sz w:val="32"/>
          <w:szCs w:val="32"/>
          <w:shd w:val="clear" w:fill="FFFFFF"/>
        </w:rPr>
        <w:t>%，同比去年决算总支出</w:t>
      </w:r>
      <w:r>
        <w:rPr>
          <w:rFonts w:hint="eastAsia" w:ascii="仿宋" w:hAnsi="仿宋" w:eastAsia="仿宋" w:cs="仿宋"/>
          <w:i w:val="0"/>
          <w:caps w:val="0"/>
          <w:color w:val="000000"/>
          <w:spacing w:val="0"/>
          <w:sz w:val="32"/>
          <w:szCs w:val="32"/>
        </w:rPr>
        <w:t>1,340.77</w:t>
      </w:r>
      <w:r>
        <w:rPr>
          <w:rFonts w:hint="eastAsia" w:ascii="仿宋" w:hAnsi="仿宋" w:eastAsia="仿宋" w:cs="仿宋"/>
          <w:b w:val="0"/>
          <w:color w:val="333333"/>
          <w:sz w:val="32"/>
          <w:szCs w:val="32"/>
          <w:shd w:val="clear" w:fill="FFFFFF"/>
        </w:rPr>
        <w:t>万元，</w:t>
      </w:r>
      <w:r>
        <w:rPr>
          <w:rFonts w:hint="eastAsia" w:ascii="仿宋" w:hAnsi="仿宋" w:eastAsia="仿宋" w:cs="仿宋"/>
          <w:b w:val="0"/>
          <w:color w:val="333333"/>
          <w:sz w:val="32"/>
          <w:szCs w:val="32"/>
          <w:shd w:val="clear" w:fill="FFFFFF"/>
          <w:lang w:eastAsia="zh-CN"/>
        </w:rPr>
        <w:t>减少了</w:t>
      </w:r>
      <w:r>
        <w:rPr>
          <w:rFonts w:hint="eastAsia" w:ascii="仿宋" w:hAnsi="仿宋" w:eastAsia="仿宋" w:cs="仿宋"/>
          <w:b w:val="0"/>
          <w:color w:val="333333"/>
          <w:sz w:val="32"/>
          <w:szCs w:val="32"/>
          <w:shd w:val="clear" w:fill="FFFFFF"/>
          <w:lang w:val="en-US" w:eastAsia="zh-CN"/>
        </w:rPr>
        <w:t>21.7</w:t>
      </w:r>
      <w:r>
        <w:rPr>
          <w:rFonts w:hint="eastAsia" w:ascii="仿宋" w:hAnsi="仿宋" w:eastAsia="仿宋" w:cs="仿宋"/>
          <w:b w:val="0"/>
          <w:color w:val="333333"/>
          <w:sz w:val="32"/>
          <w:szCs w:val="32"/>
          <w:shd w:val="clear" w:fill="FFFFFF"/>
        </w:rPr>
        <w:t>%，主要为</w:t>
      </w:r>
      <w:r>
        <w:rPr>
          <w:rFonts w:hint="eastAsia" w:ascii="仿宋" w:hAnsi="仿宋" w:eastAsia="仿宋" w:cs="仿宋"/>
          <w:b w:val="0"/>
          <w:color w:val="333333"/>
          <w:sz w:val="32"/>
          <w:szCs w:val="32"/>
          <w:shd w:val="clear" w:fill="FFFFFF"/>
          <w:lang w:eastAsia="zh-CN"/>
        </w:rPr>
        <w:t>机构改革预算单位减少</w:t>
      </w:r>
      <w:r>
        <w:rPr>
          <w:rFonts w:hint="eastAsia" w:ascii="仿宋" w:hAnsi="仿宋" w:eastAsia="仿宋" w:cs="仿宋"/>
          <w:b w:val="0"/>
          <w:color w:val="333333"/>
          <w:sz w:val="32"/>
          <w:szCs w:val="32"/>
          <w:shd w:val="clear" w:fill="FFFFFF"/>
        </w:rPr>
        <w:t>。</w:t>
      </w:r>
    </w:p>
    <w:p>
      <w:pPr>
        <w:widowControl/>
        <w:spacing w:line="370" w:lineRule="auto"/>
        <w:ind w:left="550" w:leftChars="250" w:firstLine="622"/>
        <w:rPr>
          <w:bCs/>
          <w:color w:val="000000"/>
          <w:sz w:val="32"/>
          <w:szCs w:val="32"/>
          <w:lang w:val="en-US"/>
        </w:rPr>
      </w:pPr>
      <w:r>
        <w:rPr>
          <w:lang w:val="en-US"/>
        </w:rPr>
        <w:pict>
          <v:shape id="_x0000_i1026" o:spt="75" type="#_x0000_t75" style="height:217.5pt;width:362.25pt;" filled="f" o:preferrelative="t" stroked="f" coordsize="21600,21600">
            <v:path/>
            <v:fill on="f" focussize="0,0"/>
            <v:stroke on="f" joinstyle="miter"/>
            <v:imagedata r:id="rId11" o:title=""/>
            <o:lock v:ext="edit" aspectratio="t"/>
            <w10:wrap type="none"/>
            <w10:anchorlock/>
          </v:shape>
        </w:pic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二、收入决算情况说明</w:t>
      </w:r>
    </w:p>
    <w:p>
      <w:pPr>
        <w:pStyle w:val="6"/>
        <w:keepNext w:val="0"/>
        <w:keepLines w:val="0"/>
        <w:widowControl/>
        <w:suppressLineNumbers w:val="0"/>
        <w:spacing w:before="0" w:beforeAutospacing="0" w:after="226" w:afterAutospacing="0" w:line="450" w:lineRule="atLeast"/>
        <w:ind w:left="0" w:right="0" w:firstLine="420"/>
        <w:jc w:val="left"/>
        <w:rPr>
          <w:bCs/>
          <w:color w:val="000000"/>
          <w:sz w:val="32"/>
          <w:szCs w:val="32"/>
          <w:lang w:val="en-US"/>
        </w:rPr>
      </w:pPr>
      <w:r>
        <w:rPr>
          <w:rFonts w:hint="eastAsia"/>
          <w:bCs/>
          <w:color w:val="000000"/>
          <w:sz w:val="32"/>
          <w:szCs w:val="32"/>
          <w:lang w:val="en-US"/>
        </w:rPr>
        <w:t>本年度收入构成情况：</w:t>
      </w:r>
      <w:r>
        <w:rPr>
          <w:bCs/>
          <w:color w:val="000000"/>
          <w:sz w:val="32"/>
          <w:szCs w:val="32"/>
          <w:lang w:val="en-US"/>
        </w:rPr>
        <w:t>2019</w:t>
      </w:r>
      <w:r>
        <w:rPr>
          <w:rFonts w:hint="eastAsia"/>
          <w:bCs/>
          <w:color w:val="000000"/>
          <w:sz w:val="32"/>
          <w:szCs w:val="32"/>
          <w:lang w:val="en-US"/>
        </w:rPr>
        <w:t>年收入</w:t>
      </w:r>
      <w:r>
        <w:rPr>
          <w:rFonts w:hint="eastAsia" w:ascii="仿宋" w:hAnsi="仿宋" w:eastAsia="仿宋" w:cs="仿宋"/>
          <w:bCs/>
          <w:color w:val="000000"/>
          <w:sz w:val="32"/>
          <w:szCs w:val="32"/>
          <w:lang w:val="en-US" w:eastAsia="zh-CN"/>
        </w:rPr>
        <w:t>999.29</w:t>
      </w:r>
      <w:r>
        <w:rPr>
          <w:rFonts w:hint="eastAsia"/>
          <w:bCs/>
          <w:color w:val="000000"/>
          <w:sz w:val="32"/>
          <w:szCs w:val="32"/>
          <w:lang w:val="en-US"/>
        </w:rPr>
        <w:t>万元，一般公共预算财政拨款收入</w:t>
      </w:r>
      <w:r>
        <w:rPr>
          <w:rFonts w:hint="eastAsia" w:ascii="仿宋" w:hAnsi="仿宋" w:eastAsia="仿宋" w:cs="仿宋"/>
          <w:bCs/>
          <w:color w:val="000000"/>
          <w:sz w:val="32"/>
          <w:szCs w:val="32"/>
          <w:lang w:val="en-US" w:eastAsia="zh-CN"/>
        </w:rPr>
        <w:t>999.29</w:t>
      </w:r>
      <w:r>
        <w:rPr>
          <w:rFonts w:hint="eastAsia"/>
          <w:bCs/>
          <w:color w:val="000000"/>
          <w:sz w:val="32"/>
          <w:szCs w:val="32"/>
          <w:lang w:val="en-US"/>
        </w:rPr>
        <w:t>万元，政府性基金预算财政拨款收入</w:t>
      </w:r>
      <w:r>
        <w:rPr>
          <w:rFonts w:hint="eastAsia"/>
          <w:bCs/>
          <w:color w:val="000000"/>
          <w:sz w:val="32"/>
          <w:szCs w:val="32"/>
          <w:lang w:val="en-US" w:eastAsia="zh-CN"/>
        </w:rPr>
        <w:t>0</w:t>
      </w:r>
      <w:r>
        <w:rPr>
          <w:rFonts w:hint="eastAsia"/>
          <w:bCs/>
          <w:color w:val="000000"/>
          <w:sz w:val="32"/>
          <w:szCs w:val="32"/>
          <w:lang w:val="en-US"/>
        </w:rPr>
        <w:t>万元，</w:t>
      </w:r>
      <w:r>
        <w:rPr>
          <w:rFonts w:hint="eastAsia" w:ascii="仿宋" w:hAnsi="仿宋" w:eastAsia="仿宋" w:cs="仿宋"/>
          <w:b w:val="0"/>
          <w:color w:val="333333"/>
          <w:sz w:val="32"/>
          <w:szCs w:val="32"/>
          <w:shd w:val="clear" w:fill="FFFFFF"/>
        </w:rPr>
        <w:t>为区级财政当年拨付的公共预算财政拨款资金。</w:t>
      </w:r>
    </w:p>
    <w:p>
      <w:pPr>
        <w:widowControl/>
        <w:spacing w:line="370" w:lineRule="auto"/>
        <w:ind w:left="550" w:leftChars="250" w:firstLine="622"/>
        <w:rPr>
          <w:bCs/>
          <w:color w:val="000000"/>
          <w:sz w:val="32"/>
          <w:szCs w:val="32"/>
          <w:lang w:val="en-US"/>
        </w:rPr>
      </w:pPr>
      <w:r>
        <w:rPr>
          <w:lang w:val="en-US"/>
        </w:rPr>
        <w:pict>
          <v:shape id="_x0000_i1027" o:spt="75" type="#_x0000_t75" style="height:218.25pt;width:362.25pt;" filled="f" o:preferrelative="t" stroked="f" coordsize="21600,21600">
            <v:path/>
            <v:fill on="f" focussize="0,0"/>
            <v:stroke on="f" joinstyle="miter"/>
            <v:imagedata r:id="rId12" o:title=""/>
            <o:lock v:ext="edit" aspectratio="t"/>
            <w10:wrap type="none"/>
            <w10:anchorlock/>
          </v:shape>
        </w:pic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三、支出决算情况说明</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本年度支出构成情况：</w:t>
      </w:r>
      <w:r>
        <w:rPr>
          <w:bCs/>
          <w:color w:val="000000"/>
          <w:sz w:val="32"/>
          <w:szCs w:val="32"/>
          <w:lang w:val="en-US"/>
        </w:rPr>
        <w:t>2019</w:t>
      </w:r>
      <w:r>
        <w:rPr>
          <w:rFonts w:hint="eastAsia"/>
          <w:bCs/>
          <w:color w:val="000000"/>
          <w:sz w:val="32"/>
          <w:szCs w:val="32"/>
          <w:lang w:val="en-US"/>
        </w:rPr>
        <w:t>年度支出</w:t>
      </w:r>
      <w:r>
        <w:rPr>
          <w:rFonts w:hint="eastAsia" w:ascii="仿宋" w:hAnsi="仿宋" w:eastAsia="仿宋" w:cs="仿宋"/>
          <w:bCs/>
          <w:color w:val="000000"/>
          <w:sz w:val="32"/>
          <w:szCs w:val="32"/>
          <w:lang w:val="en-US" w:eastAsia="zh-CN"/>
        </w:rPr>
        <w:t>1101.26</w:t>
      </w:r>
      <w:r>
        <w:rPr>
          <w:rFonts w:hint="eastAsia"/>
          <w:bCs/>
          <w:color w:val="000000"/>
          <w:sz w:val="32"/>
          <w:szCs w:val="32"/>
          <w:lang w:val="en-US"/>
        </w:rPr>
        <w:t>万元，其中一般公共预算财政拨款支出</w:t>
      </w:r>
      <w:r>
        <w:rPr>
          <w:rFonts w:hint="eastAsia"/>
          <w:sz w:val="32"/>
          <w:szCs w:val="32"/>
        </w:rPr>
        <w:t>602.78</w:t>
      </w:r>
      <w:r>
        <w:rPr>
          <w:rFonts w:hint="eastAsia"/>
          <w:bCs/>
          <w:color w:val="000000"/>
          <w:sz w:val="32"/>
          <w:szCs w:val="32"/>
          <w:lang w:val="en-US"/>
        </w:rPr>
        <w:t>万元，政府性基金预算财政拨款支出</w:t>
      </w:r>
      <w:r>
        <w:rPr>
          <w:rFonts w:hint="eastAsia"/>
          <w:bCs/>
          <w:color w:val="000000"/>
          <w:sz w:val="32"/>
          <w:szCs w:val="32"/>
          <w:lang w:val="en-US" w:eastAsia="zh-CN"/>
        </w:rPr>
        <w:t>0</w:t>
      </w:r>
      <w:r>
        <w:rPr>
          <w:rFonts w:hint="eastAsia"/>
          <w:bCs/>
          <w:color w:val="000000"/>
          <w:sz w:val="32"/>
          <w:szCs w:val="32"/>
          <w:lang w:val="en-US"/>
        </w:rPr>
        <w:t>万元。年末财政拨款结转和结余</w:t>
      </w:r>
      <w:r>
        <w:rPr>
          <w:rFonts w:hint="eastAsia" w:ascii="仿宋" w:hAnsi="仿宋" w:eastAsia="仿宋" w:cs="仿宋"/>
          <w:b w:val="0"/>
          <w:bCs/>
          <w:color w:val="000000"/>
          <w:sz w:val="32"/>
          <w:szCs w:val="32"/>
          <w:lang w:val="en-US"/>
        </w:rPr>
        <w:t>242.23</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lang w:val="en-US"/>
        </w:rPr>
        <w:pict>
          <v:shape id="_x0000_i1028" o:spt="75" type="#_x0000_t75" style="height:218.25pt;width:362.25pt;" filled="f" o:preferrelative="t" stroked="f" coordsize="21600,21600">
            <v:path/>
            <v:fill on="f" focussize="0,0"/>
            <v:stroke on="f" joinstyle="miter"/>
            <v:imagedata r:id="rId13" o:title=""/>
            <o:lock v:ext="edit" aspectratio="t"/>
            <w10:wrap type="none"/>
            <w10:anchorlock/>
          </v:shape>
        </w:pic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四、财政拨款收入支出决算总体情况说明</w:t>
      </w:r>
    </w:p>
    <w:p>
      <w:pPr>
        <w:pStyle w:val="6"/>
        <w:keepNext w:val="0"/>
        <w:keepLines w:val="0"/>
        <w:widowControl/>
        <w:suppressLineNumbers w:val="0"/>
        <w:spacing w:before="0" w:beforeAutospacing="0" w:after="226" w:afterAutospacing="0" w:line="450" w:lineRule="atLeast"/>
        <w:ind w:right="0" w:firstLine="640" w:firstLineChars="200"/>
        <w:jc w:val="left"/>
        <w:rPr>
          <w:rFonts w:hint="eastAsia" w:ascii="宋体" w:hAnsi="宋体" w:eastAsia="宋体" w:cs="宋体"/>
          <w:sz w:val="24"/>
          <w:szCs w:val="24"/>
        </w:rPr>
      </w:pPr>
      <w:r>
        <w:rPr>
          <w:rFonts w:hint="eastAsia" w:ascii="仿宋" w:hAnsi="仿宋" w:eastAsia="仿宋" w:cs="仿宋"/>
          <w:bCs/>
          <w:color w:val="000000"/>
          <w:sz w:val="32"/>
          <w:szCs w:val="32"/>
          <w:lang w:val="en-US"/>
        </w:rPr>
        <w:t>2019年度收入</w:t>
      </w:r>
      <w:r>
        <w:rPr>
          <w:rFonts w:hint="eastAsia" w:ascii="仿宋" w:hAnsi="仿宋" w:eastAsia="仿宋" w:cs="仿宋"/>
          <w:bCs/>
          <w:color w:val="000000"/>
          <w:sz w:val="32"/>
          <w:szCs w:val="32"/>
          <w:lang w:val="en-US" w:eastAsia="zh-CN"/>
        </w:rPr>
        <w:t>999.29</w:t>
      </w:r>
      <w:r>
        <w:rPr>
          <w:rFonts w:hint="eastAsia" w:ascii="仿宋" w:hAnsi="仿宋" w:eastAsia="仿宋" w:cs="仿宋"/>
          <w:bCs/>
          <w:color w:val="000000"/>
          <w:sz w:val="32"/>
          <w:szCs w:val="32"/>
          <w:lang w:val="en-US"/>
        </w:rPr>
        <w:t>万元，支出</w:t>
      </w:r>
      <w:r>
        <w:rPr>
          <w:rFonts w:hint="eastAsia" w:ascii="仿宋" w:hAnsi="仿宋" w:eastAsia="仿宋" w:cs="仿宋"/>
          <w:bCs/>
          <w:color w:val="000000"/>
          <w:sz w:val="32"/>
          <w:szCs w:val="32"/>
          <w:lang w:val="en-US" w:eastAsia="zh-CN"/>
        </w:rPr>
        <w:t>1101.26</w:t>
      </w:r>
      <w:r>
        <w:rPr>
          <w:rFonts w:hint="eastAsia" w:ascii="仿宋" w:hAnsi="仿宋" w:eastAsia="仿宋" w:cs="仿宋"/>
          <w:bCs/>
          <w:color w:val="000000"/>
          <w:sz w:val="32"/>
          <w:szCs w:val="32"/>
          <w:lang w:val="en-US"/>
        </w:rPr>
        <w:t>万元，年末结转</w:t>
      </w:r>
      <w:r>
        <w:rPr>
          <w:rFonts w:hint="eastAsia" w:ascii="仿宋" w:hAnsi="仿宋" w:eastAsia="仿宋" w:cs="仿宋"/>
          <w:bCs/>
          <w:color w:val="000000"/>
          <w:sz w:val="32"/>
          <w:szCs w:val="32"/>
          <w:lang w:val="en-US" w:eastAsia="zh-CN"/>
        </w:rPr>
        <w:t>242.23</w:t>
      </w:r>
      <w:r>
        <w:rPr>
          <w:rFonts w:hint="eastAsia" w:ascii="仿宋" w:hAnsi="仿宋" w:eastAsia="仿宋" w:cs="仿宋"/>
          <w:bCs/>
          <w:color w:val="000000"/>
          <w:sz w:val="32"/>
          <w:szCs w:val="32"/>
          <w:lang w:val="en-US"/>
        </w:rPr>
        <w:t>万元</w:t>
      </w:r>
      <w:r>
        <w:rPr>
          <w:rFonts w:hint="eastAsia" w:ascii="仿宋" w:hAnsi="仿宋" w:eastAsia="仿宋" w:cs="仿宋"/>
          <w:b w:val="0"/>
          <w:color w:val="333333"/>
          <w:sz w:val="32"/>
          <w:szCs w:val="32"/>
          <w:shd w:val="clear" w:fill="FFFFFF"/>
        </w:rPr>
        <w:t>，同比去年决算总收入</w:t>
      </w:r>
      <w:r>
        <w:rPr>
          <w:rFonts w:hint="eastAsia" w:ascii="仿宋" w:hAnsi="仿宋" w:eastAsia="仿宋" w:cs="仿宋"/>
          <w:i w:val="0"/>
          <w:caps w:val="0"/>
          <w:color w:val="000000"/>
          <w:spacing w:val="0"/>
          <w:sz w:val="32"/>
          <w:szCs w:val="32"/>
        </w:rPr>
        <w:t>1,191.75</w:t>
      </w:r>
      <w:r>
        <w:rPr>
          <w:rFonts w:hint="eastAsia" w:ascii="仿宋" w:hAnsi="仿宋" w:eastAsia="仿宋" w:cs="仿宋"/>
          <w:b w:val="0"/>
          <w:color w:val="333333"/>
          <w:sz w:val="32"/>
          <w:szCs w:val="32"/>
          <w:shd w:val="clear" w:fill="FFFFFF"/>
        </w:rPr>
        <w:t>万元，</w:t>
      </w:r>
      <w:r>
        <w:rPr>
          <w:rFonts w:hint="eastAsia" w:ascii="仿宋" w:hAnsi="仿宋" w:eastAsia="仿宋" w:cs="仿宋"/>
          <w:b w:val="0"/>
          <w:color w:val="333333"/>
          <w:sz w:val="32"/>
          <w:szCs w:val="32"/>
          <w:shd w:val="clear" w:fill="FFFFFF"/>
          <w:lang w:eastAsia="zh-CN"/>
        </w:rPr>
        <w:t>减少</w:t>
      </w:r>
      <w:r>
        <w:rPr>
          <w:rFonts w:hint="eastAsia" w:ascii="仿宋" w:hAnsi="仿宋" w:eastAsia="仿宋" w:cs="仿宋"/>
          <w:b w:val="0"/>
          <w:color w:val="333333"/>
          <w:sz w:val="32"/>
          <w:szCs w:val="32"/>
          <w:shd w:val="clear" w:fill="FFFFFF"/>
          <w:lang w:val="en-US" w:eastAsia="zh-CN"/>
        </w:rPr>
        <w:t>10.2</w:t>
      </w:r>
      <w:r>
        <w:rPr>
          <w:rFonts w:hint="eastAsia" w:ascii="仿宋" w:hAnsi="仿宋" w:eastAsia="仿宋" w:cs="仿宋"/>
          <w:b w:val="0"/>
          <w:color w:val="333333"/>
          <w:sz w:val="32"/>
          <w:szCs w:val="32"/>
          <w:shd w:val="clear" w:fill="FFFFFF"/>
        </w:rPr>
        <w:t>%，同比去年决算总支出</w:t>
      </w:r>
      <w:r>
        <w:rPr>
          <w:rFonts w:hint="eastAsia" w:ascii="仿宋" w:hAnsi="仿宋" w:eastAsia="仿宋" w:cs="仿宋"/>
          <w:i w:val="0"/>
          <w:caps w:val="0"/>
          <w:color w:val="000000"/>
          <w:spacing w:val="0"/>
          <w:sz w:val="32"/>
          <w:szCs w:val="32"/>
        </w:rPr>
        <w:t>1,340.77</w:t>
      </w:r>
      <w:r>
        <w:rPr>
          <w:rFonts w:hint="eastAsia" w:ascii="仿宋" w:hAnsi="仿宋" w:eastAsia="仿宋" w:cs="仿宋"/>
          <w:b w:val="0"/>
          <w:color w:val="333333"/>
          <w:sz w:val="32"/>
          <w:szCs w:val="32"/>
          <w:shd w:val="clear" w:fill="FFFFFF"/>
        </w:rPr>
        <w:t>万元，</w:t>
      </w:r>
      <w:r>
        <w:rPr>
          <w:rFonts w:hint="eastAsia" w:ascii="仿宋" w:hAnsi="仿宋" w:eastAsia="仿宋" w:cs="仿宋"/>
          <w:b w:val="0"/>
          <w:color w:val="333333"/>
          <w:sz w:val="32"/>
          <w:szCs w:val="32"/>
          <w:shd w:val="clear" w:fill="FFFFFF"/>
          <w:lang w:eastAsia="zh-CN"/>
        </w:rPr>
        <w:t>减少了</w:t>
      </w:r>
      <w:r>
        <w:rPr>
          <w:rFonts w:hint="eastAsia" w:ascii="仿宋" w:hAnsi="仿宋" w:eastAsia="仿宋" w:cs="仿宋"/>
          <w:b w:val="0"/>
          <w:color w:val="333333"/>
          <w:sz w:val="32"/>
          <w:szCs w:val="32"/>
          <w:shd w:val="clear" w:fill="FFFFFF"/>
          <w:lang w:val="en-US" w:eastAsia="zh-CN"/>
        </w:rPr>
        <w:t>21.7</w:t>
      </w:r>
      <w:r>
        <w:rPr>
          <w:rFonts w:hint="eastAsia" w:ascii="仿宋" w:hAnsi="仿宋" w:eastAsia="仿宋" w:cs="仿宋"/>
          <w:b w:val="0"/>
          <w:color w:val="333333"/>
          <w:sz w:val="32"/>
          <w:szCs w:val="32"/>
          <w:shd w:val="clear" w:fill="FFFFFF"/>
        </w:rPr>
        <w:t>%，主要为</w:t>
      </w:r>
      <w:r>
        <w:rPr>
          <w:rFonts w:hint="eastAsia" w:ascii="仿宋" w:hAnsi="仿宋" w:eastAsia="仿宋" w:cs="仿宋"/>
          <w:b w:val="0"/>
          <w:color w:val="333333"/>
          <w:sz w:val="32"/>
          <w:szCs w:val="32"/>
          <w:shd w:val="clear" w:fill="FFFFFF"/>
          <w:lang w:eastAsia="zh-CN"/>
        </w:rPr>
        <w:t>机构改革预算单位减少</w:t>
      </w:r>
      <w:r>
        <w:rPr>
          <w:rFonts w:hint="eastAsia" w:ascii="仿宋" w:hAnsi="仿宋" w:eastAsia="仿宋" w:cs="仿宋"/>
          <w:b w:val="0"/>
          <w:color w:val="333333"/>
          <w:sz w:val="32"/>
          <w:szCs w:val="32"/>
          <w:shd w:val="clear" w:fill="FFFFFF"/>
        </w:rPr>
        <w:t>。</w: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五、一般公共预算财政拨款支出决算情况说明</w:t>
      </w:r>
    </w:p>
    <w:p>
      <w:pPr>
        <w:widowControl/>
        <w:spacing w:line="370" w:lineRule="auto"/>
        <w:ind w:left="550" w:leftChars="250" w:firstLine="622"/>
        <w:rPr>
          <w:b/>
          <w:color w:val="000000"/>
          <w:sz w:val="32"/>
          <w:szCs w:val="32"/>
          <w:lang w:val="en-US"/>
        </w:rPr>
      </w:pPr>
      <w:r>
        <w:rPr>
          <w:rFonts w:hint="eastAsia"/>
          <w:b/>
          <w:color w:val="000000"/>
          <w:sz w:val="32"/>
          <w:szCs w:val="32"/>
          <w:lang w:val="en-US"/>
        </w:rPr>
        <w:t>（一）财政拨款支出决算总体情况说明。</w:t>
      </w:r>
    </w:p>
    <w:p>
      <w:pPr>
        <w:widowControl/>
        <w:spacing w:line="370" w:lineRule="auto"/>
        <w:ind w:left="550" w:leftChars="2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年财政拨款支出</w:t>
      </w:r>
      <w:r>
        <w:rPr>
          <w:bCs/>
          <w:color w:val="000000"/>
          <w:sz w:val="32"/>
          <w:szCs w:val="32"/>
          <w:lang w:val="en-US"/>
        </w:rPr>
        <w:t>9159.61</w:t>
      </w:r>
      <w:r>
        <w:rPr>
          <w:rFonts w:hint="eastAsia"/>
          <w:bCs/>
          <w:color w:val="000000"/>
          <w:sz w:val="32"/>
          <w:szCs w:val="32"/>
          <w:lang w:val="en-US"/>
        </w:rPr>
        <w:t>万元，占本年支出合计的</w:t>
      </w:r>
      <w:r>
        <w:rPr>
          <w:bCs/>
          <w:color w:val="000000"/>
          <w:sz w:val="32"/>
          <w:szCs w:val="32"/>
          <w:lang w:val="en-US"/>
        </w:rPr>
        <w:t>100%</w:t>
      </w:r>
      <w:r>
        <w:rPr>
          <w:rFonts w:hint="eastAsia"/>
          <w:bCs/>
          <w:color w:val="000000"/>
          <w:sz w:val="32"/>
          <w:szCs w:val="32"/>
          <w:lang w:val="en-US"/>
        </w:rPr>
        <w:t>。因我单位为新成立单位，去年无决算，与上年形不成对比。</w:t>
      </w:r>
    </w:p>
    <w:p>
      <w:pPr>
        <w:widowControl/>
        <w:spacing w:line="370" w:lineRule="auto"/>
        <w:ind w:left="550" w:leftChars="250" w:firstLine="622"/>
        <w:rPr>
          <w:b/>
          <w:color w:val="000000"/>
          <w:sz w:val="32"/>
          <w:szCs w:val="32"/>
          <w:lang w:val="en-US"/>
        </w:rPr>
      </w:pPr>
      <w:r>
        <w:rPr>
          <w:rFonts w:hint="eastAsia"/>
          <w:b/>
          <w:color w:val="000000"/>
          <w:sz w:val="32"/>
          <w:szCs w:val="32"/>
          <w:lang w:val="en-US"/>
        </w:rPr>
        <w:t>（二）财政拨款支出决算具体情况说明。</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本部门</w:t>
      </w:r>
      <w:r>
        <w:rPr>
          <w:bCs/>
          <w:color w:val="000000"/>
          <w:sz w:val="32"/>
          <w:szCs w:val="32"/>
          <w:lang w:val="en-US"/>
        </w:rPr>
        <w:t>2019</w:t>
      </w:r>
      <w:r>
        <w:rPr>
          <w:rFonts w:hint="eastAsia"/>
          <w:bCs/>
          <w:color w:val="000000"/>
          <w:sz w:val="32"/>
          <w:szCs w:val="32"/>
          <w:lang w:val="en-US"/>
        </w:rPr>
        <w:t>年度一般公共预算财政拨款支出</w:t>
      </w:r>
      <w:r>
        <w:rPr>
          <w:bCs/>
          <w:color w:val="000000"/>
          <w:sz w:val="32"/>
          <w:szCs w:val="32"/>
          <w:lang w:val="en-US"/>
        </w:rPr>
        <w:t>6294.11</w:t>
      </w:r>
      <w:r>
        <w:rPr>
          <w:rFonts w:hint="eastAsia"/>
          <w:bCs/>
          <w:color w:val="000000"/>
          <w:sz w:val="32"/>
          <w:szCs w:val="32"/>
          <w:lang w:val="en-US"/>
        </w:rPr>
        <w:t>万元，其中：</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w:t>
      </w:r>
      <w:r>
        <w:rPr>
          <w:bCs/>
          <w:color w:val="000000"/>
          <w:sz w:val="32"/>
          <w:szCs w:val="32"/>
          <w:lang w:val="en-US"/>
        </w:rPr>
        <w:t>1</w:t>
      </w:r>
      <w:r>
        <w:rPr>
          <w:rFonts w:hint="eastAsia"/>
          <w:bCs/>
          <w:color w:val="000000"/>
          <w:sz w:val="32"/>
          <w:szCs w:val="32"/>
          <w:lang w:val="en-US"/>
        </w:rPr>
        <w:t>）其他城乡社区管理事务支出（</w:t>
      </w:r>
      <w:r>
        <w:rPr>
          <w:bCs/>
          <w:color w:val="000000"/>
          <w:sz w:val="32"/>
          <w:szCs w:val="32"/>
          <w:lang w:val="en-US"/>
        </w:rPr>
        <w:t>2120199</w:t>
      </w:r>
      <w:r>
        <w:rPr>
          <w:rFonts w:hint="eastAsia"/>
          <w:bCs/>
          <w:color w:val="000000"/>
          <w:sz w:val="32"/>
          <w:szCs w:val="32"/>
          <w:lang w:val="en-US"/>
        </w:rPr>
        <w:t>）</w:t>
      </w:r>
      <w:r>
        <w:rPr>
          <w:bCs/>
          <w:color w:val="000000"/>
          <w:sz w:val="32"/>
          <w:szCs w:val="32"/>
          <w:lang w:val="en-US"/>
        </w:rPr>
        <w:t>48.9</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w:t>
      </w:r>
      <w:r>
        <w:rPr>
          <w:bCs/>
          <w:color w:val="000000"/>
          <w:sz w:val="32"/>
          <w:szCs w:val="32"/>
          <w:lang w:val="en-US"/>
        </w:rPr>
        <w:t>2</w:t>
      </w:r>
      <w:r>
        <w:rPr>
          <w:rFonts w:hint="eastAsia"/>
          <w:bCs/>
          <w:color w:val="000000"/>
          <w:sz w:val="32"/>
          <w:szCs w:val="32"/>
          <w:lang w:val="en-US"/>
        </w:rPr>
        <w:t>）行政事业单位基本养老保险缴费支出（</w:t>
      </w:r>
      <w:r>
        <w:rPr>
          <w:bCs/>
          <w:color w:val="000000"/>
          <w:sz w:val="32"/>
          <w:szCs w:val="32"/>
          <w:lang w:val="en-US"/>
        </w:rPr>
        <w:t>2080505</w:t>
      </w:r>
      <w:r>
        <w:rPr>
          <w:rFonts w:hint="eastAsia"/>
          <w:bCs/>
          <w:color w:val="000000"/>
          <w:sz w:val="32"/>
          <w:szCs w:val="32"/>
          <w:lang w:val="en-US"/>
        </w:rPr>
        <w:t>）</w:t>
      </w:r>
      <w:r>
        <w:rPr>
          <w:bCs/>
          <w:color w:val="000000"/>
          <w:sz w:val="32"/>
          <w:szCs w:val="32"/>
          <w:lang w:val="en-US"/>
        </w:rPr>
        <w:t>3.56</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w:t>
      </w:r>
      <w:r>
        <w:rPr>
          <w:bCs/>
          <w:color w:val="000000"/>
          <w:sz w:val="32"/>
          <w:szCs w:val="32"/>
          <w:lang w:val="en-US"/>
        </w:rPr>
        <w:t>3</w:t>
      </w:r>
      <w:r>
        <w:rPr>
          <w:rFonts w:hint="eastAsia"/>
          <w:bCs/>
          <w:color w:val="000000"/>
          <w:sz w:val="32"/>
          <w:szCs w:val="32"/>
          <w:lang w:val="en-US"/>
        </w:rPr>
        <w:t>）行政单位医疗（</w:t>
      </w:r>
      <w:r>
        <w:rPr>
          <w:bCs/>
          <w:color w:val="000000"/>
          <w:sz w:val="32"/>
          <w:szCs w:val="32"/>
          <w:lang w:val="en-US"/>
        </w:rPr>
        <w:t>2101101</w:t>
      </w:r>
      <w:r>
        <w:rPr>
          <w:rFonts w:hint="eastAsia"/>
          <w:bCs/>
          <w:color w:val="000000"/>
          <w:sz w:val="32"/>
          <w:szCs w:val="32"/>
          <w:lang w:val="en-US"/>
        </w:rPr>
        <w:t>）</w:t>
      </w:r>
      <w:r>
        <w:rPr>
          <w:bCs/>
          <w:color w:val="000000"/>
          <w:sz w:val="32"/>
          <w:szCs w:val="32"/>
          <w:lang w:val="en-US"/>
        </w:rPr>
        <w:t>1.65</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w:t>
      </w:r>
      <w:r>
        <w:rPr>
          <w:bCs/>
          <w:color w:val="000000"/>
          <w:sz w:val="32"/>
          <w:szCs w:val="32"/>
          <w:lang w:val="en-US"/>
        </w:rPr>
        <w:t>4</w:t>
      </w:r>
      <w:r>
        <w:rPr>
          <w:rFonts w:hint="eastAsia"/>
          <w:bCs/>
          <w:color w:val="000000"/>
          <w:sz w:val="32"/>
          <w:szCs w:val="32"/>
          <w:lang w:val="en-US"/>
        </w:rPr>
        <w:t>）其他保障性安居工程支出（</w:t>
      </w:r>
      <w:r>
        <w:rPr>
          <w:bCs/>
          <w:color w:val="000000"/>
          <w:sz w:val="32"/>
          <w:szCs w:val="32"/>
          <w:lang w:val="en-US"/>
        </w:rPr>
        <w:t>2210199</w:t>
      </w:r>
      <w:r>
        <w:rPr>
          <w:rFonts w:hint="eastAsia"/>
          <w:bCs/>
          <w:color w:val="000000"/>
          <w:sz w:val="32"/>
          <w:szCs w:val="32"/>
          <w:lang w:val="en-US"/>
        </w:rPr>
        <w:t>）</w:t>
      </w:r>
      <w:r>
        <w:rPr>
          <w:bCs/>
          <w:color w:val="000000"/>
          <w:sz w:val="32"/>
          <w:szCs w:val="32"/>
          <w:lang w:val="en-US"/>
        </w:rPr>
        <w:t>6240</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因我单位为新成立单位，去年无决算，与上年形不成对比。</w: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六、一般公共预算财政拨款基本支出决算情况说明</w:t>
      </w:r>
    </w:p>
    <w:p>
      <w:pPr>
        <w:widowControl/>
        <w:spacing w:line="370" w:lineRule="auto"/>
        <w:ind w:left="550" w:leftChars="2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年度一般公共预算财政拨款基本支出</w:t>
      </w:r>
      <w:r>
        <w:rPr>
          <w:bCs/>
          <w:color w:val="000000"/>
          <w:sz w:val="32"/>
          <w:szCs w:val="32"/>
          <w:lang w:val="en-US"/>
        </w:rPr>
        <w:t>54.11</w:t>
      </w:r>
      <w:r>
        <w:rPr>
          <w:rFonts w:hint="eastAsia"/>
          <w:bCs/>
          <w:color w:val="000000"/>
          <w:sz w:val="32"/>
          <w:szCs w:val="32"/>
          <w:lang w:val="en-US"/>
        </w:rPr>
        <w:t>万元，其中：人员经费</w:t>
      </w:r>
      <w:r>
        <w:rPr>
          <w:bCs/>
          <w:color w:val="000000"/>
          <w:sz w:val="32"/>
          <w:szCs w:val="32"/>
          <w:lang w:val="en-US"/>
        </w:rPr>
        <w:t>42.87</w:t>
      </w:r>
      <w:r>
        <w:rPr>
          <w:rFonts w:hint="eastAsia"/>
          <w:bCs/>
          <w:color w:val="000000"/>
          <w:sz w:val="32"/>
          <w:szCs w:val="32"/>
          <w:lang w:val="en-US"/>
        </w:rPr>
        <w:t>万元、日常公用经费</w:t>
      </w:r>
      <w:r>
        <w:rPr>
          <w:bCs/>
          <w:color w:val="000000"/>
          <w:sz w:val="32"/>
          <w:szCs w:val="32"/>
          <w:lang w:val="en-US"/>
        </w:rPr>
        <w:t>11.24</w:t>
      </w:r>
      <w:r>
        <w:rPr>
          <w:rFonts w:hint="eastAsia"/>
          <w:bCs/>
          <w:color w:val="000000"/>
          <w:sz w:val="32"/>
          <w:szCs w:val="32"/>
          <w:lang w:val="en-US"/>
        </w:rPr>
        <w:t>万元。</w:t>
      </w:r>
    </w:p>
    <w:p>
      <w:pPr>
        <w:widowControl/>
        <w:spacing w:line="370" w:lineRule="auto"/>
        <w:ind w:left="550" w:leftChars="250" w:firstLine="622"/>
        <w:rPr>
          <w:bCs/>
          <w:color w:val="000000"/>
          <w:sz w:val="32"/>
          <w:szCs w:val="32"/>
          <w:lang w:val="en-US"/>
        </w:rPr>
      </w:pPr>
      <w:r>
        <w:rPr>
          <w:rFonts w:hint="eastAsia" w:ascii="黑体" w:hAnsi="黑体" w:eastAsia="黑体" w:cs="黑体"/>
          <w:bCs/>
          <w:color w:val="000000"/>
          <w:sz w:val="32"/>
          <w:szCs w:val="32"/>
          <w:lang w:val="en-US"/>
        </w:rPr>
        <w:t>七、一般公共预算财政拨款“三公”经费及会议费、培训费支出决算情况说明</w:t>
      </w:r>
    </w:p>
    <w:p>
      <w:pPr>
        <w:widowControl/>
        <w:spacing w:line="370" w:lineRule="auto"/>
        <w:ind w:left="550" w:leftChars="250" w:firstLine="622"/>
        <w:rPr>
          <w:b/>
          <w:color w:val="000000"/>
          <w:sz w:val="32"/>
          <w:szCs w:val="32"/>
          <w:lang w:val="en-US"/>
        </w:rPr>
      </w:pPr>
      <w:r>
        <w:rPr>
          <w:rFonts w:hint="eastAsia"/>
          <w:b/>
          <w:color w:val="000000"/>
          <w:sz w:val="32"/>
          <w:szCs w:val="32"/>
          <w:lang w:val="en-US"/>
        </w:rPr>
        <w:t>（一）“三公”经费财政拨款支出决算总体情况说明。</w:t>
      </w:r>
    </w:p>
    <w:p>
      <w:pPr>
        <w:widowControl/>
        <w:spacing w:line="370" w:lineRule="auto"/>
        <w:ind w:left="550" w:leftChars="2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年度“三公”经费财政拨款支出预算为</w:t>
      </w:r>
      <w:r>
        <w:rPr>
          <w:bCs/>
          <w:color w:val="000000"/>
          <w:sz w:val="32"/>
          <w:szCs w:val="32"/>
          <w:lang w:val="en-US"/>
        </w:rPr>
        <w:t>0</w:t>
      </w:r>
      <w:r>
        <w:rPr>
          <w:rFonts w:hint="eastAsia"/>
          <w:bCs/>
          <w:color w:val="000000"/>
          <w:sz w:val="32"/>
          <w:szCs w:val="32"/>
          <w:lang w:val="en-US"/>
        </w:rPr>
        <w:t>元。</w:t>
      </w:r>
    </w:p>
    <w:p>
      <w:pPr>
        <w:widowControl/>
        <w:spacing w:line="370" w:lineRule="auto"/>
        <w:ind w:left="550" w:leftChars="250" w:firstLine="622"/>
        <w:rPr>
          <w:b/>
          <w:color w:val="000000"/>
          <w:sz w:val="32"/>
          <w:szCs w:val="32"/>
          <w:lang w:val="en-US"/>
        </w:rPr>
      </w:pPr>
      <w:r>
        <w:rPr>
          <w:rFonts w:hint="eastAsia"/>
          <w:b/>
          <w:color w:val="000000"/>
          <w:sz w:val="32"/>
          <w:szCs w:val="32"/>
          <w:lang w:val="en-US"/>
        </w:rPr>
        <w:t>（二）“三公”经费财政拨款支出决算具体情况说明。</w:t>
      </w:r>
    </w:p>
    <w:p>
      <w:pPr>
        <w:widowControl/>
        <w:spacing w:line="370" w:lineRule="auto"/>
        <w:ind w:left="550" w:leftChars="250" w:firstLine="622"/>
        <w:rPr>
          <w:bCs/>
          <w:color w:val="000000"/>
          <w:sz w:val="32"/>
          <w:szCs w:val="32"/>
          <w:lang w:val="en-US"/>
        </w:rPr>
      </w:pPr>
      <w:r>
        <w:rPr>
          <w:bCs/>
          <w:color w:val="000000"/>
          <w:sz w:val="32"/>
          <w:szCs w:val="32"/>
          <w:lang w:val="en-US"/>
        </w:rPr>
        <w:t>2019</w:t>
      </w:r>
      <w:r>
        <w:rPr>
          <w:rFonts w:hint="eastAsia"/>
          <w:bCs/>
          <w:color w:val="000000"/>
          <w:sz w:val="32"/>
          <w:szCs w:val="32"/>
          <w:lang w:val="en-US"/>
        </w:rPr>
        <w:t>年度“三公”经费财政拨款支出为</w:t>
      </w:r>
      <w:r>
        <w:rPr>
          <w:bCs/>
          <w:color w:val="000000"/>
          <w:sz w:val="32"/>
          <w:szCs w:val="32"/>
          <w:lang w:val="en-US"/>
        </w:rPr>
        <w:t>0</w:t>
      </w:r>
      <w:r>
        <w:rPr>
          <w:rFonts w:hint="eastAsia"/>
          <w:bCs/>
          <w:color w:val="000000"/>
          <w:sz w:val="32"/>
          <w:szCs w:val="32"/>
          <w:lang w:val="en-US"/>
        </w:rPr>
        <w:t>元。</w:t>
      </w:r>
    </w:p>
    <w:p>
      <w:pPr>
        <w:widowControl/>
        <w:spacing w:line="370" w:lineRule="auto"/>
        <w:ind w:left="550" w:leftChars="250" w:firstLine="622"/>
        <w:rPr>
          <w:b/>
          <w:color w:val="000000"/>
          <w:sz w:val="32"/>
          <w:szCs w:val="32"/>
          <w:lang w:val="en-US"/>
        </w:rPr>
      </w:pPr>
      <w:r>
        <w:rPr>
          <w:b/>
          <w:color w:val="000000"/>
          <w:sz w:val="32"/>
          <w:szCs w:val="32"/>
          <w:lang w:val="en-US"/>
        </w:rPr>
        <w:t>1.2019</w:t>
      </w:r>
      <w:r>
        <w:rPr>
          <w:rFonts w:hint="eastAsia"/>
          <w:b/>
          <w:color w:val="000000"/>
          <w:sz w:val="32"/>
          <w:szCs w:val="32"/>
          <w:lang w:val="en-US"/>
        </w:rPr>
        <w:t>年无因公出国（境）支出</w:t>
      </w:r>
    </w:p>
    <w:p>
      <w:pPr>
        <w:widowControl/>
        <w:spacing w:line="370" w:lineRule="auto"/>
        <w:ind w:left="550" w:leftChars="250" w:firstLine="622"/>
        <w:rPr>
          <w:b/>
          <w:color w:val="000000"/>
          <w:sz w:val="32"/>
          <w:szCs w:val="32"/>
          <w:lang w:val="en-US"/>
        </w:rPr>
      </w:pPr>
      <w:r>
        <w:rPr>
          <w:b/>
          <w:color w:val="000000"/>
          <w:sz w:val="32"/>
          <w:szCs w:val="32"/>
          <w:lang w:val="en-US"/>
        </w:rPr>
        <w:t>2.2019</w:t>
      </w:r>
      <w:r>
        <w:rPr>
          <w:rFonts w:hint="eastAsia"/>
          <w:b/>
          <w:color w:val="000000"/>
          <w:sz w:val="32"/>
          <w:szCs w:val="32"/>
          <w:lang w:val="en-US"/>
        </w:rPr>
        <w:t>年无公务用车购置费用支出</w:t>
      </w:r>
    </w:p>
    <w:p>
      <w:pPr>
        <w:widowControl/>
        <w:spacing w:line="370" w:lineRule="auto"/>
        <w:ind w:left="550" w:leftChars="250" w:firstLine="622"/>
        <w:rPr>
          <w:b/>
          <w:color w:val="000000"/>
          <w:sz w:val="32"/>
          <w:szCs w:val="32"/>
          <w:lang w:val="en-US"/>
        </w:rPr>
      </w:pPr>
      <w:r>
        <w:rPr>
          <w:b/>
          <w:color w:val="000000"/>
          <w:sz w:val="32"/>
          <w:szCs w:val="32"/>
          <w:lang w:val="en-US"/>
        </w:rPr>
        <w:t>3.2019</w:t>
      </w:r>
      <w:r>
        <w:rPr>
          <w:rFonts w:hint="eastAsia"/>
          <w:b/>
          <w:color w:val="000000"/>
          <w:sz w:val="32"/>
          <w:szCs w:val="32"/>
          <w:lang w:val="en-US"/>
        </w:rPr>
        <w:t>年无公务用车运行维护费用支出</w:t>
      </w:r>
    </w:p>
    <w:p>
      <w:pPr>
        <w:widowControl/>
        <w:spacing w:line="370" w:lineRule="auto"/>
        <w:ind w:left="550" w:leftChars="250" w:firstLine="622"/>
        <w:rPr>
          <w:b/>
          <w:color w:val="000000"/>
          <w:sz w:val="32"/>
          <w:szCs w:val="32"/>
          <w:lang w:val="en-US"/>
        </w:rPr>
      </w:pPr>
      <w:r>
        <w:rPr>
          <w:b/>
          <w:color w:val="000000"/>
          <w:sz w:val="32"/>
          <w:szCs w:val="32"/>
          <w:lang w:val="en-US"/>
        </w:rPr>
        <w:t>4.2019</w:t>
      </w:r>
      <w:r>
        <w:rPr>
          <w:rFonts w:hint="eastAsia"/>
          <w:b/>
          <w:color w:val="000000"/>
          <w:sz w:val="32"/>
          <w:szCs w:val="32"/>
          <w:lang w:val="en-US"/>
        </w:rPr>
        <w:t>年公务接待费</w:t>
      </w:r>
      <w:r>
        <w:rPr>
          <w:rFonts w:hint="eastAsia"/>
          <w:b/>
          <w:color w:val="000000"/>
          <w:sz w:val="32"/>
          <w:szCs w:val="32"/>
          <w:lang w:val="en-US" w:eastAsia="zh-CN"/>
        </w:rPr>
        <w:t>0.86万元</w:t>
      </w:r>
      <w:r>
        <w:rPr>
          <w:rFonts w:hint="eastAsia"/>
          <w:b/>
          <w:color w:val="000000"/>
          <w:sz w:val="32"/>
          <w:szCs w:val="32"/>
          <w:lang w:val="en-US"/>
        </w:rPr>
        <w:t>支出</w:t>
      </w:r>
    </w:p>
    <w:p>
      <w:pPr>
        <w:widowControl/>
        <w:spacing w:line="370" w:lineRule="auto"/>
        <w:ind w:left="550" w:leftChars="250" w:firstLine="622"/>
        <w:rPr>
          <w:b/>
          <w:color w:val="000000"/>
          <w:sz w:val="32"/>
          <w:szCs w:val="32"/>
          <w:lang w:val="en-US"/>
        </w:rPr>
      </w:pPr>
      <w:r>
        <w:rPr>
          <w:rFonts w:hint="eastAsia"/>
          <w:b/>
          <w:color w:val="000000"/>
          <w:sz w:val="32"/>
          <w:szCs w:val="32"/>
          <w:lang w:val="en-US"/>
        </w:rPr>
        <w:t>（三）</w:t>
      </w:r>
      <w:r>
        <w:rPr>
          <w:b/>
          <w:color w:val="000000"/>
          <w:sz w:val="32"/>
          <w:szCs w:val="32"/>
          <w:lang w:val="en-US"/>
        </w:rPr>
        <w:t>2019</w:t>
      </w:r>
      <w:r>
        <w:rPr>
          <w:rFonts w:hint="eastAsia"/>
          <w:b/>
          <w:color w:val="000000"/>
          <w:sz w:val="32"/>
          <w:szCs w:val="32"/>
          <w:lang w:val="en-US"/>
        </w:rPr>
        <w:t>年培训费支出为</w:t>
      </w:r>
      <w:r>
        <w:rPr>
          <w:b/>
          <w:color w:val="000000"/>
          <w:sz w:val="32"/>
          <w:szCs w:val="32"/>
          <w:lang w:val="en-US"/>
        </w:rPr>
        <w:t>0</w:t>
      </w:r>
      <w:r>
        <w:rPr>
          <w:rFonts w:hint="eastAsia"/>
          <w:b/>
          <w:color w:val="000000"/>
          <w:sz w:val="32"/>
          <w:szCs w:val="32"/>
          <w:lang w:val="en-US"/>
        </w:rPr>
        <w:t>元。</w:t>
      </w:r>
    </w:p>
    <w:p>
      <w:pPr>
        <w:widowControl/>
        <w:spacing w:line="370" w:lineRule="auto"/>
        <w:ind w:left="550" w:leftChars="250" w:firstLine="622"/>
        <w:rPr>
          <w:bCs/>
          <w:color w:val="000000"/>
          <w:sz w:val="32"/>
          <w:szCs w:val="32"/>
          <w:lang w:val="en-US"/>
        </w:rPr>
      </w:pPr>
      <w:r>
        <w:rPr>
          <w:rFonts w:hint="eastAsia"/>
          <w:b/>
          <w:color w:val="000000"/>
          <w:sz w:val="32"/>
          <w:szCs w:val="32"/>
          <w:lang w:val="en-US"/>
        </w:rPr>
        <w:t>（四）</w:t>
      </w:r>
      <w:r>
        <w:rPr>
          <w:b/>
          <w:color w:val="000000"/>
          <w:sz w:val="32"/>
          <w:szCs w:val="32"/>
          <w:lang w:val="en-US"/>
        </w:rPr>
        <w:t>2019</w:t>
      </w:r>
      <w:r>
        <w:rPr>
          <w:rFonts w:hint="eastAsia"/>
          <w:b/>
          <w:color w:val="000000"/>
          <w:sz w:val="32"/>
          <w:szCs w:val="32"/>
          <w:lang w:val="en-US"/>
        </w:rPr>
        <w:t>年会议费支出为</w:t>
      </w:r>
      <w:r>
        <w:rPr>
          <w:b/>
          <w:color w:val="000000"/>
          <w:sz w:val="32"/>
          <w:szCs w:val="32"/>
          <w:lang w:val="en-US"/>
        </w:rPr>
        <w:t>0</w:t>
      </w:r>
      <w:r>
        <w:rPr>
          <w:rFonts w:hint="eastAsia"/>
          <w:b/>
          <w:color w:val="000000"/>
          <w:sz w:val="32"/>
          <w:szCs w:val="32"/>
          <w:lang w:val="en-US"/>
        </w:rPr>
        <w:t>元。</w: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八、政府性基金预算财政拨款收入支出情况说明</w:t>
      </w:r>
    </w:p>
    <w:p>
      <w:pPr>
        <w:widowControl/>
        <w:spacing w:line="370" w:lineRule="auto"/>
        <w:ind w:left="550" w:leftChars="250" w:firstLine="622"/>
        <w:rPr>
          <w:rFonts w:ascii="黑体" w:hAnsi="黑体" w:eastAsia="黑体" w:cs="黑体"/>
          <w:bCs/>
          <w:color w:val="000000"/>
          <w:sz w:val="32"/>
          <w:szCs w:val="32"/>
          <w:lang w:val="en-US"/>
        </w:rPr>
      </w:pPr>
      <w:bookmarkStart w:id="0" w:name="_GoBack"/>
      <w:bookmarkEnd w:id="0"/>
      <w:r>
        <w:rPr>
          <w:rFonts w:hint="eastAsia" w:ascii="黑体" w:hAnsi="黑体" w:eastAsia="黑体" w:cs="黑体"/>
          <w:bCs/>
          <w:color w:val="000000"/>
          <w:sz w:val="32"/>
          <w:szCs w:val="32"/>
          <w:lang w:val="en-US"/>
        </w:rPr>
        <w:t>九、国有资本经营财政拨款收入支出情况说明</w:t>
      </w:r>
    </w:p>
    <w:p>
      <w:pPr>
        <w:widowControl/>
        <w:spacing w:line="370" w:lineRule="auto"/>
        <w:ind w:left="550" w:leftChars="250" w:firstLine="622"/>
        <w:rPr>
          <w:bCs/>
          <w:color w:val="000000"/>
          <w:sz w:val="32"/>
          <w:szCs w:val="32"/>
          <w:lang w:val="en-US"/>
        </w:rPr>
      </w:pPr>
      <w:r>
        <w:rPr>
          <w:rFonts w:hint="eastAsia"/>
          <w:bCs/>
          <w:color w:val="000000"/>
          <w:sz w:val="32"/>
          <w:szCs w:val="32"/>
          <w:lang w:val="en-US"/>
        </w:rPr>
        <w:t>本部门无国有资本经营决算拨款收支。</w:t>
      </w:r>
    </w:p>
    <w:p>
      <w:pPr>
        <w:widowControl/>
        <w:spacing w:line="370" w:lineRule="auto"/>
        <w:ind w:left="550" w:leftChars="250" w:firstLine="622"/>
        <w:rPr>
          <w:rFonts w:ascii="黑体" w:hAnsi="黑体" w:eastAsia="黑体" w:cs="黑体"/>
          <w:bCs/>
          <w:color w:val="000000"/>
          <w:sz w:val="32"/>
          <w:szCs w:val="32"/>
          <w:lang w:val="en-US"/>
        </w:rPr>
      </w:pPr>
      <w:r>
        <w:rPr>
          <w:rFonts w:hint="eastAsia" w:ascii="黑体" w:hAnsi="黑体" w:eastAsia="黑体" w:cs="黑体"/>
          <w:bCs/>
          <w:color w:val="000000"/>
          <w:sz w:val="32"/>
          <w:szCs w:val="32"/>
          <w:lang w:val="en-US"/>
        </w:rPr>
        <w:t>十、预算绩效情况说明</w:t>
      </w:r>
    </w:p>
    <w:p>
      <w:pPr>
        <w:widowControl/>
        <w:spacing w:line="370" w:lineRule="auto"/>
        <w:ind w:left="550" w:leftChars="250" w:firstLine="622"/>
        <w:rPr>
          <w:b/>
          <w:color w:val="000000"/>
          <w:sz w:val="32"/>
          <w:szCs w:val="32"/>
          <w:lang w:val="en-US"/>
        </w:rPr>
      </w:pPr>
      <w:r>
        <w:rPr>
          <w:rFonts w:hint="eastAsia"/>
          <w:b/>
          <w:color w:val="000000"/>
          <w:sz w:val="32"/>
          <w:szCs w:val="32"/>
          <w:lang w:val="en-US"/>
        </w:rPr>
        <w:t>（一）预算绩效管理工作开展情况说明。</w:t>
      </w:r>
    </w:p>
    <w:p>
      <w:pPr>
        <w:widowControl/>
        <w:spacing w:line="370" w:lineRule="auto"/>
        <w:ind w:left="550" w:leftChars="250" w:firstLine="622"/>
        <w:rPr>
          <w:b/>
          <w:color w:val="000000"/>
          <w:sz w:val="32"/>
          <w:szCs w:val="32"/>
          <w:lang w:val="en-US"/>
        </w:rPr>
      </w:pPr>
      <w:r>
        <w:rPr>
          <w:rFonts w:hint="eastAsia"/>
          <w:b/>
          <w:color w:val="000000"/>
          <w:sz w:val="32"/>
          <w:szCs w:val="32"/>
          <w:lang w:val="en-US"/>
        </w:rPr>
        <w:t>（二）部门决算中项目绩效自评结果。</w:t>
      </w:r>
    </w:p>
    <w:p>
      <w:pPr>
        <w:widowControl/>
        <w:rPr>
          <w:rFonts w:ascii="仿宋_GB2312" w:eastAsia="仿宋_GB2312"/>
          <w:sz w:val="32"/>
          <w:szCs w:val="32"/>
          <w:lang w:val="en-US"/>
        </w:rPr>
      </w:pPr>
    </w:p>
    <w:p>
      <w:pPr>
        <w:widowControl/>
        <w:rPr>
          <w:rFonts w:ascii="楷体" w:hAnsi="楷体" w:eastAsia="楷体" w:cs="楷体"/>
          <w:sz w:val="32"/>
          <w:szCs w:val="32"/>
          <w:lang w:val="en-US"/>
        </w:rPr>
      </w:pPr>
      <w:r>
        <w:rPr>
          <w:rFonts w:ascii="楷体" w:hAnsi="楷体" w:eastAsia="楷体" w:cs="楷体"/>
          <w:sz w:val="32"/>
          <w:szCs w:val="32"/>
        </w:rPr>
        <w:object>
          <v:shape id="_x0000_i1029" o:spt="75" alt="" type="#_x0000_t75" style="height:603pt;width:1113pt;" o:ole="t" filled="f" o:preferrelative="t" stroked="f" coordsize="21600,21600">
            <v:path/>
            <v:fill on="f" focussize="0,0"/>
            <v:stroke on="f"/>
            <v:imagedata r:id="rId15" o:title=""/>
            <o:lock v:ext="edit" aspectratio="t"/>
            <w10:wrap type="none"/>
            <w10:anchorlock/>
          </v:shape>
          <o:OLEObject Type="Embed" ProgID="Excel.Sheet.8" ShapeID="_x0000_i1029" DrawAspect="Content" ObjectID="_1468075725" r:id="rId14">
            <o:LockedField>false</o:LockedField>
          </o:OLEObject>
        </w:object>
      </w:r>
    </w:p>
    <w:p>
      <w:pPr>
        <w:widowControl/>
        <w:rPr>
          <w:rFonts w:ascii="楷体" w:hAnsi="楷体" w:eastAsia="楷体" w:cs="楷体"/>
          <w:sz w:val="32"/>
          <w:szCs w:val="32"/>
        </w:rPr>
      </w:pPr>
    </w:p>
    <w:p>
      <w:pPr>
        <w:widowControl/>
        <w:rPr>
          <w:rFonts w:ascii="楷体" w:hAnsi="楷体" w:eastAsia="楷体" w:cs="楷体"/>
          <w:sz w:val="32"/>
          <w:szCs w:val="32"/>
        </w:rPr>
        <w:sectPr>
          <w:pgSz w:w="11910" w:h="16840"/>
          <w:pgMar w:top="1540" w:right="1480" w:bottom="280" w:left="1360" w:header="720" w:footer="720" w:gutter="0"/>
          <w:cols w:space="720" w:num="1"/>
        </w:sectPr>
      </w:pPr>
    </w:p>
    <w:p>
      <w:pPr>
        <w:widowControl/>
        <w:rPr>
          <w:rFonts w:ascii="楷体" w:hAnsi="楷体" w:eastAsia="楷体" w:cs="楷体"/>
          <w:sz w:val="32"/>
          <w:szCs w:val="32"/>
        </w:rPr>
        <w:sectPr>
          <w:pgSz w:w="11910" w:h="16840"/>
          <w:pgMar w:top="1540" w:right="1480" w:bottom="280" w:left="1360" w:header="720" w:footer="720" w:gutter="0"/>
          <w:cols w:space="720" w:num="1"/>
        </w:sectPr>
      </w:pPr>
      <w:r>
        <w:rPr>
          <w:lang w:val="en-US"/>
        </w:rPr>
        <w:pict>
          <v:shape id="_x0000_s1026" o:spid="_x0000_s1026" o:spt="75" alt="" type="#_x0000_t75" style="position:absolute;left:0pt;margin-left:7pt;margin-top:22.75pt;height:610.5pt;width:465.75pt;z-index:251658240;mso-width-relative:page;mso-height-relative:page;" o:ole="t" filled="f" o:preferrelative="t" stroked="f" coordsize="21600,21600">
            <v:path/>
            <v:fill on="f" focussize="0,0"/>
            <v:stroke on="f"/>
            <v:imagedata r:id="rId17" o:title=""/>
            <o:lock v:ext="edit" aspectratio="t"/>
          </v:shape>
          <o:OLEObject Type="Embed" ProgID="Excel.Sheet.8" ShapeID="_x0000_s1026" DrawAspect="Content" ObjectID="_1468075726" r:id="rId16">
            <o:LockedField>false</o:LockedField>
          </o:OLEObject>
        </w:pict>
      </w:r>
    </w:p>
    <w:p>
      <w:pPr>
        <w:widowControl/>
        <w:sectPr>
          <w:pgSz w:w="11910" w:h="16840"/>
          <w:pgMar w:top="1540" w:right="1480" w:bottom="280" w:left="1360" w:header="720" w:footer="720" w:gutter="0"/>
          <w:cols w:space="720" w:num="1"/>
        </w:sectPr>
      </w:pPr>
      <w:r>
        <w:rPr>
          <w:rFonts w:ascii="楷体" w:hAnsi="楷体" w:eastAsia="楷体" w:cs="楷体"/>
          <w:sz w:val="32"/>
          <w:szCs w:val="32"/>
        </w:rPr>
        <w:object>
          <v:shape id="_x0000_i1030" o:spt="75" alt="" type="#_x0000_t75" style="height:744.8pt;width:507pt;" o:ole="t" filled="f" o:preferrelative="t" stroked="f" coordsize="21600,21600">
            <v:path/>
            <v:fill on="f" focussize="0,0"/>
            <v:stroke on="f"/>
            <v:imagedata r:id="rId19" o:title=""/>
            <o:lock v:ext="edit" aspectratio="t"/>
            <w10:wrap type="none"/>
            <w10:anchorlock/>
          </v:shape>
          <o:OLEObject Type="Embed" ProgID="Excel.Sheet.8" ShapeID="_x0000_i1030" DrawAspect="Content" ObjectID="_1468075727" r:id="rId18">
            <o:LockedField>false</o:LockedField>
          </o:OLEObject>
        </w:object>
      </w:r>
    </w:p>
    <w:p>
      <w:pPr>
        <w:widowControl/>
        <w:rPr>
          <w:rFonts w:ascii="仿宋_GB2312" w:eastAsia="仿宋_GB2312"/>
          <w:sz w:val="32"/>
          <w:szCs w:val="32"/>
          <w:lang w:val="en-US"/>
        </w:rPr>
      </w:pPr>
      <w:r>
        <w:rPr>
          <w:rFonts w:ascii="楷体" w:hAnsi="楷体" w:eastAsia="楷体" w:cs="楷体"/>
          <w:sz w:val="32"/>
          <w:szCs w:val="32"/>
          <w:lang w:val="en-US"/>
        </w:rPr>
        <w:object>
          <v:shape id="_x0000_i1031" o:spt="75" type="#_x0000_t75" style="height:1600.5pt;width:815.25pt;" o:ole="t" filled="f" o:preferrelative="t" stroked="f" coordsize="21600,21600">
            <v:path/>
            <v:fill on="f" focussize="0,0"/>
            <v:stroke on="f" joinstyle="miter"/>
            <v:imagedata r:id="rId21" o:title=""/>
            <o:lock v:ext="edit" aspectratio="t"/>
            <w10:wrap type="none"/>
            <w10:anchorlock/>
          </v:shape>
          <o:OLEObject Type="Embed" ProgID="Excel.Sheet.8" ShapeID="_x0000_i1031" DrawAspect="Content" ObjectID="_1468075728" r:id="rId20">
            <o:LockedField>false</o:LockedField>
          </o:OLEObject>
        </w:object>
      </w:r>
      <w:r>
        <w:rPr>
          <w:rFonts w:ascii="楷体" w:hAnsi="楷体" w:eastAsia="楷体" w:cs="楷体"/>
          <w:sz w:val="32"/>
          <w:szCs w:val="32"/>
          <w:lang w:val="en-US"/>
        </w:rPr>
        <w:object>
          <v:shape id="_x0000_i1032" o:spt="75" type="#_x0000_t75" style="height:418.5pt;width:789.75pt;" o:ole="t" filled="f" o:preferrelative="t" stroked="f" coordsize="21600,21600">
            <v:path/>
            <v:fill on="f" focussize="0,0"/>
            <v:stroke on="f" joinstyle="miter"/>
            <v:imagedata r:id="rId23" o:title=""/>
            <o:lock v:ext="edit" aspectratio="t"/>
            <w10:wrap type="none"/>
            <w10:anchorlock/>
          </v:shape>
          <o:OLEObject Type="Embed" ProgID="Excel.Sheet.8" ShapeID="_x0000_i1032" DrawAspect="Content" ObjectID="_1468075729" r:id="rId22">
            <o:LockedField>false</o:LockedField>
          </o:OLEObject>
        </w:object>
      </w:r>
    </w:p>
    <w:p>
      <w:pPr>
        <w:spacing w:line="360" w:lineRule="auto"/>
        <w:ind w:firstLine="720" w:firstLineChars="225"/>
        <w:rPr>
          <w:rFonts w:ascii="仿宋_GB2312" w:eastAsia="仿宋_GB2312"/>
          <w:sz w:val="32"/>
          <w:szCs w:val="32"/>
        </w:rPr>
      </w:pPr>
      <w:r>
        <w:rPr>
          <w:rFonts w:ascii="楷体" w:hAnsi="楷体" w:eastAsia="楷体" w:cs="楷体"/>
          <w:sz w:val="32"/>
          <w:szCs w:val="32"/>
          <w:lang w:val="en-US"/>
        </w:rPr>
        <w:object>
          <v:shape id="_x0000_i1033" o:spt="75" type="#_x0000_t75" style="height:414pt;width:789.75pt;" o:ole="t" filled="f" o:preferrelative="t" stroked="f" coordsize="21600,21600">
            <v:path/>
            <v:fill on="f" focussize="0,0"/>
            <v:stroke on="f" joinstyle="miter"/>
            <v:imagedata r:id="rId25" o:title=""/>
            <o:lock v:ext="edit" aspectratio="t"/>
            <w10:wrap type="none"/>
            <w10:anchorlock/>
          </v:shape>
          <o:OLEObject Type="Embed" ProgID="Excel.Sheet.8" ShapeID="_x0000_i1033" DrawAspect="Content" ObjectID="_1468075730" r:id="rId24">
            <o:LockedField>false</o:LockedField>
          </o:OLEObject>
        </w:object>
      </w:r>
    </w:p>
    <w:p>
      <w:pPr>
        <w:rPr>
          <w:rFonts w:ascii="黑体" w:hAnsi="宋体" w:eastAsia="黑体" w:cs="黑体"/>
          <w:color w:val="000000"/>
          <w:sz w:val="31"/>
          <w:szCs w:val="31"/>
          <w:lang w:val="en-US"/>
        </w:rPr>
        <w:sectPr>
          <w:pgSz w:w="16840" w:h="11910" w:orient="landscape"/>
          <w:pgMar w:top="1360" w:right="1540" w:bottom="1480" w:left="164" w:header="720" w:footer="720" w:gutter="0"/>
          <w:cols w:space="720" w:num="1"/>
        </w:sectPr>
      </w:pPr>
    </w:p>
    <w:p>
      <w:pPr>
        <w:widowControl/>
        <w:ind w:firstLine="620" w:firstLineChars="200"/>
      </w:pPr>
      <w:r>
        <w:rPr>
          <w:rFonts w:hint="eastAsia" w:ascii="黑体" w:hAnsi="宋体" w:eastAsia="黑体" w:cs="黑体"/>
          <w:color w:val="000000"/>
          <w:sz w:val="31"/>
          <w:szCs w:val="31"/>
          <w:lang w:val="en-US"/>
        </w:rPr>
        <w:t>十一、其他重要事项说明</w:t>
      </w:r>
    </w:p>
    <w:p>
      <w:pPr>
        <w:widowControl/>
        <w:ind w:firstLine="622" w:firstLineChars="200"/>
      </w:pPr>
      <w:r>
        <w:rPr>
          <w:rFonts w:hint="eastAsia" w:ascii="楷体" w:hAnsi="楷体" w:eastAsia="楷体" w:cs="楷体"/>
          <w:b/>
          <w:color w:val="000000"/>
          <w:sz w:val="31"/>
          <w:szCs w:val="31"/>
          <w:lang w:val="en-US"/>
        </w:rPr>
        <w:t>（一）机关运行经费支出情况说明。</w:t>
      </w:r>
    </w:p>
    <w:p>
      <w:pPr>
        <w:spacing w:line="360" w:lineRule="auto"/>
        <w:ind w:firstLine="64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2019</w:t>
      </w:r>
      <w:r>
        <w:rPr>
          <w:rFonts w:hint="eastAsia" w:ascii="仿宋_GB2312" w:hAnsi="仿宋_GB2312" w:eastAsia="仿宋_GB2312" w:cs="仿宋_GB2312"/>
          <w:sz w:val="32"/>
          <w:szCs w:val="32"/>
          <w:lang w:val="en-US"/>
        </w:rPr>
        <w:t>年机关运行经费</w:t>
      </w:r>
      <w:r>
        <w:rPr>
          <w:rFonts w:ascii="仿宋_GB2312" w:hAnsi="仿宋_GB2312" w:eastAsia="仿宋_GB2312" w:cs="仿宋_GB2312"/>
          <w:sz w:val="32"/>
          <w:szCs w:val="32"/>
          <w:lang w:val="en-US"/>
        </w:rPr>
        <w:t>11.24</w:t>
      </w:r>
      <w:r>
        <w:rPr>
          <w:rFonts w:hint="eastAsia" w:ascii="仿宋_GB2312" w:hAnsi="仿宋_GB2312" w:eastAsia="仿宋_GB2312" w:cs="仿宋_GB2312"/>
          <w:sz w:val="32"/>
          <w:szCs w:val="32"/>
          <w:lang w:val="en-US"/>
        </w:rPr>
        <w:t>万元，</w:t>
      </w:r>
      <w:r>
        <w:rPr>
          <w:rFonts w:hint="eastAsia"/>
          <w:sz w:val="32"/>
          <w:szCs w:val="32"/>
        </w:rPr>
        <w:t>因我单位为新成立单位，去年无预算，与上年形不成对比。</w:t>
      </w:r>
    </w:p>
    <w:p>
      <w:pPr>
        <w:widowControl/>
        <w:ind w:firstLine="622" w:firstLineChars="200"/>
        <w:rPr>
          <w:rFonts w:ascii="楷体" w:hAnsi="楷体" w:eastAsia="楷体" w:cs="楷体"/>
          <w:b/>
          <w:color w:val="000000"/>
          <w:sz w:val="31"/>
          <w:szCs w:val="31"/>
          <w:lang w:val="en-US"/>
        </w:rPr>
      </w:pPr>
      <w:r>
        <w:rPr>
          <w:rFonts w:hint="eastAsia" w:ascii="楷体" w:hAnsi="楷体" w:eastAsia="楷体" w:cs="楷体"/>
          <w:b/>
          <w:color w:val="000000"/>
          <w:sz w:val="31"/>
          <w:szCs w:val="31"/>
          <w:lang w:val="en-US"/>
        </w:rPr>
        <w:t>（二）政府采购支出情况说明。</w:t>
      </w:r>
    </w:p>
    <w:p>
      <w:pPr>
        <w:ind w:firstLine="64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2019</w:t>
      </w:r>
      <w:r>
        <w:rPr>
          <w:rFonts w:hint="eastAsia" w:ascii="仿宋_GB2312" w:hAnsi="仿宋_GB2312" w:eastAsia="仿宋_GB2312" w:cs="仿宋_GB2312"/>
          <w:sz w:val="32"/>
          <w:szCs w:val="32"/>
          <w:lang w:val="en-US"/>
        </w:rPr>
        <w:t>年本</w:t>
      </w:r>
      <w:r>
        <w:rPr>
          <w:rFonts w:hint="eastAsia" w:ascii="仿宋_GB2312" w:hAnsi="仿宋_GB2312" w:eastAsia="仿宋_GB2312" w:cs="仿宋_GB2312"/>
          <w:sz w:val="32"/>
          <w:szCs w:val="32"/>
        </w:rPr>
        <w:t>部门政府采购支出总额共</w:t>
      </w:r>
      <w:r>
        <w:rPr>
          <w:rFonts w:ascii="仿宋_GB2312" w:hAnsi="仿宋_GB2312" w:eastAsia="仿宋_GB2312" w:cs="仿宋_GB2312"/>
          <w:sz w:val="32"/>
          <w:szCs w:val="32"/>
          <w:lang w:val="en-US"/>
        </w:rPr>
        <w:t>7.8</w:t>
      </w:r>
      <w:r>
        <w:rPr>
          <w:rFonts w:hint="eastAsia" w:ascii="仿宋_GB2312" w:hAnsi="仿宋_GB2312" w:eastAsia="仿宋_GB2312" w:cs="仿宋_GB2312"/>
          <w:sz w:val="32"/>
          <w:szCs w:val="32"/>
          <w:lang w:val="en-US"/>
        </w:rPr>
        <w:t>万元，其中政府采购货物类支出</w:t>
      </w:r>
      <w:r>
        <w:rPr>
          <w:rFonts w:ascii="仿宋_GB2312" w:hAnsi="仿宋_GB2312" w:eastAsia="仿宋_GB2312" w:cs="仿宋_GB2312"/>
          <w:sz w:val="32"/>
          <w:szCs w:val="32"/>
          <w:lang w:val="en-US"/>
        </w:rPr>
        <w:t>7.8</w:t>
      </w:r>
      <w:r>
        <w:rPr>
          <w:rFonts w:hint="eastAsia" w:ascii="仿宋_GB2312" w:hAnsi="仿宋_GB2312" w:eastAsia="仿宋_GB2312" w:cs="仿宋_GB2312"/>
          <w:sz w:val="32"/>
          <w:szCs w:val="32"/>
          <w:lang w:val="en-US"/>
        </w:rPr>
        <w:t>万元。</w:t>
      </w:r>
    </w:p>
    <w:p>
      <w:pPr>
        <w:widowControl/>
        <w:ind w:firstLine="622" w:firstLineChars="200"/>
      </w:pPr>
      <w:r>
        <w:rPr>
          <w:rFonts w:hint="eastAsia" w:ascii="楷体" w:hAnsi="楷体" w:eastAsia="楷体" w:cs="楷体"/>
          <w:b/>
          <w:color w:val="000000"/>
          <w:sz w:val="31"/>
          <w:szCs w:val="31"/>
          <w:lang w:val="en-US"/>
        </w:rPr>
        <w:t>（三）国有资产占用及购置情况说明。</w:t>
      </w:r>
    </w:p>
    <w:p>
      <w:pPr>
        <w:ind w:firstLine="640" w:firstLineChars="200"/>
        <w:rPr>
          <w:rFonts w:ascii="黑体" w:hAnsi="宋体" w:eastAsia="黑体" w:cs="黑体"/>
          <w:color w:val="000000"/>
          <w:sz w:val="31"/>
          <w:szCs w:val="31"/>
          <w:lang w:val="en-US"/>
        </w:rPr>
      </w:pPr>
      <w:r>
        <w:rPr>
          <w:rFonts w:hint="eastAsia" w:ascii="仿宋_GB2312" w:hAnsi="仿宋_GB2312" w:eastAsia="仿宋_GB2312" w:cs="仿宋_GB2312"/>
          <w:sz w:val="32"/>
          <w:szCs w:val="32"/>
        </w:rPr>
        <w:t>截至</w:t>
      </w:r>
      <w:r>
        <w:rPr>
          <w:rFonts w:ascii="仿宋_GB2312" w:hAnsi="仿宋_GB2312" w:eastAsia="仿宋_GB2312" w:cs="仿宋_GB2312"/>
          <w:sz w:val="32"/>
          <w:szCs w:val="32"/>
          <w:lang w:val="en-US"/>
        </w:rPr>
        <w:t>2019</w:t>
      </w:r>
      <w:r>
        <w:rPr>
          <w:rFonts w:hint="eastAsia" w:ascii="仿宋_GB2312" w:hAnsi="仿宋_GB2312" w:eastAsia="仿宋_GB2312" w:cs="仿宋_GB2312"/>
          <w:sz w:val="32"/>
          <w:szCs w:val="32"/>
          <w:lang w:val="en-US"/>
        </w:rPr>
        <w:t>年末，本部门所属单位共有车辆</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辆；单价</w:t>
      </w:r>
      <w:r>
        <w:rPr>
          <w:rFonts w:ascii="仿宋_GB2312" w:hAnsi="仿宋_GB2312" w:eastAsia="仿宋_GB2312" w:cs="仿宋_GB2312"/>
          <w:sz w:val="32"/>
          <w:szCs w:val="32"/>
          <w:lang w:val="en-US"/>
        </w:rPr>
        <w:t>50</w:t>
      </w:r>
      <w:r>
        <w:rPr>
          <w:rFonts w:hint="eastAsia" w:ascii="仿宋_GB2312" w:hAnsi="仿宋_GB2312" w:eastAsia="仿宋_GB2312" w:cs="仿宋_GB2312"/>
          <w:sz w:val="32"/>
          <w:szCs w:val="32"/>
          <w:lang w:val="en-US"/>
        </w:rPr>
        <w:t>万元以上的通用设备</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台（套）；单价</w:t>
      </w:r>
      <w:r>
        <w:rPr>
          <w:rFonts w:ascii="仿宋_GB2312" w:hAnsi="仿宋_GB2312" w:eastAsia="仿宋_GB2312" w:cs="仿宋_GB2312"/>
          <w:sz w:val="32"/>
          <w:szCs w:val="32"/>
          <w:lang w:val="en-US"/>
        </w:rPr>
        <w:t>100</w:t>
      </w:r>
      <w:r>
        <w:rPr>
          <w:rFonts w:hint="eastAsia" w:ascii="仿宋_GB2312" w:hAnsi="仿宋_GB2312" w:eastAsia="仿宋_GB2312" w:cs="仿宋_GB2312"/>
          <w:sz w:val="32"/>
          <w:szCs w:val="32"/>
          <w:lang w:val="en-US"/>
        </w:rPr>
        <w:t>万元以上的通用设备</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台（套）。</w:t>
      </w:r>
      <w:r>
        <w:rPr>
          <w:rFonts w:ascii="仿宋_GB2312" w:hAnsi="仿宋_GB2312" w:eastAsia="仿宋_GB2312" w:cs="仿宋_GB2312"/>
          <w:sz w:val="32"/>
          <w:szCs w:val="32"/>
          <w:lang w:val="en-US"/>
        </w:rPr>
        <w:t>2019</w:t>
      </w:r>
      <w:r>
        <w:rPr>
          <w:rFonts w:hint="eastAsia" w:ascii="仿宋_GB2312" w:hAnsi="仿宋_GB2312" w:eastAsia="仿宋_GB2312" w:cs="仿宋_GB2312"/>
          <w:sz w:val="32"/>
          <w:szCs w:val="32"/>
          <w:lang w:val="en-US"/>
        </w:rPr>
        <w:t>年当年购置车辆</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辆；购置单价</w:t>
      </w:r>
      <w:r>
        <w:rPr>
          <w:rFonts w:ascii="仿宋_GB2312" w:hAnsi="仿宋_GB2312" w:eastAsia="仿宋_GB2312" w:cs="仿宋_GB2312"/>
          <w:sz w:val="32"/>
          <w:szCs w:val="32"/>
          <w:lang w:val="en-US"/>
        </w:rPr>
        <w:t>50</w:t>
      </w:r>
      <w:r>
        <w:rPr>
          <w:rFonts w:hint="eastAsia" w:ascii="仿宋_GB2312" w:hAnsi="仿宋_GB2312" w:eastAsia="仿宋_GB2312" w:cs="仿宋_GB2312"/>
          <w:sz w:val="32"/>
          <w:szCs w:val="32"/>
          <w:lang w:val="en-US"/>
        </w:rPr>
        <w:t>万元以上的设备</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台（套）；购置单价</w:t>
      </w:r>
      <w:r>
        <w:rPr>
          <w:rFonts w:ascii="仿宋_GB2312" w:hAnsi="仿宋_GB2312" w:eastAsia="仿宋_GB2312" w:cs="仿宋_GB2312"/>
          <w:sz w:val="32"/>
          <w:szCs w:val="32"/>
          <w:lang w:val="en-US"/>
        </w:rPr>
        <w:t>100</w:t>
      </w:r>
      <w:r>
        <w:rPr>
          <w:rFonts w:hint="eastAsia" w:ascii="仿宋_GB2312" w:hAnsi="仿宋_GB2312" w:eastAsia="仿宋_GB2312" w:cs="仿宋_GB2312"/>
          <w:sz w:val="32"/>
          <w:szCs w:val="32"/>
          <w:lang w:val="en-US"/>
        </w:rPr>
        <w:t>万元以上的通用设备</w:t>
      </w:r>
      <w:r>
        <w:rPr>
          <w:rFonts w:ascii="仿宋_GB2312" w:hAnsi="仿宋_GB2312" w:eastAsia="仿宋_GB2312" w:cs="仿宋_GB2312"/>
          <w:sz w:val="32"/>
          <w:szCs w:val="32"/>
          <w:lang w:val="en-US"/>
        </w:rPr>
        <w:t>0</w:t>
      </w:r>
      <w:r>
        <w:rPr>
          <w:rFonts w:hint="eastAsia" w:ascii="仿宋_GB2312" w:hAnsi="仿宋_GB2312" w:eastAsia="仿宋_GB2312" w:cs="仿宋_GB2312"/>
          <w:sz w:val="32"/>
          <w:szCs w:val="32"/>
          <w:lang w:val="en-US"/>
        </w:rPr>
        <w:t>台（套）。</w:t>
      </w:r>
    </w:p>
    <w:p>
      <w:pPr>
        <w:widowControl/>
        <w:jc w:val="center"/>
        <w:rPr>
          <w:rFonts w:ascii="黑体" w:hAnsi="宋体" w:eastAsia="黑体" w:cs="黑体"/>
          <w:color w:val="000000"/>
          <w:sz w:val="43"/>
          <w:szCs w:val="43"/>
          <w:lang w:val="en-US"/>
        </w:rPr>
      </w:pPr>
    </w:p>
    <w:p>
      <w:pPr>
        <w:widowControl/>
        <w:jc w:val="center"/>
        <w:rPr>
          <w:rFonts w:ascii="黑体" w:hAnsi="宋体" w:eastAsia="黑体" w:cs="黑体"/>
          <w:color w:val="000000"/>
          <w:sz w:val="43"/>
          <w:szCs w:val="43"/>
          <w:lang w:val="en-US"/>
        </w:rPr>
      </w:pPr>
    </w:p>
    <w:p>
      <w:pPr>
        <w:widowControl/>
        <w:jc w:val="center"/>
      </w:pPr>
      <w:r>
        <w:rPr>
          <w:rFonts w:hint="eastAsia" w:ascii="黑体" w:hAnsi="宋体" w:eastAsia="黑体" w:cs="黑体"/>
          <w:color w:val="000000"/>
          <w:sz w:val="43"/>
          <w:szCs w:val="43"/>
          <w:lang w:val="en-US"/>
        </w:rPr>
        <w:t>第四部分</w:t>
      </w:r>
      <w:r>
        <w:rPr>
          <w:rFonts w:ascii="黑体" w:hAnsi="宋体" w:eastAsia="黑体" w:cs="黑体"/>
          <w:color w:val="000000"/>
          <w:sz w:val="43"/>
          <w:szCs w:val="43"/>
          <w:lang w:val="en-US"/>
        </w:rPr>
        <w:t xml:space="preserve"> </w:t>
      </w:r>
      <w:r>
        <w:rPr>
          <w:rFonts w:hint="eastAsia" w:ascii="黑体" w:hAnsi="宋体" w:eastAsia="黑体" w:cs="黑体"/>
          <w:color w:val="000000"/>
          <w:sz w:val="43"/>
          <w:szCs w:val="43"/>
          <w:lang w:val="en-US"/>
        </w:rPr>
        <w:t>专业名词解释</w:t>
      </w:r>
    </w:p>
    <w:p>
      <w:pPr>
        <w:widowControl/>
        <w:ind w:left="440" w:leftChars="200"/>
        <w:rPr>
          <w:rFonts w:ascii="黑体" w:hAnsi="宋体" w:eastAsia="黑体" w:cs="黑体"/>
          <w:color w:val="000000"/>
          <w:sz w:val="31"/>
          <w:szCs w:val="31"/>
          <w:lang w:val="en-US"/>
        </w:rPr>
      </w:pP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rPr>
        <w:t>基本支出：指为保障机构正常运转、完成日常工作任务而发生的各项支出。</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ascii="仿宋_GB2312" w:hAnsi="仿宋_GB2312" w:eastAsia="仿宋_GB2312" w:cs="仿宋_GB2312"/>
          <w:sz w:val="32"/>
          <w:szCs w:val="32"/>
          <w:lang w:val="en-US"/>
        </w:rPr>
        <w:t>.</w:t>
      </w:r>
      <w:r>
        <w:rPr>
          <w:rFonts w:hint="eastAsia" w:ascii="仿宋_GB2312" w:hAnsi="仿宋_GB2312" w:eastAsia="仿宋_GB2312" w:cs="仿宋_GB2312"/>
          <w:sz w:val="32"/>
          <w:szCs w:val="32"/>
        </w:rPr>
        <w:t>项目支出：指单位为完成特定的行政工作任务或事业发展目标所发生的各项支出。</w:t>
      </w:r>
    </w:p>
    <w:p>
      <w:pPr>
        <w:ind w:firstLine="64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3.</w:t>
      </w:r>
      <w:r>
        <w:rPr>
          <w:rFonts w:hint="eastAsia" w:ascii="仿宋_GB2312" w:hAnsi="仿宋_GB2312" w:eastAsia="仿宋_GB2312" w:cs="仿宋_GB2312"/>
          <w:sz w:val="32"/>
          <w:szCs w:val="32"/>
          <w:lang w:val="en-US"/>
        </w:rPr>
        <w:t>“三公”经费：指部门使用一般公共预算财政拨款安排的因公出国（境）费、公务用车购置及运行费和公务接待费支出。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lang w:val="en-US"/>
        </w:rPr>
      </w:pPr>
      <w:r>
        <w:rPr>
          <w:rFonts w:ascii="仿宋_GB2312" w:hAnsi="仿宋_GB2312" w:eastAsia="仿宋_GB2312" w:cs="仿宋_GB2312"/>
          <w:sz w:val="32"/>
          <w:szCs w:val="32"/>
          <w:lang w:val="en-US"/>
        </w:rPr>
        <w:t>4.</w:t>
      </w:r>
      <w:r>
        <w:rPr>
          <w:rFonts w:hint="eastAsia" w:ascii="仿宋_GB2312" w:hAnsi="仿宋_GB2312" w:eastAsia="仿宋_GB2312" w:cs="仿宋_GB2312"/>
          <w:sz w:val="32"/>
          <w:szCs w:val="32"/>
          <w:lang w:val="en-US"/>
        </w:rPr>
        <w:t>财政拨款收入：指本级财政当年拨付的资金。</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widowControl/>
        <w:ind w:firstLine="640" w:firstLineChars="200"/>
        <w:rPr>
          <w:rFonts w:ascii="仿宋_GB2312" w:eastAsia="仿宋_GB2312"/>
          <w:sz w:val="32"/>
          <w:szCs w:val="32"/>
          <w:lang w:val="en-US"/>
        </w:rPr>
      </w:pPr>
    </w:p>
    <w:p>
      <w:pPr>
        <w:spacing w:line="360" w:lineRule="auto"/>
        <w:ind w:firstLine="640" w:firstLineChars="200"/>
        <w:rPr>
          <w:rFonts w:ascii="仿宋_GB2312" w:eastAsia="仿宋_GB2312"/>
          <w:sz w:val="32"/>
          <w:szCs w:val="32"/>
        </w:rPr>
      </w:pPr>
    </w:p>
    <w:p>
      <w:pPr>
        <w:pStyle w:val="18"/>
        <w:tabs>
          <w:tab w:val="left" w:pos="1235"/>
        </w:tabs>
        <w:spacing w:line="364" w:lineRule="auto"/>
        <w:ind w:left="0" w:firstLine="0"/>
        <w:jc w:val="center"/>
        <w:rPr>
          <w:b/>
          <w:bCs/>
          <w:sz w:val="20"/>
          <w:szCs w:val="20"/>
          <w:lang w:val="en-US"/>
        </w:rPr>
      </w:pPr>
    </w:p>
    <w:sectPr>
      <w:pgSz w:w="11910" w:h="16840"/>
      <w:pgMar w:top="1540" w:right="1480" w:bottom="164" w:left="13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313295"/>
    <w:multiLevelType w:val="singleLevel"/>
    <w:tmpl w:val="94313295"/>
    <w:lvl w:ilvl="0" w:tentative="0">
      <w:start w:val="2"/>
      <w:numFmt w:val="chineseCounting"/>
      <w:suff w:val="space"/>
      <w:lvlText w:val="第%1部分"/>
      <w:lvlJc w:val="left"/>
      <w:rPr>
        <w:rFonts w:hint="eastAsia" w:cs="Times New Roman"/>
      </w:rPr>
    </w:lvl>
  </w:abstractNum>
  <w:abstractNum w:abstractNumId="1">
    <w:nsid w:val="EFD13E9A"/>
    <w:multiLevelType w:val="singleLevel"/>
    <w:tmpl w:val="EFD13E9A"/>
    <w:lvl w:ilvl="0" w:tentative="0">
      <w:start w:val="2"/>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noLineBreaksAfter w:lang="zh-CN" w:val="$([{£¥·‘“〈《「『【〔〖〝﹙﹛﹝＄（．［｛￡￥"/>
  <w:noLineBreaksBefore w:lang="zh-CN" w:val="!%),.:;&gt;?]}¢¨°·ˇˉ―‖’”…‰′″›℃∶、。〃〉》」』】〕〗〞︶︺︾﹀﹄﹚﹜﹞！＂％＇），．：；？］｀｜｝～￠"/>
  <w:compat>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971"/>
    <w:rsid w:val="00222D94"/>
    <w:rsid w:val="0041279D"/>
    <w:rsid w:val="00556620"/>
    <w:rsid w:val="00B32971"/>
    <w:rsid w:val="00C204CC"/>
    <w:rsid w:val="00D033AB"/>
    <w:rsid w:val="00D77736"/>
    <w:rsid w:val="00D913CC"/>
    <w:rsid w:val="00FA7879"/>
    <w:rsid w:val="01AF5C49"/>
    <w:rsid w:val="02754839"/>
    <w:rsid w:val="02F91760"/>
    <w:rsid w:val="047B6001"/>
    <w:rsid w:val="07BE69C8"/>
    <w:rsid w:val="08760731"/>
    <w:rsid w:val="08E910BB"/>
    <w:rsid w:val="090637FC"/>
    <w:rsid w:val="09193F8B"/>
    <w:rsid w:val="09BD71B3"/>
    <w:rsid w:val="0B4167B4"/>
    <w:rsid w:val="0C0A25D2"/>
    <w:rsid w:val="0CC47359"/>
    <w:rsid w:val="0E093E83"/>
    <w:rsid w:val="0E294A4C"/>
    <w:rsid w:val="10AE0D4B"/>
    <w:rsid w:val="115E147E"/>
    <w:rsid w:val="1269642C"/>
    <w:rsid w:val="12B93BBF"/>
    <w:rsid w:val="12E56607"/>
    <w:rsid w:val="12F8652E"/>
    <w:rsid w:val="13AE63EB"/>
    <w:rsid w:val="14015D3B"/>
    <w:rsid w:val="14566E61"/>
    <w:rsid w:val="149C2F7A"/>
    <w:rsid w:val="15A804AC"/>
    <w:rsid w:val="16006689"/>
    <w:rsid w:val="17D054CF"/>
    <w:rsid w:val="185D00C9"/>
    <w:rsid w:val="18DA1B51"/>
    <w:rsid w:val="1901052B"/>
    <w:rsid w:val="19C075B4"/>
    <w:rsid w:val="1AD4525E"/>
    <w:rsid w:val="1AEF49DA"/>
    <w:rsid w:val="1C1E6A85"/>
    <w:rsid w:val="1C34687B"/>
    <w:rsid w:val="1D4467D2"/>
    <w:rsid w:val="1E8E7984"/>
    <w:rsid w:val="1EF546C1"/>
    <w:rsid w:val="1F2750E0"/>
    <w:rsid w:val="1F4F120E"/>
    <w:rsid w:val="21531231"/>
    <w:rsid w:val="21E074FE"/>
    <w:rsid w:val="233F0A67"/>
    <w:rsid w:val="2344373D"/>
    <w:rsid w:val="23FD2FA3"/>
    <w:rsid w:val="24A47549"/>
    <w:rsid w:val="24CB366D"/>
    <w:rsid w:val="25B93A66"/>
    <w:rsid w:val="25BB3D61"/>
    <w:rsid w:val="274103E6"/>
    <w:rsid w:val="27DE3630"/>
    <w:rsid w:val="288922D1"/>
    <w:rsid w:val="295670A7"/>
    <w:rsid w:val="29570317"/>
    <w:rsid w:val="2A43014F"/>
    <w:rsid w:val="2A8A6ED7"/>
    <w:rsid w:val="2AFA79AA"/>
    <w:rsid w:val="2B9A6C9F"/>
    <w:rsid w:val="2BBF7DA3"/>
    <w:rsid w:val="2C140701"/>
    <w:rsid w:val="2DA752D4"/>
    <w:rsid w:val="2DEA654B"/>
    <w:rsid w:val="2FC03AAB"/>
    <w:rsid w:val="300F61C2"/>
    <w:rsid w:val="30DE5391"/>
    <w:rsid w:val="3181357F"/>
    <w:rsid w:val="32572613"/>
    <w:rsid w:val="32FF749D"/>
    <w:rsid w:val="33F378D1"/>
    <w:rsid w:val="33F70B8C"/>
    <w:rsid w:val="340C00B8"/>
    <w:rsid w:val="35EB5D37"/>
    <w:rsid w:val="36F04C7B"/>
    <w:rsid w:val="372F5F9E"/>
    <w:rsid w:val="37572C7E"/>
    <w:rsid w:val="38527268"/>
    <w:rsid w:val="390A4A54"/>
    <w:rsid w:val="3A607034"/>
    <w:rsid w:val="3B94598F"/>
    <w:rsid w:val="3BBD7670"/>
    <w:rsid w:val="3C7403FA"/>
    <w:rsid w:val="3FAC5B9D"/>
    <w:rsid w:val="40143443"/>
    <w:rsid w:val="40537066"/>
    <w:rsid w:val="420249C6"/>
    <w:rsid w:val="42776E60"/>
    <w:rsid w:val="428849CD"/>
    <w:rsid w:val="4323475E"/>
    <w:rsid w:val="443552E1"/>
    <w:rsid w:val="44C575CE"/>
    <w:rsid w:val="455B62D2"/>
    <w:rsid w:val="462B4AE7"/>
    <w:rsid w:val="463A5F31"/>
    <w:rsid w:val="46A51B38"/>
    <w:rsid w:val="47326197"/>
    <w:rsid w:val="4803753C"/>
    <w:rsid w:val="4838479E"/>
    <w:rsid w:val="48D652D3"/>
    <w:rsid w:val="49167B57"/>
    <w:rsid w:val="49286800"/>
    <w:rsid w:val="4AB81267"/>
    <w:rsid w:val="4AD31BAC"/>
    <w:rsid w:val="4B067400"/>
    <w:rsid w:val="4BB644E2"/>
    <w:rsid w:val="4CEF1215"/>
    <w:rsid w:val="4DD327AD"/>
    <w:rsid w:val="4DD8710F"/>
    <w:rsid w:val="4F09695E"/>
    <w:rsid w:val="50531853"/>
    <w:rsid w:val="50CC311C"/>
    <w:rsid w:val="517C7404"/>
    <w:rsid w:val="5200026E"/>
    <w:rsid w:val="53261522"/>
    <w:rsid w:val="534B4C36"/>
    <w:rsid w:val="535C7841"/>
    <w:rsid w:val="549B7666"/>
    <w:rsid w:val="55AB244E"/>
    <w:rsid w:val="560A4023"/>
    <w:rsid w:val="56D96AE1"/>
    <w:rsid w:val="576D7DE0"/>
    <w:rsid w:val="5A0B55BB"/>
    <w:rsid w:val="5A637562"/>
    <w:rsid w:val="5A6F013F"/>
    <w:rsid w:val="5B4B33C8"/>
    <w:rsid w:val="5BB63BC2"/>
    <w:rsid w:val="5C954FBF"/>
    <w:rsid w:val="5CCE58A2"/>
    <w:rsid w:val="5DD52A29"/>
    <w:rsid w:val="5E4A6C24"/>
    <w:rsid w:val="5E896D26"/>
    <w:rsid w:val="5F725800"/>
    <w:rsid w:val="60DE0C77"/>
    <w:rsid w:val="614F057A"/>
    <w:rsid w:val="615826B1"/>
    <w:rsid w:val="616C1179"/>
    <w:rsid w:val="61A668D0"/>
    <w:rsid w:val="63541969"/>
    <w:rsid w:val="63B9216F"/>
    <w:rsid w:val="63F23C29"/>
    <w:rsid w:val="64FE5761"/>
    <w:rsid w:val="65162540"/>
    <w:rsid w:val="65981BCB"/>
    <w:rsid w:val="65C560BC"/>
    <w:rsid w:val="67261C1C"/>
    <w:rsid w:val="673170F7"/>
    <w:rsid w:val="675530AE"/>
    <w:rsid w:val="675D6125"/>
    <w:rsid w:val="69123883"/>
    <w:rsid w:val="6A0A65FE"/>
    <w:rsid w:val="6C9414E4"/>
    <w:rsid w:val="6CD55950"/>
    <w:rsid w:val="6CEF0F04"/>
    <w:rsid w:val="6D054782"/>
    <w:rsid w:val="6E850432"/>
    <w:rsid w:val="6EED1ED6"/>
    <w:rsid w:val="6F320683"/>
    <w:rsid w:val="6FC9581D"/>
    <w:rsid w:val="70F653EF"/>
    <w:rsid w:val="7175558A"/>
    <w:rsid w:val="72C94401"/>
    <w:rsid w:val="73853A5D"/>
    <w:rsid w:val="73B51A4B"/>
    <w:rsid w:val="740B56EF"/>
    <w:rsid w:val="74B909F4"/>
    <w:rsid w:val="75B22202"/>
    <w:rsid w:val="76341BF0"/>
    <w:rsid w:val="766E0DA2"/>
    <w:rsid w:val="7682004F"/>
    <w:rsid w:val="789C7073"/>
    <w:rsid w:val="78BC181F"/>
    <w:rsid w:val="79752673"/>
    <w:rsid w:val="79BF30FF"/>
    <w:rsid w:val="7A9C6CBD"/>
    <w:rsid w:val="7AB21636"/>
    <w:rsid w:val="7AD00FA6"/>
    <w:rsid w:val="7B3B1BE4"/>
    <w:rsid w:val="7CE62331"/>
    <w:rsid w:val="7DB048F6"/>
    <w:rsid w:val="7E2266F0"/>
    <w:rsid w:val="7E251027"/>
    <w:rsid w:val="7FF8083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kern w:val="0"/>
      <w:sz w:val="22"/>
      <w:szCs w:val="22"/>
      <w:lang w:val="zh-CN" w:eastAsia="zh-CN" w:bidi="ar-SA"/>
    </w:rPr>
  </w:style>
  <w:style w:type="paragraph" w:styleId="2">
    <w:name w:val="heading 1"/>
    <w:basedOn w:val="1"/>
    <w:next w:val="1"/>
    <w:link w:val="13"/>
    <w:qFormat/>
    <w:uiPriority w:val="99"/>
    <w:pPr>
      <w:ind w:left="2194"/>
      <w:outlineLvl w:val="0"/>
    </w:pPr>
    <w:rPr>
      <w:rFonts w:ascii="宋体" w:hAnsi="宋体" w:eastAsia="宋体" w:cs="宋体"/>
      <w:b/>
      <w:bCs/>
      <w:sz w:val="32"/>
      <w:szCs w:val="32"/>
    </w:rPr>
  </w:style>
  <w:style w:type="character" w:default="1" w:styleId="9">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4"/>
    <w:uiPriority w:val="99"/>
    <w:pPr>
      <w:ind w:left="113"/>
    </w:pPr>
    <w:rPr>
      <w:sz w:val="32"/>
      <w:szCs w:val="32"/>
    </w:rPr>
  </w:style>
  <w:style w:type="paragraph" w:styleId="4">
    <w:name w:val="footer"/>
    <w:basedOn w:val="1"/>
    <w:link w:val="15"/>
    <w:qFormat/>
    <w:uiPriority w:val="99"/>
    <w:pPr>
      <w:tabs>
        <w:tab w:val="center" w:pos="4153"/>
        <w:tab w:val="right" w:pos="8306"/>
      </w:tabs>
      <w:snapToGrid w:val="0"/>
    </w:pPr>
    <w:rPr>
      <w:sz w:val="18"/>
    </w:rPr>
  </w:style>
  <w:style w:type="paragraph" w:styleId="5">
    <w:name w:val="header"/>
    <w:basedOn w:val="1"/>
    <w:link w:val="1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locked/>
    <w:uiPriority w:val="0"/>
    <w:rPr>
      <w:b/>
    </w:rPr>
  </w:style>
  <w:style w:type="character" w:styleId="11">
    <w:name w:val="FollowedHyperlink"/>
    <w:basedOn w:val="9"/>
    <w:semiHidden/>
    <w:unhideWhenUsed/>
    <w:qFormat/>
    <w:uiPriority w:val="99"/>
    <w:rPr>
      <w:color w:val="800080"/>
      <w:u w:val="none"/>
    </w:rPr>
  </w:style>
  <w:style w:type="character" w:styleId="12">
    <w:name w:val="Hyperlink"/>
    <w:basedOn w:val="9"/>
    <w:semiHidden/>
    <w:unhideWhenUsed/>
    <w:qFormat/>
    <w:uiPriority w:val="99"/>
    <w:rPr>
      <w:color w:val="0000FF"/>
      <w:u w:val="none"/>
    </w:rPr>
  </w:style>
  <w:style w:type="character" w:customStyle="1" w:styleId="13">
    <w:name w:val="Heading 1 Char"/>
    <w:basedOn w:val="9"/>
    <w:link w:val="2"/>
    <w:qFormat/>
    <w:uiPriority w:val="9"/>
    <w:rPr>
      <w:rFonts w:ascii="仿宋" w:hAnsi="仿宋" w:eastAsia="仿宋" w:cs="仿宋"/>
      <w:b/>
      <w:bCs/>
      <w:kern w:val="44"/>
      <w:sz w:val="44"/>
      <w:szCs w:val="44"/>
      <w:lang w:val="zh-CN"/>
    </w:rPr>
  </w:style>
  <w:style w:type="character" w:customStyle="1" w:styleId="14">
    <w:name w:val="Body Text Char"/>
    <w:basedOn w:val="9"/>
    <w:link w:val="3"/>
    <w:semiHidden/>
    <w:uiPriority w:val="99"/>
    <w:rPr>
      <w:rFonts w:ascii="仿宋" w:hAnsi="仿宋" w:eastAsia="仿宋" w:cs="仿宋"/>
      <w:kern w:val="0"/>
      <w:sz w:val="22"/>
      <w:lang w:val="zh-CN"/>
    </w:rPr>
  </w:style>
  <w:style w:type="character" w:customStyle="1" w:styleId="15">
    <w:name w:val="Footer Char"/>
    <w:basedOn w:val="9"/>
    <w:link w:val="4"/>
    <w:semiHidden/>
    <w:qFormat/>
    <w:uiPriority w:val="99"/>
    <w:rPr>
      <w:rFonts w:ascii="仿宋" w:hAnsi="仿宋" w:eastAsia="仿宋" w:cs="仿宋"/>
      <w:kern w:val="0"/>
      <w:sz w:val="18"/>
      <w:szCs w:val="18"/>
      <w:lang w:val="zh-CN"/>
    </w:rPr>
  </w:style>
  <w:style w:type="character" w:customStyle="1" w:styleId="16">
    <w:name w:val="Header Char"/>
    <w:basedOn w:val="9"/>
    <w:link w:val="5"/>
    <w:semiHidden/>
    <w:qFormat/>
    <w:uiPriority w:val="99"/>
    <w:rPr>
      <w:rFonts w:ascii="仿宋" w:hAnsi="仿宋" w:eastAsia="仿宋" w:cs="仿宋"/>
      <w:kern w:val="0"/>
      <w:sz w:val="18"/>
      <w:szCs w:val="18"/>
      <w:lang w:val="zh-CN"/>
    </w:rPr>
  </w:style>
  <w:style w:type="table" w:customStyle="1" w:styleId="17">
    <w:name w:val="Table Normal1"/>
    <w:semiHidden/>
    <w:qFormat/>
    <w:uiPriority w:val="99"/>
    <w:rPr>
      <w:kern w:val="0"/>
      <w:sz w:val="20"/>
      <w:szCs w:val="20"/>
    </w:rPr>
    <w:tblPr>
      <w:tblCellMar>
        <w:top w:w="0" w:type="dxa"/>
        <w:left w:w="0" w:type="dxa"/>
        <w:bottom w:w="0" w:type="dxa"/>
        <w:right w:w="0" w:type="dxa"/>
      </w:tblCellMar>
    </w:tblPr>
  </w:style>
  <w:style w:type="paragraph" w:styleId="18">
    <w:name w:val="List Paragraph"/>
    <w:basedOn w:val="1"/>
    <w:qFormat/>
    <w:uiPriority w:val="99"/>
    <w:pPr>
      <w:ind w:left="113" w:right="106" w:firstLine="640"/>
      <w:jc w:val="both"/>
    </w:pPr>
  </w:style>
  <w:style w:type="paragraph" w:customStyle="1" w:styleId="19">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10.emf"/><Relationship Id="rId24" Type="http://schemas.openxmlformats.org/officeDocument/2006/relationships/oleObject" Target="embeddings/oleObject6.bin"/><Relationship Id="rId23" Type="http://schemas.openxmlformats.org/officeDocument/2006/relationships/image" Target="media/image9.emf"/><Relationship Id="rId22" Type="http://schemas.openxmlformats.org/officeDocument/2006/relationships/oleObject" Target="embeddings/oleObject5.bin"/><Relationship Id="rId21" Type="http://schemas.openxmlformats.org/officeDocument/2006/relationships/image" Target="media/image8.e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7.emf"/><Relationship Id="rId18" Type="http://schemas.openxmlformats.org/officeDocument/2006/relationships/oleObject" Target="embeddings/oleObject3.bin"/><Relationship Id="rId17" Type="http://schemas.openxmlformats.org/officeDocument/2006/relationships/image" Target="media/image6.emf"/><Relationship Id="rId16" Type="http://schemas.openxmlformats.org/officeDocument/2006/relationships/oleObject" Target="embeddings/oleObject2.bin"/><Relationship Id="rId15" Type="http://schemas.openxmlformats.org/officeDocument/2006/relationships/image" Target="media/image5.emf"/><Relationship Id="rId14" Type="http://schemas.openxmlformats.org/officeDocument/2006/relationships/oleObject" Target="embeddings/oleObject1.bin"/><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26</Pages>
  <Words>1567</Words>
  <Characters>8937</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2020-09-11T08:10:00Z</dcterms:created>
  <dc:creator>Administrator</dc:creator>
  <cp:lastModifiedBy>Administrator</cp:lastModifiedBy>
  <dcterms:modified xsi:type="dcterms:W3CDTF">2020-09-29T07:40:05Z</dcterms:modified>
  <dc:title>附件1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Office</vt:lpwstr>
  </property>
  <property fmtid="{D5CDD505-2E9C-101B-9397-08002B2CF9AE}" pid="3" name="KSOProductBuildVer">
    <vt:lpwstr>2052-11.1.0.9999</vt:lpwstr>
  </property>
</Properties>
</file>