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48" w:afterAutospacing="0" w:line="17" w:lineRule="atLeast"/>
        <w:ind w:left="0" w:right="0"/>
        <w:jc w:val="center"/>
        <w:rPr>
          <w:b/>
          <w:color w:val="E74C3C"/>
          <w:sz w:val="40"/>
          <w:szCs w:val="40"/>
        </w:rPr>
      </w:pPr>
      <w:r>
        <w:rPr>
          <w:b/>
          <w:color w:val="E74C3C"/>
          <w:sz w:val="40"/>
          <w:szCs w:val="40"/>
          <w:shd w:val="clear" w:fill="FFFFFF"/>
        </w:rPr>
        <w:t>中共渭滨区委老干局</w:t>
      </w:r>
      <w:r>
        <w:rPr>
          <w:b/>
          <w:color w:val="E74C3C"/>
          <w:sz w:val="40"/>
          <w:szCs w:val="40"/>
          <w:shd w:val="clear" w:fill="FFFFFF"/>
        </w:rPr>
        <w:br w:type="textWrapping"/>
      </w:r>
      <w:r>
        <w:rPr>
          <w:b/>
          <w:color w:val="E74C3C"/>
          <w:sz w:val="40"/>
          <w:szCs w:val="40"/>
          <w:shd w:val="clear" w:fill="FFFFFF"/>
        </w:rPr>
        <w:t>2018年部门综合预算说明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4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发布时间:2018-03-01 20:20 </w:t>
      </w:r>
      <w:r>
        <w:rPr>
          <w:rFonts w:hint="eastAsia" w:ascii="宋体" w:hAnsi="宋体" w:eastAsia="宋体" w:cs="宋体"/>
          <w:kern w:val="0"/>
          <w:sz w:val="16"/>
          <w:szCs w:val="16"/>
          <w:shd w:val="clear" w:fill="FFFFFF"/>
          <w:lang w:val="en-US" w:eastAsia="zh-CN" w:bidi="ar"/>
        </w:rPr>
        <w:t>浏览：34</w:t>
      </w: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 来源:老干局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"http://www.weibin.gov.cn/Article/Index/6c7547a3-6843-46d8-a9b3-60b061a3cd1a"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"http://www.weibin.gov.cn/Article/Index/6c7547a3-6843-46d8-a9b3-60b061a3cd1a" \o "分享到QQ空间"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"http://www.weibin.gov.cn/Article/Index/6c7547a3-6843-46d8-a9b3-60b061a3cd1a" \o "分享到微信"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"http://www.weibin.gov.cn/Article/Index/6c7547a3-6843-46d8-a9b3-60b061a3cd1a" \o "分享到新浪微博"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"http://www.weibin.gov.cn/Article/Index/6c7547a3-6843-46d8-a9b3-60b061a3cd1a" \o "分享到腾讯微博"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ascii="黑体" w:hAnsi="宋体" w:eastAsia="黑体" w:cs="黑体"/>
          <w:sz w:val="25"/>
          <w:szCs w:val="25"/>
          <w:shd w:val="clear" w:fill="FFFFFF"/>
        </w:rPr>
        <w:t>一、</w:t>
      </w: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部门主要职责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516"/>
      </w:pPr>
      <w:r>
        <w:rPr>
          <w:rFonts w:ascii="仿宋" w:hAnsi="仿宋" w:eastAsia="仿宋" w:cs="仿宋"/>
          <w:sz w:val="25"/>
          <w:szCs w:val="25"/>
          <w:shd w:val="clear" w:fill="FFFFFF"/>
        </w:rPr>
        <w:t>1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、全面落实老干部的政治待遇，安排部署老干部学习党的路线、方针和政策，配合有关方面做好老干部的思想政治工作，指导老干部党支部建设。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 2、促检查落实老干部的生活待遇，协助有关部门制定完善落实老干部“两费”保障机制和共享改革成果机制，使老干部“老有所养”、“老有所医”。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3、围绕党的中心工作，组织老干部在“两个文明”建设中继续发挥作用。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4、做好老干部工作与宣传、人事、劳动社保、财政、卫生等部门的协调工作。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5、指导全区老干部教育工作，组织指导全区老干部开展形式多样、健康有益的文化娱乐和体育健身活动，丰富活跃老同志的精神文化生活。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6、指导全区老干部工作部门的自身建设，搞好业务培训，提高工作人员的思想和政策水平。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7、负责全市老干部的信息库、信访和外地老干部来宝的接待工作。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8、指导老干部的丧事处理和对老干部遗属的照料工作。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　　9、完成区委和区委组织部交办的其他各项任务。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516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二、2018年度部门主要工作任务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04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1、不断加强离退休干部党组织建设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04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2、切实加强离退休干部思想政治建设。根据老干部的特点，开展多种有效的活动，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04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3、扎实推进退休干部服务管理工作。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04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4、做好生活困难离退休干部帮扶工作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04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5、积极开展利用社区资源服务离退休干部示范点工作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04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6、切实做好老干部信访工作。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7、加强调查研究，打牢退休干部服务管理工作的基础。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8、积极组织开展“五老四教”主题活动，推动离退休干部发挥作用工作深入开展。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9、抓好对老年社会组织的指导协调工作。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10、继续推进老年大学、老干部活动中心基础设施建设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11、进一步加强调查研究，积极研究老干部工作面临的新情况、新问题。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11、以开展“建设老干部之家”主题活动为载体，继续深化老干部门的自身建设。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13、加大老干部宣传信息工作力度。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84"/>
        <w:textAlignment w:val="baseline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  <w:vertAlign w:val="baseline"/>
        </w:rPr>
        <w:t>三、部门基层预算单位构成及经费管理方式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sz w:val="25"/>
          <w:szCs w:val="25"/>
          <w:shd w:val="clear" w:fill="FFFFFF"/>
          <w:vertAlign w:val="baseline"/>
        </w:rPr>
        <w:t>老干局现内设1个办公室。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四、部门人员情况说明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 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   老干局实有人数3人，离退休人数4人。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五、部门国有资产占用情况说明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本部门共有车辆1辆。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六、部门预算绩效目标说明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2018年本部门涉及一般公共预算当年拨款669424.08元。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七、2018年部门预算收支说明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（一）收支预算总体情况。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2018年,渭滨老干局收入预算为669424.08元，较上年减少27.7%，全部为一般公共预算拨款预算，主要原因是人员减少。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2018年,老干局支出预算为669424.08元，包括人员经费389674.08元和公用经费支出9000.00元，专项业务费15,2250.00元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宋体" w:hAnsi="宋体" w:eastAsia="宋体" w:cs="宋体"/>
          <w:sz w:val="25"/>
          <w:szCs w:val="25"/>
          <w:shd w:val="clear" w:fill="FFFFFF"/>
        </w:rPr>
        <w:t>（二）财政拨款收支情况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2018年，老干局财政拨款收支669424.08元，较上年减少27.7%，减少原因同上</w:t>
      </w:r>
      <w:r>
        <w:rPr>
          <w:rFonts w:hint="eastAsia" w:ascii="宋体" w:hAnsi="宋体" w:eastAsia="宋体" w:cs="宋体"/>
          <w:sz w:val="25"/>
          <w:szCs w:val="25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（三）公共预算拨款支出明细情况。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1.支出按经济分类的明细情况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，老干局支出预算为669424.08元，其中人员经费支出389674.08元，较上年减少39.4%，原因是人员减少。其中工资福利支出337636.08元，较上年减少29%，；对个人和家庭补助支出3330.00元，较上年下降96 %；商品服务支出用于人员的支出48708.00元，较上年下降88.4 %;公用经费支出9000.00元，较上年减少97.9%，原因是人员减少及科目调整。专项业务经费支出15,2250.00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2.支出按功能分类的明细情况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（1）行政运行（2013201）630682,78元，较上年增加16.6%，原因是机关及参照公务员管理事业单位基本养老保险制度改革、正常调资晋档及公用支出定额提高。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84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（2）机关事业单位基本养老保险缴费（2080505）38741.3元，较上年减少41%，主要原因一是人员减少,二是机关事业单位基本养老保险制度改革带来的2017年补缴了2017年之前的人员经费。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eastAsia" w:ascii="宋体" w:hAnsi="宋体" w:eastAsia="宋体" w:cs="宋体"/>
          <w:sz w:val="25"/>
          <w:szCs w:val="25"/>
          <w:shd w:val="clear" w:fill="FFFFFF"/>
        </w:rPr>
        <w:t>（四）政府性基金预算支出情况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2018年老干局无政府性基金预算收支，并已公开空表</w:t>
      </w:r>
      <w:r>
        <w:rPr>
          <w:rFonts w:hint="eastAsia" w:ascii="宋体" w:hAnsi="宋体" w:eastAsia="宋体" w:cs="宋体"/>
          <w:color w:val="333333"/>
          <w:sz w:val="25"/>
          <w:szCs w:val="25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（五）国有资本经营预算拨款收支情况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老干局无国有资本经营预算拨款收支</w:t>
      </w:r>
      <w:r>
        <w:rPr>
          <w:rFonts w:hint="eastAsia" w:ascii="宋体" w:hAnsi="宋体" w:eastAsia="宋体" w:cs="宋体"/>
          <w:color w:val="333333"/>
          <w:sz w:val="25"/>
          <w:szCs w:val="25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（六）部门“三公”经费等预算情况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2018年“三公”经费预算32000元。其中因公出国(境)费0.00元,公务接待费0.00元，公务用车购置及运行维护费32000元，同比上年增加2000元，增加原因为车辆老旧，修理费用增加。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（七）机关运行经费安排情况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商品和服务支出326458元，较上年下降4.83%，主要原因是对专项业务经费项目进行了整合夯实压减。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（八）政府采购情况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本年度预计采购金额为2000元。主要用于固定资产的更新及采购。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八、2018年专项资金预算说明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2018年老干局专项资金118500元，用于离退休老干部管理经费，每人每年500元。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7"/>
          <w:rFonts w:hint="eastAsia" w:ascii="黑体" w:hAnsi="宋体" w:eastAsia="黑体" w:cs="黑体"/>
          <w:sz w:val="25"/>
          <w:szCs w:val="25"/>
          <w:shd w:val="clear" w:fill="FFFFFF"/>
        </w:rPr>
        <w:t>九、专业名词解释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1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2.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仿宋" w:hAnsi="仿宋" w:eastAsia="仿宋" w:cs="仿宋"/>
          <w:sz w:val="25"/>
          <w:szCs w:val="25"/>
          <w:shd w:val="clear" w:fill="FFFFFF"/>
        </w:rPr>
        <w:t>以上公开内容，均已通过保密审查及本部门主要负责人审签。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3E7C"/>
    <w:rsid w:val="492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iconfont1"/>
    <w:basedOn w:val="6"/>
    <w:uiPriority w:val="0"/>
    <w:rPr>
      <w:rFonts w:ascii="iconfont ! important" w:hAnsi="iconfont ! important" w:eastAsia="iconfont ! important" w:cs="iconfont ! importan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2020-02-28T03:37:00Z</dcterms:created>
  <dc:creator>我不是积极废人</dc:creator>
  <cp:lastModifiedBy>王渊源</cp:lastModifiedBy>
  <dcterms:modified xsi:type="dcterms:W3CDTF">2020-02-28T03:38:33Z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