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48" w:afterAutospacing="0" w:line="17" w:lineRule="atLeast"/>
        <w:ind w:left="0" w:right="0"/>
        <w:jc w:val="center"/>
        <w:rPr>
          <w:b/>
          <w:color w:val="E74C3C"/>
          <w:sz w:val="40"/>
          <w:szCs w:val="40"/>
        </w:rPr>
      </w:pPr>
      <w:r>
        <w:rPr>
          <w:b/>
          <w:color w:val="E74C3C"/>
          <w:sz w:val="40"/>
          <w:szCs w:val="40"/>
          <w:shd w:val="clear" w:fill="FFFFFF"/>
        </w:rPr>
        <w:t>渭滨区委统战部2018年部门综合预算说明</w:t>
      </w:r>
    </w:p>
    <w:p>
      <w:pPr>
        <w:keepNext w:val="0"/>
        <w:keepLines w:val="0"/>
        <w:widowControl/>
        <w:suppressLineNumbers w:val="0"/>
        <w:pBdr>
          <w:top w:val="none" w:color="auto" w:sz="0" w:space="0"/>
          <w:left w:val="none" w:color="auto" w:sz="0" w:space="0"/>
          <w:bottom w:val="single" w:color="BABABA" w:sz="4"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sz w:val="16"/>
          <w:szCs w:val="16"/>
        </w:rPr>
      </w:pPr>
      <w:r>
        <w:rPr>
          <w:rFonts w:hint="eastAsia" w:ascii="宋体" w:hAnsi="宋体" w:eastAsia="宋体" w:cs="宋体"/>
          <w:kern w:val="0"/>
          <w:sz w:val="16"/>
          <w:szCs w:val="16"/>
          <w:bdr w:val="none" w:color="auto" w:sz="0" w:space="0"/>
          <w:shd w:val="clear" w:fill="FFFFFF"/>
          <w:lang w:val="en-US" w:eastAsia="zh-CN" w:bidi="ar"/>
        </w:rPr>
        <w:t xml:space="preserve">发布时间:2018-03-01 20:11 </w:t>
      </w:r>
      <w:r>
        <w:rPr>
          <w:rFonts w:hint="eastAsia" w:ascii="宋体" w:hAnsi="宋体" w:eastAsia="宋体" w:cs="宋体"/>
          <w:kern w:val="0"/>
          <w:sz w:val="16"/>
          <w:szCs w:val="16"/>
          <w:shd w:val="clear" w:fill="FFFFFF"/>
          <w:lang w:val="en-US" w:eastAsia="zh-CN" w:bidi="ar"/>
        </w:rPr>
        <w:t>浏览：33</w:t>
      </w:r>
      <w:r>
        <w:rPr>
          <w:rFonts w:hint="eastAsia" w:ascii="宋体" w:hAnsi="宋体" w:eastAsia="宋体" w:cs="宋体"/>
          <w:kern w:val="0"/>
          <w:sz w:val="16"/>
          <w:szCs w:val="16"/>
          <w:bdr w:val="none" w:color="auto" w:sz="0" w:space="0"/>
          <w:shd w:val="clear" w:fill="FFFFFF"/>
          <w:lang w:val="en-US" w:eastAsia="zh-CN" w:bidi="ar"/>
        </w:rPr>
        <w:t xml:space="preserve"> 来源:统战部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rPr>
      </w:pPr>
      <w:bookmarkStart w:id="0" w:name="_GoBack"/>
      <w:bookmarkEnd w:id="0"/>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"http://www.weibin.gov.cn/Article/Index/45788183-2a24-41d9-9142-c188bb2d3f12"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"http://www.weibin.gov.cn/Article/Index/45788183-2a24-41d9-9142-c188bb2d3f12" \o "分享到QQ空间"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"http://www.weibin.gov.cn/Article/Index/45788183-2a24-41d9-9142-c188bb2d3f12" \o "分享到微信"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"http://www.weibin.gov.cn/Article/Index/45788183-2a24-41d9-9142-c188bb2d3f12" \o "分享到新浪微博"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"http://www.weibin.gov.cn/Article/Index/45788183-2a24-41d9-9142-c188bb2d3f12" \o "分享到腾讯微博"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p>
    <w:p>
      <w:pPr>
        <w:pStyle w:val="4"/>
        <w:keepNext w:val="0"/>
        <w:keepLines w:val="0"/>
        <w:widowControl/>
        <w:suppressLineNumbers w:val="0"/>
        <w:spacing w:before="0" w:beforeAutospacing="0" w:after="0" w:afterAutospacing="0" w:line="420" w:lineRule="atLeast"/>
        <w:ind w:left="0" w:right="0" w:firstLine="516"/>
      </w:pPr>
      <w:r>
        <w:rPr>
          <w:rFonts w:ascii="黑体" w:hAnsi="宋体" w:eastAsia="黑体" w:cs="黑体"/>
          <w:sz w:val="25"/>
          <w:szCs w:val="25"/>
          <w:shd w:val="clear" w:fill="FFFFFF"/>
        </w:rPr>
        <w:t>一、部门主要职责</w:t>
      </w:r>
    </w:p>
    <w:p>
      <w:pPr>
        <w:pStyle w:val="4"/>
        <w:keepNext w:val="0"/>
        <w:keepLines w:val="0"/>
        <w:widowControl/>
        <w:suppressLineNumbers w:val="0"/>
        <w:spacing w:before="0" w:beforeAutospacing="0" w:after="0" w:afterAutospacing="0" w:line="444" w:lineRule="atLeast"/>
        <w:ind w:left="0" w:right="0" w:firstLine="516"/>
      </w:pPr>
      <w:r>
        <w:rPr>
          <w:rFonts w:ascii="仿宋" w:hAnsi="仿宋" w:eastAsia="仿宋" w:cs="仿宋"/>
          <w:sz w:val="25"/>
          <w:szCs w:val="25"/>
          <w:shd w:val="clear" w:fill="FFFFFF"/>
        </w:rPr>
        <w:t>区委统一战线工作部是区委主管全区统一战线工作的职能部门。其基本职能是：坚持党的基本路线，研究、贯彻、落实党的统一战线方针、政策，落实市、区委有关统一战线工作的指示精神；向区委反映统一战线的情况，并结合实际提出政策性建议；检查统一战线政策的贯彻执行情况，协调统一战线各方面的关系；发现、培养、推荐安排党外代表人士，联系民主党派、工商联、非公有制经济和民族宗教界人士，推动党与非党的合作共事，调动一切积极因素，为全区的团结稳定和政治、经济、社会发展服务。</w:t>
      </w:r>
      <w:r>
        <w:rPr>
          <w:rFonts w:hint="eastAsia" w:ascii="仿宋" w:hAnsi="仿宋" w:eastAsia="仿宋" w:cs="仿宋"/>
          <w:sz w:val="25"/>
          <w:szCs w:val="25"/>
          <w:shd w:val="clear" w:fill="FFFFFF"/>
        </w:rPr>
        <w:t xml:space="preserve"> </w:t>
      </w:r>
    </w:p>
    <w:p>
      <w:pPr>
        <w:pStyle w:val="4"/>
        <w:keepNext w:val="0"/>
        <w:keepLines w:val="0"/>
        <w:widowControl/>
        <w:suppressLineNumbers w:val="0"/>
        <w:spacing w:before="0" w:beforeAutospacing="0" w:after="0" w:afterAutospacing="0" w:line="420" w:lineRule="atLeast"/>
        <w:ind w:left="0" w:right="0" w:firstLine="516"/>
      </w:pPr>
      <w:r>
        <w:rPr>
          <w:rFonts w:hint="eastAsia" w:ascii="黑体" w:hAnsi="宋体" w:eastAsia="黑体" w:cs="黑体"/>
          <w:sz w:val="25"/>
          <w:szCs w:val="25"/>
          <w:shd w:val="clear" w:fill="FFFFFF"/>
        </w:rPr>
        <w:t>二、2018年年度工作任务</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1、筹备召开区委(统战)工作会议，下发年度统战工作要点。</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2、调整区委统一战线工作领导小组，健全区委领导与民主党派、无党派代表人士交友联络制度。</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3、全面做好十九大精神的学习宣传和宣讲工作。</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4、按分工做好区政协九届二次会议的组织工作。</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5、支持和协助民主党派扎实开展坚持和发展中国特色社会主义学习实践活动，进一步增强道路自信。支持民主党派加强思想、组织、制度建设。</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6、制订年度政党协商计划，开展政党协商活动3次。</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7、健全党外代表人士数据库，并实施动态管理。</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8、妥善处理民族宗教突发事件，维护团结稳定。</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9、深入开展“光彩事业”“感恩行动”，继续引导统一战线成员做好捐资助学、扶贫帮困、资助新农村建设等公益慈善活动。</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10、加强与台胞台属、归侨侨眷重点人士的联络，坚持开展节日走访慰问活动，做好困难归侨认定，发放生活补贴。</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11、加强统战信息报送工作，向市上报送信息10条。深入开展工作创新研究，完成创新成果1项。</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12、全面做好脱贫攻坚工作，履行扶贫工作队职责，完成包抓任务；动员党外人士积极参与脱贫攻坚活动。</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13、做好人才、综治、信访、保密等工作。</w:t>
      </w:r>
    </w:p>
    <w:p>
      <w:pPr>
        <w:pStyle w:val="4"/>
        <w:keepNext w:val="0"/>
        <w:keepLines w:val="0"/>
        <w:widowControl/>
        <w:suppressLineNumbers w:val="0"/>
        <w:spacing w:before="0" w:beforeAutospacing="0" w:after="0" w:afterAutospacing="0" w:line="420" w:lineRule="atLeast"/>
        <w:ind w:left="0" w:right="0" w:firstLine="516"/>
      </w:pPr>
      <w:r>
        <w:rPr>
          <w:rFonts w:hint="eastAsia" w:ascii="黑体" w:hAnsi="宋体" w:eastAsia="黑体" w:cs="黑体"/>
          <w:sz w:val="25"/>
          <w:szCs w:val="25"/>
          <w:shd w:val="clear" w:fill="FFFFFF"/>
        </w:rPr>
        <w:t>三、部门基层预算单位构成及经费管理方式</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渭滨区委统战部无下属单位，经费管理方式为全额拨款。</w:t>
      </w:r>
    </w:p>
    <w:p>
      <w:pPr>
        <w:pStyle w:val="4"/>
        <w:keepNext w:val="0"/>
        <w:keepLines w:val="0"/>
        <w:widowControl/>
        <w:suppressLineNumbers w:val="0"/>
        <w:spacing w:before="0" w:beforeAutospacing="0" w:after="0" w:afterAutospacing="0" w:line="420" w:lineRule="atLeast"/>
        <w:ind w:left="0" w:right="0" w:firstLine="516"/>
      </w:pPr>
      <w:r>
        <w:rPr>
          <w:rFonts w:hint="eastAsia" w:ascii="黑体" w:hAnsi="宋体" w:eastAsia="黑体" w:cs="黑体"/>
          <w:sz w:val="25"/>
          <w:szCs w:val="25"/>
          <w:shd w:val="clear" w:fill="FFFFFF"/>
        </w:rPr>
        <w:t>四、部门人员情况说明</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本部门总编制4名，实有在职人员4人，离退休人员1人。</w:t>
      </w:r>
    </w:p>
    <w:tbl>
      <w:tblPr>
        <w:tblW w:w="69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12"/>
        <w:gridCol w:w="1092"/>
        <w:gridCol w:w="888"/>
        <w:gridCol w:w="1524"/>
        <w:gridCol w:w="1020"/>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44" w:hRule="atLeast"/>
        </w:trPr>
        <w:tc>
          <w:tcPr>
            <w:tcW w:w="1212" w:type="dxa"/>
            <w:tcBorders>
              <w:top w:val="inset" w:color="auto" w:sz="4" w:space="0"/>
              <w:left w:val="inset" w:color="auto" w:sz="4" w:space="0"/>
              <w:bottom w:val="inset" w:color="auto" w:sz="4" w:space="0"/>
              <w:right w:val="inset" w:color="auto" w:sz="4" w:space="0"/>
            </w:tcBorders>
            <w:shd w:val="clear"/>
            <w:tcMar>
              <w:top w:w="0" w:type="dxa"/>
              <w:left w:w="0" w:type="dxa"/>
              <w:bottom w:w="0" w:type="dxa"/>
              <w:right w:w="0" w:type="dxa"/>
            </w:tcMar>
            <w:vAlign w:val="center"/>
          </w:tcPr>
          <w:p>
            <w:pPr>
              <w:pStyle w:val="4"/>
              <w:keepNext w:val="0"/>
              <w:keepLines w:val="0"/>
              <w:widowControl/>
              <w:suppressLineNumbers w:val="0"/>
              <w:spacing w:line="18" w:lineRule="atLeast"/>
              <w:ind w:left="0" w:firstLine="0"/>
              <w:jc w:val="center"/>
            </w:pPr>
            <w:r>
              <w:rPr>
                <w:rFonts w:hint="eastAsia" w:ascii="仿宋" w:hAnsi="仿宋" w:eastAsia="仿宋" w:cs="仿宋"/>
                <w:color w:val="333333"/>
                <w:sz w:val="22"/>
                <w:szCs w:val="22"/>
              </w:rPr>
              <w:t>单位名称</w:t>
            </w:r>
          </w:p>
        </w:tc>
        <w:tc>
          <w:tcPr>
            <w:tcW w:w="1092" w:type="dxa"/>
            <w:tcBorders>
              <w:top w:val="inset" w:color="auto" w:sz="4" w:space="0"/>
              <w:left w:val="single" w:color="auto" w:sz="4" w:space="0"/>
              <w:bottom w:val="inset" w:color="auto" w:sz="4" w:space="0"/>
              <w:right w:val="inset" w:color="auto" w:sz="4" w:space="0"/>
            </w:tcBorders>
            <w:shd w:val="clear"/>
            <w:tcMar>
              <w:top w:w="0" w:type="dxa"/>
              <w:left w:w="0" w:type="dxa"/>
              <w:bottom w:w="0" w:type="dxa"/>
              <w:right w:w="0" w:type="dxa"/>
            </w:tcMar>
            <w:vAlign w:val="center"/>
          </w:tcPr>
          <w:p>
            <w:pPr>
              <w:pStyle w:val="4"/>
              <w:keepNext w:val="0"/>
              <w:keepLines w:val="0"/>
              <w:widowControl/>
              <w:suppressLineNumbers w:val="0"/>
              <w:spacing w:line="18" w:lineRule="atLeast"/>
              <w:ind w:left="0" w:firstLine="0"/>
              <w:jc w:val="center"/>
            </w:pPr>
            <w:r>
              <w:rPr>
                <w:rFonts w:hint="eastAsia" w:ascii="仿宋" w:hAnsi="仿宋" w:eastAsia="仿宋" w:cs="仿宋"/>
                <w:color w:val="333333"/>
                <w:sz w:val="22"/>
                <w:szCs w:val="22"/>
              </w:rPr>
              <w:t>单位性质</w:t>
            </w:r>
          </w:p>
        </w:tc>
        <w:tc>
          <w:tcPr>
            <w:tcW w:w="88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pStyle w:val="4"/>
              <w:keepNext w:val="0"/>
              <w:keepLines w:val="0"/>
              <w:widowControl/>
              <w:suppressLineNumbers w:val="0"/>
              <w:spacing w:line="18" w:lineRule="atLeast"/>
              <w:ind w:left="0" w:firstLine="0"/>
              <w:jc w:val="center"/>
            </w:pPr>
            <w:r>
              <w:rPr>
                <w:rFonts w:hint="eastAsia" w:ascii="仿宋" w:hAnsi="仿宋" w:eastAsia="仿宋" w:cs="仿宋"/>
                <w:color w:val="333333"/>
                <w:sz w:val="22"/>
                <w:szCs w:val="22"/>
              </w:rPr>
              <w:t>编制数</w:t>
            </w:r>
          </w:p>
        </w:tc>
        <w:tc>
          <w:tcPr>
            <w:tcW w:w="1524" w:type="dxa"/>
            <w:tcBorders>
              <w:top w:val="single" w:color="999999" w:sz="4" w:space="0"/>
              <w:left w:val="nil"/>
              <w:bottom w:val="single" w:color="999999" w:sz="4" w:space="0"/>
              <w:right w:val="single" w:color="999999" w:sz="4" w:space="0"/>
            </w:tcBorders>
            <w:shd w:val="clear"/>
            <w:tcMar>
              <w:top w:w="0" w:type="dxa"/>
              <w:left w:w="0" w:type="dxa"/>
              <w:bottom w:w="0" w:type="dxa"/>
              <w:right w:w="0" w:type="dxa"/>
            </w:tcMar>
            <w:vAlign w:val="center"/>
          </w:tcPr>
          <w:p>
            <w:pPr>
              <w:pStyle w:val="4"/>
              <w:keepNext w:val="0"/>
              <w:keepLines w:val="0"/>
              <w:widowControl/>
              <w:suppressLineNumbers w:val="0"/>
              <w:spacing w:line="18" w:lineRule="atLeast"/>
              <w:ind w:left="0" w:firstLine="0"/>
              <w:jc w:val="center"/>
            </w:pPr>
            <w:r>
              <w:rPr>
                <w:rFonts w:hint="eastAsia" w:ascii="仿宋" w:hAnsi="仿宋" w:eastAsia="仿宋" w:cs="仿宋"/>
                <w:color w:val="333333"/>
                <w:sz w:val="22"/>
                <w:szCs w:val="22"/>
              </w:rPr>
              <w:t>实有在职人数</w:t>
            </w:r>
          </w:p>
        </w:tc>
        <w:tc>
          <w:tcPr>
            <w:tcW w:w="1020" w:type="dxa"/>
            <w:tcBorders>
              <w:top w:val="inset" w:color="999999" w:sz="4" w:space="0"/>
              <w:left w:val="nil"/>
              <w:bottom w:val="inset" w:color="999999" w:sz="4" w:space="0"/>
              <w:right w:val="inset" w:color="999999" w:sz="4" w:space="0"/>
            </w:tcBorders>
            <w:shd w:val="clear"/>
            <w:tcMar>
              <w:top w:w="0" w:type="dxa"/>
              <w:left w:w="0" w:type="dxa"/>
              <w:bottom w:w="0" w:type="dxa"/>
              <w:right w:w="0" w:type="dxa"/>
            </w:tcMar>
            <w:vAlign w:val="center"/>
          </w:tcPr>
          <w:p>
            <w:pPr>
              <w:pStyle w:val="4"/>
              <w:keepNext w:val="0"/>
              <w:keepLines w:val="0"/>
              <w:widowControl/>
              <w:suppressLineNumbers w:val="0"/>
              <w:spacing w:line="18" w:lineRule="atLeast"/>
              <w:ind w:left="0" w:firstLine="0"/>
              <w:jc w:val="center"/>
            </w:pPr>
            <w:r>
              <w:rPr>
                <w:rFonts w:hint="eastAsia" w:ascii="仿宋" w:hAnsi="仿宋" w:eastAsia="仿宋" w:cs="仿宋"/>
                <w:color w:val="333333"/>
                <w:sz w:val="22"/>
                <w:szCs w:val="22"/>
              </w:rPr>
              <w:t>离休人数</w:t>
            </w:r>
          </w:p>
        </w:tc>
        <w:tc>
          <w:tcPr>
            <w:tcW w:w="1236" w:type="dxa"/>
            <w:tcBorders>
              <w:top w:val="inset" w:color="auto" w:sz="4" w:space="0"/>
              <w:left w:val="single" w:color="auto" w:sz="4" w:space="0"/>
              <w:bottom w:val="inset" w:color="auto" w:sz="4" w:space="0"/>
              <w:right w:val="inset" w:color="auto" w:sz="4" w:space="0"/>
            </w:tcBorders>
            <w:shd w:val="clear"/>
            <w:tcMar>
              <w:top w:w="0" w:type="dxa"/>
              <w:left w:w="0" w:type="dxa"/>
              <w:bottom w:w="0" w:type="dxa"/>
              <w:right w:w="0" w:type="dxa"/>
            </w:tcMar>
            <w:vAlign w:val="center"/>
          </w:tcPr>
          <w:p>
            <w:pPr>
              <w:pStyle w:val="4"/>
              <w:keepNext w:val="0"/>
              <w:keepLines w:val="0"/>
              <w:widowControl/>
              <w:suppressLineNumbers w:val="0"/>
              <w:spacing w:line="18" w:lineRule="atLeast"/>
              <w:ind w:left="0" w:firstLine="0"/>
              <w:jc w:val="center"/>
            </w:pPr>
            <w:r>
              <w:rPr>
                <w:rFonts w:hint="eastAsia" w:ascii="仿宋" w:hAnsi="仿宋" w:eastAsia="仿宋" w:cs="仿宋"/>
                <w:color w:val="333333"/>
                <w:sz w:val="22"/>
                <w:szCs w:val="22"/>
              </w:rPr>
              <w:t>实有车辆数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1212" w:type="dxa"/>
            <w:tcBorders>
              <w:top w:val="nil"/>
              <w:left w:val="inset" w:color="999999" w:sz="4" w:space="0"/>
              <w:bottom w:val="inset" w:color="999999" w:sz="4" w:space="0"/>
              <w:right w:val="inset" w:color="999999" w:sz="4" w:space="0"/>
            </w:tcBorders>
            <w:shd w:val="clear"/>
            <w:tcMar>
              <w:top w:w="0" w:type="dxa"/>
              <w:left w:w="0" w:type="dxa"/>
              <w:bottom w:w="0" w:type="dxa"/>
              <w:right w:w="0" w:type="dxa"/>
            </w:tcMar>
            <w:vAlign w:val="center"/>
          </w:tcPr>
          <w:p>
            <w:pPr>
              <w:pStyle w:val="4"/>
              <w:keepNext w:val="0"/>
              <w:keepLines w:val="0"/>
              <w:widowControl/>
              <w:suppressLineNumbers w:val="0"/>
              <w:spacing w:line="18" w:lineRule="atLeast"/>
              <w:ind w:left="0" w:firstLine="0"/>
              <w:jc w:val="center"/>
            </w:pPr>
            <w:r>
              <w:rPr>
                <w:rFonts w:hint="eastAsia" w:ascii="仿宋" w:hAnsi="仿宋" w:eastAsia="仿宋" w:cs="仿宋"/>
                <w:color w:val="333333"/>
                <w:sz w:val="22"/>
                <w:szCs w:val="22"/>
              </w:rPr>
              <w:t>区委统战部</w:t>
            </w:r>
          </w:p>
        </w:tc>
        <w:tc>
          <w:tcPr>
            <w:tcW w:w="1092" w:type="dxa"/>
            <w:tcBorders>
              <w:top w:val="nil"/>
              <w:left w:val="single" w:color="999999" w:sz="4" w:space="0"/>
              <w:bottom w:val="inset" w:color="999999" w:sz="4" w:space="0"/>
              <w:right w:val="inset" w:color="999999" w:sz="4" w:space="0"/>
            </w:tcBorders>
            <w:shd w:val="clear"/>
            <w:tcMar>
              <w:top w:w="0" w:type="dxa"/>
              <w:left w:w="0" w:type="dxa"/>
              <w:bottom w:w="0" w:type="dxa"/>
              <w:right w:w="0" w:type="dxa"/>
            </w:tcMar>
            <w:vAlign w:val="center"/>
          </w:tcPr>
          <w:p>
            <w:pPr>
              <w:pStyle w:val="4"/>
              <w:keepNext w:val="0"/>
              <w:keepLines w:val="0"/>
              <w:widowControl/>
              <w:suppressLineNumbers w:val="0"/>
              <w:spacing w:line="18" w:lineRule="atLeast"/>
              <w:ind w:left="0" w:firstLine="0"/>
              <w:jc w:val="center"/>
            </w:pPr>
            <w:r>
              <w:rPr>
                <w:rFonts w:hint="eastAsia" w:ascii="仿宋" w:hAnsi="仿宋" w:eastAsia="仿宋" w:cs="仿宋"/>
                <w:color w:val="333333"/>
                <w:sz w:val="22"/>
                <w:szCs w:val="22"/>
              </w:rPr>
              <w:t>行政</w:t>
            </w:r>
          </w:p>
        </w:tc>
        <w:tc>
          <w:tcPr>
            <w:tcW w:w="888" w:type="dxa"/>
            <w:tcBorders>
              <w:top w:val="nil"/>
              <w:left w:val="single" w:color="999999" w:sz="4" w:space="0"/>
              <w:bottom w:val="single" w:color="999999" w:sz="4" w:space="0"/>
              <w:right w:val="single" w:color="999999" w:sz="4" w:space="0"/>
            </w:tcBorders>
            <w:shd w:val="clear"/>
            <w:tcMar>
              <w:top w:w="0" w:type="dxa"/>
              <w:left w:w="0" w:type="dxa"/>
              <w:bottom w:w="0" w:type="dxa"/>
              <w:right w:w="0" w:type="dxa"/>
            </w:tcMar>
            <w:vAlign w:val="center"/>
          </w:tcPr>
          <w:p>
            <w:pPr>
              <w:pStyle w:val="4"/>
              <w:keepNext w:val="0"/>
              <w:keepLines w:val="0"/>
              <w:widowControl/>
              <w:suppressLineNumbers w:val="0"/>
              <w:spacing w:line="18" w:lineRule="atLeast"/>
              <w:ind w:left="0" w:firstLine="0"/>
              <w:jc w:val="center"/>
            </w:pPr>
            <w:r>
              <w:rPr>
                <w:rFonts w:hint="eastAsia" w:ascii="仿宋" w:hAnsi="仿宋" w:eastAsia="仿宋" w:cs="仿宋"/>
                <w:color w:val="333333"/>
                <w:sz w:val="22"/>
                <w:szCs w:val="22"/>
              </w:rPr>
              <w:t>4</w:t>
            </w:r>
          </w:p>
        </w:tc>
        <w:tc>
          <w:tcPr>
            <w:tcW w:w="1524" w:type="dxa"/>
            <w:tcBorders>
              <w:top w:val="nil"/>
              <w:left w:val="nil"/>
              <w:bottom w:val="single" w:color="999999" w:sz="4" w:space="0"/>
              <w:right w:val="single" w:color="999999" w:sz="4" w:space="0"/>
            </w:tcBorders>
            <w:shd w:val="clear"/>
            <w:tcMar>
              <w:top w:w="0" w:type="dxa"/>
              <w:left w:w="0" w:type="dxa"/>
              <w:bottom w:w="0" w:type="dxa"/>
              <w:right w:w="0" w:type="dxa"/>
            </w:tcMar>
            <w:vAlign w:val="center"/>
          </w:tcPr>
          <w:p>
            <w:pPr>
              <w:pStyle w:val="4"/>
              <w:keepNext w:val="0"/>
              <w:keepLines w:val="0"/>
              <w:widowControl/>
              <w:suppressLineNumbers w:val="0"/>
              <w:spacing w:line="18" w:lineRule="atLeast"/>
              <w:ind w:left="0" w:firstLine="0"/>
              <w:jc w:val="center"/>
            </w:pPr>
            <w:r>
              <w:rPr>
                <w:rFonts w:hint="eastAsia" w:ascii="仿宋" w:hAnsi="仿宋" w:eastAsia="仿宋" w:cs="仿宋"/>
                <w:color w:val="333333"/>
                <w:sz w:val="22"/>
                <w:szCs w:val="22"/>
              </w:rPr>
              <w:t>4</w:t>
            </w:r>
          </w:p>
        </w:tc>
        <w:tc>
          <w:tcPr>
            <w:tcW w:w="1020" w:type="dxa"/>
            <w:tcBorders>
              <w:top w:val="nil"/>
              <w:left w:val="nil"/>
              <w:bottom w:val="inset" w:color="999999" w:sz="4" w:space="0"/>
              <w:right w:val="inset" w:color="999999" w:sz="4" w:space="0"/>
            </w:tcBorders>
            <w:shd w:val="clear"/>
            <w:tcMar>
              <w:top w:w="0" w:type="dxa"/>
              <w:left w:w="0" w:type="dxa"/>
              <w:bottom w:w="0" w:type="dxa"/>
              <w:right w:w="0" w:type="dxa"/>
            </w:tcMar>
            <w:vAlign w:val="center"/>
          </w:tcPr>
          <w:p>
            <w:pPr>
              <w:pStyle w:val="4"/>
              <w:keepNext w:val="0"/>
              <w:keepLines w:val="0"/>
              <w:widowControl/>
              <w:suppressLineNumbers w:val="0"/>
              <w:spacing w:line="18" w:lineRule="atLeast"/>
              <w:ind w:left="0" w:firstLine="0"/>
              <w:jc w:val="center"/>
            </w:pPr>
            <w:r>
              <w:rPr>
                <w:rFonts w:hint="eastAsia" w:ascii="仿宋" w:hAnsi="仿宋" w:eastAsia="仿宋" w:cs="仿宋"/>
                <w:color w:val="333333"/>
                <w:sz w:val="22"/>
                <w:szCs w:val="22"/>
              </w:rPr>
              <w:t>1</w:t>
            </w:r>
          </w:p>
        </w:tc>
        <w:tc>
          <w:tcPr>
            <w:tcW w:w="1236" w:type="dxa"/>
            <w:tcBorders>
              <w:top w:val="nil"/>
              <w:left w:val="single" w:color="999999" w:sz="4" w:space="0"/>
              <w:bottom w:val="inset" w:color="999999" w:sz="4" w:space="0"/>
              <w:right w:val="inset" w:color="999999" w:sz="4" w:space="0"/>
            </w:tcBorders>
            <w:shd w:val="clear"/>
            <w:tcMar>
              <w:top w:w="0" w:type="dxa"/>
              <w:left w:w="0" w:type="dxa"/>
              <w:bottom w:w="0" w:type="dxa"/>
              <w:right w:w="0" w:type="dxa"/>
            </w:tcMar>
            <w:vAlign w:val="center"/>
          </w:tcPr>
          <w:p>
            <w:pPr>
              <w:pStyle w:val="4"/>
              <w:keepNext w:val="0"/>
              <w:keepLines w:val="0"/>
              <w:widowControl/>
              <w:suppressLineNumbers w:val="0"/>
              <w:spacing w:line="18" w:lineRule="atLeast"/>
              <w:ind w:left="0" w:firstLine="0"/>
              <w:jc w:val="center"/>
            </w:pPr>
            <w:r>
              <w:rPr>
                <w:rFonts w:hint="eastAsia" w:ascii="仿宋" w:hAnsi="仿宋" w:eastAsia="仿宋" w:cs="仿宋"/>
                <w:color w:val="333333"/>
                <w:sz w:val="22"/>
                <w:szCs w:val="22"/>
              </w:rPr>
              <w:t>0</w:t>
            </w:r>
          </w:p>
        </w:tc>
      </w:tr>
    </w:tbl>
    <w:p>
      <w:pPr>
        <w:pStyle w:val="4"/>
        <w:keepNext w:val="0"/>
        <w:keepLines w:val="0"/>
        <w:widowControl/>
        <w:suppressLineNumbers w:val="0"/>
        <w:spacing w:before="0" w:beforeAutospacing="0" w:after="0" w:afterAutospacing="0" w:line="420" w:lineRule="atLeast"/>
        <w:ind w:left="0" w:right="0" w:firstLine="516"/>
      </w:pPr>
      <w:r>
        <w:rPr>
          <w:rFonts w:hint="eastAsia" w:ascii="黑体" w:hAnsi="宋体" w:eastAsia="黑体" w:cs="黑体"/>
          <w:sz w:val="25"/>
          <w:szCs w:val="25"/>
          <w:shd w:val="clear" w:fill="FFFFFF"/>
        </w:rPr>
        <w:t>五、部门国有资产占用情况说明</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本部门无车辆，办公用房为区政府统一提供，国有资产仅为桌椅、计算机、文件柜等办公必需品。</w:t>
      </w:r>
    </w:p>
    <w:p>
      <w:pPr>
        <w:pStyle w:val="4"/>
        <w:keepNext w:val="0"/>
        <w:keepLines w:val="0"/>
        <w:widowControl/>
        <w:suppressLineNumbers w:val="0"/>
        <w:spacing w:before="0" w:beforeAutospacing="0" w:after="0" w:afterAutospacing="0" w:line="420" w:lineRule="atLeast"/>
        <w:ind w:left="0" w:right="0" w:firstLine="516"/>
      </w:pPr>
      <w:r>
        <w:rPr>
          <w:rFonts w:hint="eastAsia" w:ascii="黑体" w:hAnsi="宋体" w:eastAsia="黑体" w:cs="黑体"/>
          <w:sz w:val="25"/>
          <w:szCs w:val="25"/>
          <w:shd w:val="clear" w:fill="FFFFFF"/>
        </w:rPr>
        <w:t>六、部门预算绩效目标说明</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2018年业务经费项目实现了绩效目标管理全覆盖，涉及一般公共预算当年拨款115100元，均为专项业务费。</w:t>
      </w:r>
    </w:p>
    <w:p>
      <w:pPr>
        <w:pStyle w:val="4"/>
        <w:keepNext w:val="0"/>
        <w:keepLines w:val="0"/>
        <w:widowControl/>
        <w:suppressLineNumbers w:val="0"/>
        <w:spacing w:before="0" w:beforeAutospacing="0" w:after="0" w:afterAutospacing="0" w:line="420" w:lineRule="atLeast"/>
        <w:ind w:left="0" w:right="0" w:firstLine="516"/>
      </w:pPr>
      <w:r>
        <w:rPr>
          <w:rFonts w:hint="eastAsia" w:ascii="黑体" w:hAnsi="宋体" w:eastAsia="黑体" w:cs="黑体"/>
          <w:sz w:val="25"/>
          <w:szCs w:val="25"/>
          <w:shd w:val="clear" w:fill="FFFFFF"/>
        </w:rPr>
        <w:t>七、2018年部门综合预算收支说明</w:t>
      </w:r>
    </w:p>
    <w:p>
      <w:pPr>
        <w:pStyle w:val="4"/>
        <w:keepNext w:val="0"/>
        <w:keepLines w:val="0"/>
        <w:widowControl/>
        <w:suppressLineNumbers w:val="0"/>
        <w:spacing w:before="0" w:beforeAutospacing="0" w:after="0" w:afterAutospacing="0" w:line="444" w:lineRule="atLeast"/>
        <w:ind w:left="0" w:right="0" w:firstLine="516"/>
      </w:pPr>
      <w:r>
        <w:rPr>
          <w:rFonts w:ascii="仿宋_GB2312" w:hAnsi="宋体" w:eastAsia="仿宋_GB2312" w:cs="仿宋_GB2312"/>
          <w:b/>
          <w:sz w:val="25"/>
          <w:szCs w:val="25"/>
          <w:shd w:val="clear" w:fill="FFFFFF"/>
        </w:rPr>
        <w:t>（一）</w:t>
      </w:r>
      <w:r>
        <w:rPr>
          <w:rStyle w:val="7"/>
          <w:rFonts w:hint="default" w:ascii="仿宋_GB2312" w:hAnsi="宋体" w:eastAsia="仿宋_GB2312" w:cs="仿宋_GB2312"/>
          <w:sz w:val="25"/>
          <w:szCs w:val="25"/>
          <w:shd w:val="clear" w:fill="FFFFFF"/>
        </w:rPr>
        <w:t>收支预算总体情况</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2018年所有经费均为公共预算全额拨款，共计561540.60元，较上年601694元减少40153.4元，减少6.67%，主要是因为人员经费减少。</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2018年, 本部门支出预算为561540.60元。按功能分类科目，一般公共服务支出为465202.94元，较上年533054元减少67851.06元，减少12.72%。按经济分类科目，工资福利支出318870.2元，较上年295094元增加23776.2元，增加7.45%。商品和服务支出154208元，较上年152708元增加1500元，增加0.97%。对个人和家庭的补助88462.4元，较上年减少65429.6元，减少73.9%。无结转下年使用的支出项目。全部为一般公共预算拨款支出，较上年持平。</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b/>
          <w:sz w:val="25"/>
          <w:szCs w:val="25"/>
          <w:shd w:val="clear" w:fill="FFFFFF"/>
        </w:rPr>
        <w:t>（二）</w:t>
      </w:r>
      <w:r>
        <w:rPr>
          <w:rStyle w:val="7"/>
          <w:rFonts w:hint="default" w:ascii="仿宋_GB2312" w:hAnsi="宋体" w:eastAsia="仿宋_GB2312" w:cs="仿宋_GB2312"/>
          <w:sz w:val="25"/>
          <w:szCs w:val="25"/>
          <w:shd w:val="clear" w:fill="FFFFFF"/>
        </w:rPr>
        <w:t>财政拨款收支情况</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2018年所有经费均为公共预算全额拨款，共计561540.60元，较上年601694元减少40153.4元，减少6.67%，主要是因为人员经费减少。</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b/>
          <w:sz w:val="25"/>
          <w:szCs w:val="25"/>
          <w:shd w:val="clear" w:fill="FFFFFF"/>
        </w:rPr>
        <w:t>（三）</w:t>
      </w:r>
      <w:r>
        <w:rPr>
          <w:rStyle w:val="7"/>
          <w:rFonts w:hint="default" w:ascii="仿宋_GB2312" w:hAnsi="宋体" w:eastAsia="仿宋_GB2312" w:cs="仿宋_GB2312"/>
          <w:sz w:val="25"/>
          <w:szCs w:val="25"/>
          <w:shd w:val="clear" w:fill="FFFFFF"/>
        </w:rPr>
        <w:t>公共预算拨款支出明细情况</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1.支出按经济分类的明细情况</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按经济分类科目，工资福利支出318870.2元，较上年295094元增加23776.2元，增加7.45%。商品和服务支出154208元，较上年152708元增加1500元，增加0.97%。对个人和家庭的补助88462.4元，较上年减少65429.6元，减少73.9%。无结转下年使用的支出项目。</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2.支出按功能分类的明细情况</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(1)行政运行（2013401）465202.94元，较上年533054元减少67851.06元，减少12.72%。</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(2)行政事业单位离退休（20805）96337.66元，此项为2018年新增科目，以前均在一般公共服务支出科目预算。</w:t>
      </w:r>
    </w:p>
    <w:p>
      <w:pPr>
        <w:pStyle w:val="4"/>
        <w:keepNext w:val="0"/>
        <w:keepLines w:val="0"/>
        <w:widowControl/>
        <w:suppressLineNumbers w:val="0"/>
        <w:spacing w:before="0" w:beforeAutospacing="0" w:after="0" w:afterAutospacing="0" w:line="444" w:lineRule="atLeast"/>
        <w:ind w:left="0" w:right="0" w:firstLine="516"/>
      </w:pPr>
      <w:r>
        <w:rPr>
          <w:rStyle w:val="7"/>
          <w:rFonts w:hint="default" w:ascii="仿宋_GB2312" w:hAnsi="宋体" w:eastAsia="仿宋_GB2312" w:cs="仿宋_GB2312"/>
          <w:sz w:val="25"/>
          <w:szCs w:val="25"/>
          <w:shd w:val="clear" w:fill="FFFFFF"/>
        </w:rPr>
        <w:t>(四）政府性基金预算支出情况</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2018年本部门没有使用政府性基金预算拨款安排的支出, 并已公开空表。</w:t>
      </w:r>
    </w:p>
    <w:p>
      <w:pPr>
        <w:pStyle w:val="4"/>
        <w:keepNext w:val="0"/>
        <w:keepLines w:val="0"/>
        <w:widowControl/>
        <w:suppressLineNumbers w:val="0"/>
        <w:spacing w:before="0" w:beforeAutospacing="0" w:after="0" w:afterAutospacing="0" w:line="444" w:lineRule="atLeast"/>
        <w:ind w:left="0" w:right="0" w:firstLine="516"/>
      </w:pPr>
      <w:r>
        <w:rPr>
          <w:rStyle w:val="7"/>
          <w:rFonts w:hint="default" w:ascii="仿宋_GB2312" w:hAnsi="宋体" w:eastAsia="仿宋_GB2312" w:cs="仿宋_GB2312"/>
          <w:sz w:val="25"/>
          <w:szCs w:val="25"/>
          <w:shd w:val="clear" w:fill="FFFFFF"/>
        </w:rPr>
        <w:t>(五）国有资本经营预算拨款收支情况</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2018年本部门无国有资本经营预算拨款收支</w:t>
      </w:r>
      <w:r>
        <w:rPr>
          <w:rFonts w:hint="default" w:ascii="仿宋_GB2312" w:hAnsi="宋体" w:eastAsia="仿宋_GB2312" w:cs="仿宋_GB2312"/>
          <w:sz w:val="25"/>
          <w:szCs w:val="25"/>
          <w:shd w:val="clear" w:fill="FFFFFF"/>
        </w:rPr>
        <w:t>。</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b/>
          <w:sz w:val="25"/>
          <w:szCs w:val="25"/>
          <w:shd w:val="clear" w:fill="FFFFFF"/>
        </w:rPr>
        <w:t>(六) </w:t>
      </w:r>
      <w:r>
        <w:rPr>
          <w:rStyle w:val="7"/>
          <w:rFonts w:hint="default" w:ascii="仿宋_GB2312" w:hAnsi="宋体" w:eastAsia="仿宋_GB2312" w:cs="仿宋_GB2312"/>
          <w:sz w:val="25"/>
          <w:szCs w:val="25"/>
          <w:shd w:val="clear" w:fill="FFFFFF"/>
        </w:rPr>
        <w:t>部门“三公”经费等预算情况</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“三公”经费预算预算公务接待费5000元，会议费无，培训费1000元，与上年度持平。</w:t>
      </w:r>
    </w:p>
    <w:p>
      <w:pPr>
        <w:pStyle w:val="4"/>
        <w:keepNext w:val="0"/>
        <w:keepLines w:val="0"/>
        <w:widowControl/>
        <w:suppressLineNumbers w:val="0"/>
        <w:spacing w:before="0" w:beforeAutospacing="0" w:after="0" w:afterAutospacing="0" w:line="444" w:lineRule="atLeast"/>
        <w:ind w:left="0" w:right="0" w:firstLine="516"/>
      </w:pPr>
      <w:r>
        <w:rPr>
          <w:rFonts w:hint="default" w:ascii="仿宋_GB2312" w:hAnsi="宋体" w:eastAsia="仿宋_GB2312" w:cs="仿宋_GB2312"/>
          <w:b/>
          <w:sz w:val="25"/>
          <w:szCs w:val="25"/>
          <w:shd w:val="clear" w:fill="FFFFFF"/>
        </w:rPr>
        <w:t>(七) </w:t>
      </w:r>
      <w:r>
        <w:rPr>
          <w:rStyle w:val="7"/>
          <w:rFonts w:hint="default" w:ascii="仿宋_GB2312" w:hAnsi="宋体" w:eastAsia="仿宋_GB2312" w:cs="仿宋_GB2312"/>
          <w:sz w:val="25"/>
          <w:szCs w:val="25"/>
          <w:shd w:val="clear" w:fill="FFFFFF"/>
        </w:rPr>
        <w:t>机关运行经费安排情况。</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机关运行经费安排154208元，其中公用经费9000元，专项业务费115100元。</w:t>
      </w:r>
    </w:p>
    <w:p>
      <w:pPr>
        <w:pStyle w:val="4"/>
        <w:keepNext w:val="0"/>
        <w:keepLines w:val="0"/>
        <w:widowControl/>
        <w:suppressLineNumbers w:val="0"/>
        <w:spacing w:before="0" w:beforeAutospacing="0" w:after="0" w:afterAutospacing="0" w:line="444" w:lineRule="atLeast"/>
        <w:ind w:left="0" w:right="0" w:firstLine="516"/>
      </w:pPr>
      <w:r>
        <w:rPr>
          <w:rStyle w:val="7"/>
          <w:rFonts w:hint="default" w:ascii="仿宋_GB2312" w:hAnsi="宋体" w:eastAsia="仿宋_GB2312" w:cs="仿宋_GB2312"/>
          <w:sz w:val="25"/>
          <w:szCs w:val="25"/>
          <w:shd w:val="clear" w:fill="FFFFFF"/>
        </w:rPr>
        <w:t>（八）政府采购情况</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2018年本部门未安排政府采购预算,并已公开空表。</w:t>
      </w:r>
    </w:p>
    <w:p>
      <w:pPr>
        <w:pStyle w:val="4"/>
        <w:keepNext w:val="0"/>
        <w:keepLines w:val="0"/>
        <w:widowControl/>
        <w:suppressLineNumbers w:val="0"/>
        <w:spacing w:before="0" w:beforeAutospacing="0" w:after="0" w:afterAutospacing="0" w:line="420" w:lineRule="atLeast"/>
        <w:ind w:left="0" w:right="0" w:firstLine="516"/>
      </w:pPr>
      <w:r>
        <w:rPr>
          <w:rFonts w:hint="eastAsia" w:ascii="黑体" w:hAnsi="宋体" w:eastAsia="黑体" w:cs="黑体"/>
          <w:sz w:val="25"/>
          <w:szCs w:val="25"/>
          <w:shd w:val="clear" w:fill="FFFFFF"/>
        </w:rPr>
        <w:t>八、2018年专项资金预算说明</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专项业务费115100元，主要为各民主党派和侨联活动经费，与上年持平。</w:t>
      </w:r>
    </w:p>
    <w:p>
      <w:pPr>
        <w:pStyle w:val="4"/>
        <w:keepNext w:val="0"/>
        <w:keepLines w:val="0"/>
        <w:widowControl/>
        <w:suppressLineNumbers w:val="0"/>
        <w:spacing w:before="0" w:beforeAutospacing="0" w:after="0" w:afterAutospacing="0" w:line="420" w:lineRule="atLeast"/>
        <w:ind w:left="0" w:right="0" w:firstLine="516"/>
      </w:pPr>
      <w:r>
        <w:rPr>
          <w:rFonts w:hint="eastAsia" w:ascii="黑体" w:hAnsi="宋体" w:eastAsia="黑体" w:cs="黑体"/>
          <w:sz w:val="25"/>
          <w:szCs w:val="25"/>
          <w:shd w:val="clear" w:fill="FFFFFF"/>
        </w:rPr>
        <w:t>九、专业名词解释</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                                </w:t>
      </w:r>
    </w:p>
    <w:p>
      <w:pPr>
        <w:pStyle w:val="4"/>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sz w:val="25"/>
          <w:szCs w:val="25"/>
          <w:shd w:val="clear" w:fill="FFFFFF"/>
        </w:rPr>
        <w:t>以上公开内容，均已通过保密审查及本部门主要负责人审签。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yui-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iconfont ! importa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06F44"/>
    <w:rsid w:val="4640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1"/>
      <w:szCs w:val="21"/>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9"/>
      <w:szCs w:val="19"/>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sz w:val="0"/>
      <w:szCs w:val="0"/>
      <w:u w:val="none"/>
      <w:bdr w:val="single" w:color="D2D2D2" w:sz="4" w:space="0"/>
      <w:shd w:val="clear" w:fill="FFFFFF"/>
    </w:rPr>
  </w:style>
  <w:style w:type="character" w:customStyle="1" w:styleId="10">
    <w:name w:val="layui-this2"/>
    <w:basedOn w:val="6"/>
    <w:uiPriority w:val="0"/>
    <w:rPr>
      <w:bdr w:val="single" w:color="EEEEEE" w:sz="4" w:space="0"/>
      <w:shd w:val="clear" w:fill="FFFFFF"/>
    </w:rPr>
  </w:style>
  <w:style w:type="character" w:customStyle="1" w:styleId="11">
    <w:name w:val="first-child"/>
    <w:basedOn w:val="6"/>
    <w:uiPriority w:val="0"/>
    <w:rPr>
      <w:bdr w:val="none" w:color="auto" w:sz="0" w:space="0"/>
    </w:rPr>
  </w:style>
  <w:style w:type="character" w:customStyle="1" w:styleId="12">
    <w:name w:val="iconfont1"/>
    <w:basedOn w:val="6"/>
    <w:uiPriority w:val="0"/>
    <w:rPr>
      <w:rFonts w:ascii="iconfont ! important" w:hAnsi="iconfont ! important" w:eastAsia="iconfont ! important" w:cs="iconfont ! importan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2020-02-28T06:19:00Z</dcterms:created>
  <dc:creator>我不是积极废人</dc:creator>
  <cp:lastModifiedBy>王渊源</cp:lastModifiedBy>
  <dcterms:modified xsi:type="dcterms:W3CDTF">2020-02-28T06:20:08Z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