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20"/>
        <w:jc w:val="center"/>
        <w:rPr>
          <w:rFonts w:hint="eastAsia" w:ascii="宋体" w:hAnsi="宋体" w:eastAsia="宋体" w:cs="宋体"/>
          <w:i w:val="0"/>
          <w:caps w:val="0"/>
          <w:color w:val="333333"/>
          <w:spacing w:val="0"/>
          <w:sz w:val="27"/>
          <w:szCs w:val="27"/>
        </w:rPr>
      </w:pPr>
      <w:r>
        <w:rPr>
          <w:rFonts w:ascii="黑体" w:hAnsi="宋体" w:eastAsia="黑体" w:cs="黑体"/>
          <w:i w:val="0"/>
          <w:caps w:val="0"/>
          <w:color w:val="333333"/>
          <w:spacing w:val="0"/>
          <w:sz w:val="36"/>
          <w:szCs w:val="36"/>
          <w:bdr w:val="none" w:color="auto" w:sz="0" w:space="0"/>
          <w:shd w:val="clear" w:fill="FFFFFF"/>
        </w:rPr>
        <w:t>渭滨区教育体育局</w:t>
      </w:r>
      <w:r>
        <w:rPr>
          <w:rFonts w:hint="eastAsia" w:ascii="黑体" w:hAnsi="宋体" w:eastAsia="黑体" w:cs="黑体"/>
          <w:i w:val="0"/>
          <w:caps w:val="0"/>
          <w:color w:val="333333"/>
          <w:spacing w:val="0"/>
          <w:sz w:val="36"/>
          <w:szCs w:val="36"/>
          <w:bdr w:val="none" w:color="auto" w:sz="0" w:space="0"/>
          <w:shd w:val="clear" w:fill="FFFFFF"/>
        </w:rPr>
        <w:t>2019年部门综合预算说明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20"/>
        <w:rPr>
          <w:rFonts w:hint="eastAsia" w:ascii="宋体" w:hAnsi="宋体" w:eastAsia="宋体" w:cs="宋体"/>
          <w:i w:val="0"/>
          <w:caps w:val="0"/>
          <w:color w:val="333333"/>
          <w:spacing w:val="0"/>
          <w:sz w:val="27"/>
          <w:szCs w:val="27"/>
        </w:rPr>
      </w:pPr>
      <w:r>
        <w:rPr>
          <w:rFonts w:ascii="Calibri" w:hAnsi="Calibri" w:eastAsia="宋体" w:cs="Calibri"/>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20"/>
        <w:rPr>
          <w:rFonts w:hint="eastAsia" w:ascii="宋体" w:hAnsi="宋体" w:eastAsia="宋体" w:cs="宋体"/>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ascii="仿宋_GB2312" w:hAnsi="宋体" w:eastAsia="仿宋_GB2312" w:cs="仿宋_GB2312"/>
          <w:i w:val="0"/>
          <w:caps w:val="0"/>
          <w:color w:val="333333"/>
          <w:spacing w:val="0"/>
          <w:sz w:val="31"/>
          <w:szCs w:val="31"/>
          <w:bdr w:val="none" w:color="auto" w:sz="0" w:space="0"/>
          <w:shd w:val="clear" w:fill="FFFFFF"/>
        </w:rPr>
        <w:t>1.</w:t>
      </w:r>
      <w:r>
        <w:rPr>
          <w:rFonts w:hint="eastAsia" w:ascii="仿宋_GB2312" w:hAnsi="宋体" w:eastAsia="仿宋_GB2312" w:cs="仿宋_GB2312"/>
          <w:i w:val="0"/>
          <w:caps w:val="0"/>
          <w:color w:val="333333"/>
          <w:spacing w:val="0"/>
          <w:sz w:val="31"/>
          <w:szCs w:val="31"/>
          <w:bdr w:val="none" w:color="auto" w:sz="0" w:space="0"/>
          <w:shd w:val="clear" w:fill="FFFFFF"/>
        </w:rPr>
        <w:t>贯彻执行教育工作方面的方针政策和法律法规，并对全区教育系统贯彻执行情况进行调查研究和检查监督。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2.研究提出全区教育改革与发展建议，编制全区教育事业发展规划并组织实施，负责指导全区教育综合改革。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3.编制下达部门教育经费预算并监督执行；管理教育专项资金，协调城市教育费附加的征收、管理和使用；统筹管理本部门教育经费，参与拟订筹措教育经费、教育拨款、教育基建投资的政策和管理办法；监督全区教育经费的筹措和使用情况；承担家庭经济困难学生资助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4.综合管理全区基础教育、职业教育等工作；指导协调有关部门的教育工作。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5.负责推进全区义务教育均衡发展和促进教育公平，全面实施素质教育；负责中等及中等以下各类教育的教学改革和中小学教育教学工作；负责扫除青壮年文盲工作。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6.统筹社会力量办学，负责全区民办教育的综合管理工作，规范民办教育办学秩序。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7.负责全区教师工作，执行国家关于各级各类教师资格标准，规划实施全区学校教师和管理人员队伍建设工作，指导教育系统人事制度改革和人才队伍建设工作。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8.负责区教育基本信息的统计、分析工作；会同有关部门组织管理教育对外交流与合作，推广先进教育成果。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9.负责全区学校的稳定工作和安全教育，协同有关部门处理突发事件，负责指导中小学后勤保障的管理工作，指导教育学会、基金会等社团工作。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10.承办区政府交办的其他事项。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二、2019年年度部门工作任务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全区教育体育工作的总体要求是：深入贯彻党的十九大会议精神，以“教师激情干事，学生快乐学习，人民放心满意”为总目标，继续实施德育深化工程，落实立德树人根本任务，开展实施名师名校名校长工程，全面落实素质教育，继续巩固我区在素质教育领域的优势，抓好教学常规管理，不断完善质量管控措施，全面提升教育质量。巩固我区在竞技体育方面的领先优势，做好苗子培养，抓好全民健身项目实施，推动全民体育健康发展。深入抓好脱贫攻坚工作，做好精准资助，落实国家各项普惠性措施，落实控辍保学七长制要求，抓好教师结对帮扶、双返生培训、高校结对帮扶、苏陕协作等重点工作。稳妥做好企办幼儿园接收工作，在充分调研沟通的基础上，根据上级要求，在区政府领导下，配合区剥离办，妥善做好企办幼儿园接收工作，推动学前教育普惠发展。抓紧重点建设项目对渭滨中学、川陕路小学、渭滨第一小学进行建设实施，并对薄弱学校进行改造，不断提升办学条件，促进区域教育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三、部门预算单位构成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127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从预算单位构成看，本部门的部门预算包括部门本级（机关）预算和所属事业单位预算。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纳入本部门2019年部门预算编制范围的二级预算单位共有45个，包括：</w:t>
      </w:r>
    </w:p>
    <w:tbl>
      <w:tblPr>
        <w:tblW w:w="15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10"/>
        <w:gridCol w:w="1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trPr>
        <w:tc>
          <w:tcPr>
            <w:tcW w:w="147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宋体" w:eastAsia="仿宋_GB2312" w:cs="仿宋_GB2312"/>
                <w:i w:val="0"/>
                <w:caps w:val="0"/>
                <w:color w:val="333333"/>
                <w:spacing w:val="0"/>
                <w:sz w:val="31"/>
                <w:szCs w:val="31"/>
                <w:bdr w:val="none" w:color="auto" w:sz="0" w:space="0"/>
              </w:rPr>
              <w:t>序 号</w:t>
            </w:r>
          </w:p>
        </w:tc>
        <w:tc>
          <w:tcPr>
            <w:tcW w:w="10695" w:type="dxa"/>
            <w:tcBorders>
              <w:top w:val="outset" w:color="auto" w:sz="6" w:space="0"/>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center"/>
            </w:pPr>
            <w:r>
              <w:rPr>
                <w:rStyle w:val="5"/>
                <w:rFonts w:hint="eastAsia" w:ascii="仿宋_GB2312" w:hAnsi="宋体" w:eastAsia="仿宋_GB2312" w:cs="仿宋_GB2312"/>
                <w:i w:val="0"/>
                <w:caps w:val="0"/>
                <w:color w:val="333333"/>
                <w:spacing w:val="0"/>
                <w:sz w:val="31"/>
                <w:szCs w:val="31"/>
                <w:bdr w:val="none" w:color="auto" w:sz="0" w:space="0"/>
              </w:rPr>
              <w:t>单    位   名   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宝鸡市渭滨区教育体育局（机关）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宝鸡市渭滨区考试管理中心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宝鸡市渭滨区学生资助管理中心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4</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宝鸡市渭滨区教育体育局基建办公室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5</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6</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宝鸡市渭滨区电化教育中心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7</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宝鸡市渭滨区教师进修学校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8</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宝鸡市渭滨区青少年校外活动中心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9</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10</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11</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宝鸡市姜谭高级中学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12</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宝鸡市姜城中学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13</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宝鸡市烽火中学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14</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宝鸡市长岭中学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15</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宝鸡市渭滨区清姜路中学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16</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宝鸡市金陵中学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17</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宝鸡市新建路中学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18</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宝鸡市相家庄中学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19</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28"/>
                <w:szCs w:val="28"/>
                <w:bdr w:val="none" w:color="auto" w:sz="0" w:space="0"/>
              </w:rPr>
              <w:t>宝鸡市渭滨区滨河中学（宝鸡市渭滨区五处子校）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20</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宝鸡市高家村中学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21</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宝鸡市晁峪初级中学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22</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渭滨区陕西秦川机床子弟学校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23</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陕西省宝鸡氮肥厂职工子弟学校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24</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宝鸡石油钢管厂职工子弟学校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25</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陕西宝鸡二电厂子弟学校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26</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宝鸡市渭滨区经二路小学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27</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宝鸡市渭滨区金陵小学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28</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宝鸡市渭滨区清姜小学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29</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宝鸡市渭滨区新民路小学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30</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宝鸡市渭滨区宝桥小学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31</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宝鸡市渭滨区宝成小学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32</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宝鸡市渭滨区凌云小学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33</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宝鸡市渭滨区航天小学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34</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宝鸡市渭滨区川陕路小学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35</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宝鸡市渭滨区东四路小学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36</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宝鸡市渭滨区龙山小学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37</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宝鸡市渭滨区石鼓镇石鼓小学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38</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宝鸡市渭滨区神农镇益门中心小学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39</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宝鸡市渭滨区高家镇孔家庄中心小学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40</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宝鸡市渭滨区广元路幼儿园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41</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宝鸡市渭滨区川陕路幼儿园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42</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宝鸡市渭滨区龙山幼儿园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43</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宝鸡市渭滨区石鼓镇中心幼儿园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44</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宝鸡市渭滨区神农镇中心幼儿园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70" w:type="dxa"/>
            <w:tcBorders>
              <w:top w:val="nil"/>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宋体" w:eastAsia="仿宋_GB2312" w:cs="仿宋_GB2312"/>
                <w:i w:val="0"/>
                <w:caps w:val="0"/>
                <w:color w:val="333333"/>
                <w:spacing w:val="0"/>
                <w:sz w:val="31"/>
                <w:szCs w:val="31"/>
                <w:bdr w:val="none" w:color="auto" w:sz="0" w:space="0"/>
              </w:rPr>
              <w:t>45</w:t>
            </w:r>
          </w:p>
        </w:tc>
        <w:tc>
          <w:tcPr>
            <w:tcW w:w="10695" w:type="dxa"/>
            <w:tcBorders>
              <w:top w:val="nil"/>
              <w:left w:val="nil"/>
              <w:bottom w:val="outset" w:color="auto" w:sz="6" w:space="0"/>
              <w:right w:val="outset"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宋体" w:eastAsia="仿宋_GB2312" w:cs="仿宋_GB2312"/>
                <w:i w:val="0"/>
                <w:caps w:val="0"/>
                <w:color w:val="333333"/>
                <w:spacing w:val="0"/>
                <w:sz w:val="31"/>
                <w:szCs w:val="31"/>
                <w:bdr w:val="none" w:color="auto" w:sz="0" w:space="0"/>
              </w:rPr>
              <w:t>宝鸡市渭滨区高家镇中心幼儿园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四、部门人员情况说明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截止2018年底，本部门人员编制3318人，其中行政编制21人、事业编制3297人；实有人员2982人，其中行政12人、事业2970人。单位管理的离休人员4人。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五、部门国有资产占有使用及资产购置情况说明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截止2018年底，本部门所属预算单位共有车辆0辆，单价18万元以上的设备0台（套）。2019年部门预算安排购置车辆0辆；安排购置单价18万元以上的设备0台（套）。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六、部门预算绩效目标说明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2019年本部门对各项经费使用管理坚持精细化管理，强化绩效考评，各类经费实现绩效目标管理全覆盖，涉及一般公共预算当年拨款410889666.18元,政府性基金预算当年拨款0元。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2019年本部门预算安排扶贫项目1个，涉及扶贫项目资金43000元，扶贫项目资金绩效目标随同部门预算一并公开，详见附表。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七、2019年部门预算收支说明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（一）收支预算总体情况。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预算收入516295284.10元，其中一般公共预算拨款收入410889666.18元、上年结转98925067.92元、事业收入6480550元，2019年本部门预算收入较上年增长42.91%,主要原因是行政事业单位基本养老保险制度改革及正常调资晋档带来的人员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预算支出516295284.10元，其中一般公共预算拨款支出410889666.18元、上年结转支出98925067.92、事业支出6480550元，2019年本部门预算支出较上年增长42.91%,主要原因是行政事业单位基本养老保险制度改革及正常调资晋档带来的人员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（二）财政拨款收支情况。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2019年本部门财政拨款收入410889666.18元，全部为一般公共预算拨款收入，较上年增长13.7%,主要原因是行政事业单位基本养老保险制度改革及正常调资晋档带来的人员经费增加。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2019年本部门财政拨款支出410889666.18元，全部为一般公共预算拨款支出，较上年增长13.7%，原因同上。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（三）一般公共预算拨款支出明细情况。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1、一般公共预算当年拨款规模变化情况。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2019年本部门一般公共预算拨款支出410889666.18元，较上年增长13.7%，主要原因是行政事业单位基本养老保险制度改革及正常调资晋档带来的人员经费增加。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2、支出按功能科目分类的明细情况。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（1）行政运行（2050101）39448113.54元，较上年增长30.44%，原因是机关及参照公务员管理事业单位基本养老保险制度改革、正常调资晋档带来的人员经费增加。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（2）学前教育(2050201)</w:t>
      </w:r>
      <w:r>
        <w:rPr>
          <w:rFonts w:hint="default" w:ascii="Calibri" w:hAnsi="Calibri" w:eastAsia="宋体" w:cs="Calibri"/>
          <w:i w:val="0"/>
          <w:caps w:val="0"/>
          <w:color w:val="333333"/>
          <w:spacing w:val="0"/>
          <w:sz w:val="21"/>
          <w:szCs w:val="21"/>
          <w:bdr w:val="none" w:color="auto" w:sz="0" w:space="0"/>
          <w:shd w:val="clear" w:fill="FFFFFF"/>
        </w:rPr>
        <w:t> </w:t>
      </w:r>
      <w:r>
        <w:rPr>
          <w:rFonts w:hint="eastAsia" w:ascii="仿宋_GB2312" w:hAnsi="宋体" w:eastAsia="仿宋_GB2312" w:cs="仿宋_GB2312"/>
          <w:i w:val="0"/>
          <w:caps w:val="0"/>
          <w:color w:val="333333"/>
          <w:spacing w:val="0"/>
          <w:sz w:val="31"/>
          <w:szCs w:val="31"/>
          <w:bdr w:val="none" w:color="auto" w:sz="0" w:space="0"/>
          <w:shd w:val="clear" w:fill="FFFFFF"/>
        </w:rPr>
        <w:t>15738797.8元，较上年增长35.32%，原因是增加幼儿园临聘人员经费、普惠性幼儿园专项经费和幼儿园购买服务等项目增加。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（3）小学教育（2050202）108262308.44元，较上年下降0.76%，原因是事业单位公用经费和各项工程项目支出减少。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（4） 初中教育（2050203）88873968.18元，较上年下降4.3%，原因是事业单位公用经费和各项工程项目支出减少。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（5）高中教育（2050204）71295921.54元，较上年增长2.24%，原因是新增渭滨中学迁建项目。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（6）其他普通教育支出（2050299）2000000元, 较上年下降70.63%，原因是只有中高考及素质教育综合奖励支出。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（7）职业高中教育（2050304）6034258.8元，较上年下降0.33%，主要是事业单位人员经费支出减少。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（8）教师进修（2050801）1006387.24元，较上年下降3.1%，主要是事业单位人员经费支出减少。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（9）教育费附加安排的支出（2050903 城市中小学校舍建设17000000元、2050999其他教育费附加安排的支出6000000元）共计23000000元，较上年教育费附加安排的支出数持平。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（10）其他体育支出（2070399）710000元，较上年其他体育支出数持平。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（11）事业单位离退休（2080502）362302元，较上年下降32.5%。主要原因是我部门事业单位离休人员正常减少。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（12）机关事业单位基本养老保险缴费支出（2080505）39371317.2元，较上年增长3.87%，主要原因是机关事业单位基本养老保险费上调。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（13）行政单位医疗支出（2101101）55359.12元，较上年增长100%，原因是医保原来统一代交，现在由行政单位自行缴纳。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（14）事业单位医疗支出（2101102）14687932.32元，较上年增长100%，原因是医保原来统一代交，现在由事业单位自行缴纳。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（15）扶贫农村基础设施建设（2130504）43000元，较上年增长100%，新增扶贫资金农村体育健身设施管理费。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3、支出按经济科目分类的明细情况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（1）支出按经济分类的明细情况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2019年本部门一般公共预算支出410889666.18元，其中：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工资福利支出（301）331783284.78元，较上年增长9.5%，原因是正常调资晋档带来的人员经费增加。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商品和服务支出（302）36290887.4元，较上年增长79.8%，原因是中小学公用经费、幼儿园经费等支出增加。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对个人和家庭补助支出（303）11585494元，较上年增长49.86%，原因是学生资助资金和医疗补助等增加。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资本性支出（310）31230000元，较上年增长2.87%，原因是校舍维修、教学设施购置增加。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（2）2019年本部门一般公共预算支出410889666.18元，其中：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机关工资福利支出（501）42,513,299.58元，较上年增长39.5%，原因是增加行政事业单位医疗经费、正常调资晋档带来的人员经费增长。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机关商品和服务支出（502）26817669元，较上年增加80.04%，原因是中小学公用经费、幼儿园经费等资金增加。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机关资本性支出（一）（503）1800000元，较上年下降94.07%，原因是基础性建设支出减少。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对事业单位经常性补助（505）298743203.6元，较上年增加1.51%，原因是在职人员正常调资晋档带来的人员经费增长。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对事业单位资本性补助（506）29430000元，较上年增加100%，原因是渭滨中学和幼儿园建设项目资金增加。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对个人和家庭的补助（509）11585494元，较上年增加49.86%，原因是普惠性幼儿园资金和学生资助资金的增加。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（四）政府性基金预算支出情况。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2019年本部门无政府性基金预算收支，并已公开空表。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（五）国有资本经营预算拨款收支情况。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2019年本单位无国有资本经营预算拨款收支。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（六）“三公”经费等预算情况。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一般公共预算“三公”经费预算支出103576元，较上年减少112000元（51.93%），减少的主要原因是实施公务用车改革。其中：因公出国（境）经费0元，与上年持平；公务接待费103576，较上年减少24元（0.02%），减少的主要原因是实行厉行节约；公务用车运行维护费0元，较上年减少113075元（100%），减少的主要原因是实施公务用车改革；公务用车购置费0元，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2019年会议费预算40000元，较上年下降72.07%，原因是严格执行会议费管理办法，压缩会议规模和次数，对会议费预算进行压减。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2019年培训费预算662298元，较上年增长23.3%，原因是提升教师业务能力，提高教师素质，加强各项培训，增加了对培训费预算。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（七）机关运行经费安排情况。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本部门2019年机关运行经费预算安排900000元，较上年增加300000元，主要原因是机关公务交通费用和培训费增加。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（八）政府采购情况。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2019年本部门政府采购预算共19151853.96元，其中政府采购货物类预算1800000元、政府采购服务类预算0元、政府采购工程类预算17351853.96元。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八、2019年专项资金预算说明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2019年部门专项资金列入部门预算的项目共计67599177.4元（其中教育费附加23000000元，体育事业专项经费710000元，行政机关办公费资金900000元，幼儿园临聘人员工资2880000元，公办幼儿园购买服务3200000元，校园保安工资3700000元，普惠性幼儿园专项经费2000000元，学前公用经费1513180元，学前家庭困难幼儿生活补助171000元，小学教育公用经费5172591.4元，民办教师养老补助278006元，农村义务教育营养改善计划820000元，营养改善计划经费1666400元，农村家庭经济困难寄宿生补助36500元，高等教育入学救助120000元，普通高中国家助学金210000元，初中教育公用经费1392150元，高中教育公用经费免学费5356350元，渭中迁建项目12430000元，中高考及素质教育综合奖励2000000元，农村体育健身设施管理43000元），较上年增长6.78%。主要是公用经费、学生资助、扶贫资金及校舍维修、教学设施购置等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九、专业名词解释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以上公开内容，均已通过保密审查及本部门主要负责人审签。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7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2020-02-28T09:12:39Z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