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渭滨区科学技术协会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2019年部门预算</w:t>
      </w:r>
      <w:r>
        <w:rPr>
          <w:rFonts w:hint="eastAsia" w:cs="宋体"/>
          <w:b/>
          <w:i w:val="0"/>
          <w:caps w:val="0"/>
          <w:color w:val="E74C3C"/>
          <w:spacing w:val="0"/>
          <w:sz w:val="51"/>
          <w:szCs w:val="51"/>
          <w:bdr w:val="none" w:color="auto" w:sz="0" w:space="0"/>
          <w:shd w:val="clear" w:fill="FFFFFF"/>
          <w:lang w:eastAsia="zh-CN"/>
        </w:rPr>
        <w:t>公开编制</w:t>
      </w:r>
      <w:r>
        <w:rPr>
          <w:rFonts w:hint="eastAsia" w:ascii="宋体" w:hAnsi="宋体" w:eastAsia="宋体" w:cs="宋体"/>
          <w:b/>
          <w:i w:val="0"/>
          <w:caps w:val="0"/>
          <w:color w:val="E74C3C"/>
          <w:spacing w:val="0"/>
          <w:sz w:val="51"/>
          <w:szCs w:val="51"/>
          <w:bdr w:val="none" w:color="auto" w:sz="0" w:space="0"/>
          <w:shd w:val="clear" w:fill="FFFFFF"/>
        </w:rPr>
        <w:t>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ascii="仿宋_GB2312" w:hAnsi="宋体" w:eastAsia="仿宋_GB2312" w:cs="仿宋_GB2312"/>
          <w:i w:val="0"/>
          <w:caps w:val="0"/>
          <w:color w:val="333333"/>
          <w:spacing w:val="0"/>
          <w:sz w:val="28"/>
          <w:szCs w:val="28"/>
          <w:bdr w:val="none" w:color="auto" w:sz="0" w:space="0"/>
          <w:shd w:val="clear" w:fill="FFFFFF"/>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贯彻执行党和国家有关科普工作的方针和政策，制定全区科普工作计划和科协工作计划，并组织实施。负责区属科技团体的管理、指导和服务工作。开展干部、职工、居民以及青少年的科技普及教育 活动，普及科学知识，提高全民科技素质。加强科协基层组织建设，充分发挥协会、学会的社会职能作用。开展继续教育和农村干部党员实用培训，普及和推广先进技术。反映科技工作者的意愿和要求，维护科技工作者的合法权益。表彰科技工作者，举荐人才。组织科技工作者参与本区地方事务的政治协商、科学决策、民主监督工作。完成区委、区政府和上级科协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二、2019年度主要工作任务     </w:t>
      </w:r>
      <w:r>
        <w:rPr>
          <w:rFonts w:hint="eastAsia" w:ascii="仿宋_GB2312" w:hAnsi="宋体" w:eastAsia="仿宋_GB2312" w:cs="仿宋_GB2312"/>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1、开展渭滨区 “科技之春”宣传月活动，开展“三下乡”、“四进社区”的科普宣传教育活动。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2、组织开展渭滨区“全国科普日”宣传活动，开展科普讲座、科技培训等活动。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3、组织实施《全民科学素质行动计划纲要》，开展针对农民、城镇居民和劳动者、青少年、领导干部和公务员等不同人群的科学素质宣传教育活动3-5次。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4、开展农村各类实用技术培训10期1000人（次）。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5、实施“金桥工程”项目，年内确定项目3—5项。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6、开展科普文明社区评选活动，年内评选、推荐市、区级科普示范社区3-5个。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7、加强科普设施、科普信息化建设，及时更新科普内容。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三、部门预算单位构成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本部门为一级参照公务员管理的群团机关和财政全额拨款单位，内设办公室、业务股等科室，无基层单位。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四、部门人员情况说明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截止2018年底，本单位人员编制5人，其中机关其他编制5人；实有人员5人。单位管理的退休人员8人。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五、部门国有资产占有情况说明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截止2018年底，本部门所属预算单位无车辆，单价180000元以上的设备0台（套）。2019年部门无预算安排购置车辆；安排购置单价180000元以上的设备0台（套）。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六、部门预算绩效目标说明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2019年本部门实现了绩效目标管理全覆盖，涉及一般公共预算当年拨款1008267.50元,政府性基金预算当年拨款0元。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七、2019年预算收支说明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（一）收支预算总体情况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预算收入1355110.00元，其中一般公共预算拨款收入1008267.50元、政府性基金拨款收入0元、上年结转346842.50元，2019年本部门预算收入较上年增加507901.44元，主要原因是正常调资晋档带来的人员经费增长；2019年本部门预算支出1355110.00元，其中一般公共预算拨款支出1008267.50元、政府性基金拨款支出0元，2019年本部门预算支出较上年增加507901.44元，主要原因是正常调资晋档带来的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b/>
          <w:i w:val="0"/>
          <w:caps w:val="0"/>
          <w:color w:val="333333"/>
          <w:spacing w:val="0"/>
          <w:sz w:val="28"/>
          <w:szCs w:val="28"/>
          <w:bdr w:val="none" w:color="auto" w:sz="0" w:space="0"/>
          <w:shd w:val="clear" w:fill="FFFFFF"/>
        </w:rPr>
        <w:t>（二）</w:t>
      </w:r>
      <w:r>
        <w:rPr>
          <w:rStyle w:val="6"/>
          <w:rFonts w:hint="eastAsia" w:ascii="仿宋_GB2312" w:hAnsi="宋体" w:eastAsia="仿宋_GB2312" w:cs="仿宋_GB2312"/>
          <w:i w:val="0"/>
          <w:caps w:val="0"/>
          <w:color w:val="333333"/>
          <w:spacing w:val="0"/>
          <w:sz w:val="28"/>
          <w:szCs w:val="28"/>
          <w:bdr w:val="none" w:color="auto" w:sz="0" w:space="0"/>
          <w:shd w:val="clear" w:fill="FFFFFF"/>
        </w:rPr>
        <w:t>财政拨款收支情况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财政拨款收入1008267.50元，其中一般公共预算拨款收入1008267.50元、政府性基金拨款收入0元，2019年本部门财政拨款收入较上年增加161058.94元，主要原因是正常调资晋档带来的人员经费增长；2019年本部门财政拨款支出1008267.50元，其中一般公共预算拨款支出1008267.50元、政府性基金拨款支出0元，2019年本部门财政拨款支出较上年增加161058.94元，主要原因是正常调资晋档带来的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（三）公共预算拨款支出明细情况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1、一般公共预算当年拨款规模变化情况。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2019年本部门一般公共预算拨款支出1008267.50元，较上年增加161058.94元，主要原因是正常调资晋档带来的人员经费增长支出。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2、支出按功能分类的明细情况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（1）机构运行（2060701）当年预算为910150.58元，较上年增长306534.64元，增加的原因是机关事业单位基本养老保险制度改革、正常调资晋档及公用支出定额提高。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（2）机关事业单位基本养老保险缴费支出（2080505）为70428.24元，较上年增长26835.62元，增加的原因是养老基数调资增长。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（3）事业单位医疗（2101101）支出为27688.68元，较上年增加27688.68元，主要原因是事业单位医疗缴费纳入单位预算管理。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3、支出按经济分类的明细情况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（1）按照部门预算支出经济分类的类级科目说明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2019年本部门一般公共预算支出1008267.50元，其中：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工资福利支出（301）701277.50元，较上年增加139098.94元，原因是机关事业单位基本养老保险制度改革正常调资晋档带来的人员经费增长；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商品和服务支出（302）289230.00元，较上年增加8850元，基本与上年持平；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对个人和家庭的补助支出（303）17760.00元，较上年增加17760.00元，主要原因是事业单位医疗缴费纳入单位预算管理；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420" w:right="0" w:firstLine="42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（2）按照政府预算支出经济分类的类级科目说明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2019年本部门一般公共预算支出1008267.50元，其中：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机关工资福利支出（501）701277.50元，较上年增加139098.94元，原因是机关事业单位基本养老保险制度改革正常调资晋档带来的人员经费增长；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机关商品和服务支出（502）289230.00元，较上年增加8850元，基本与上年持平；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对个人和家庭的补助支出（509）17760.00元，较上年增加17760.00元，主要原因是事业单位医疗缴费纳入单位预算管理；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（四）政府性基金预算支出情况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2019年本部门没有使用政府性基金预算拨款安排的支出，并已公开空表。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（五）国有资本经营预算拨款收支情况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2019年本部门无国有资本经营预算收支，并已公开空表。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(六)“三公”经费、会议费、培训费等预算情况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按照严格控制一般性支出的预算管理要求，结合2019年拟开展的各项工作，在编制2019年“三公”经费及会议费和培训费预算时，做到只减不增。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一般公共预算“三公”经费预算为0元，较上年减少6000元，减少的原因是厉行节约，严格执行八项规定。其中：因公出国费0元，与上年持平；公务接待费0元，较上年减少6000元，减少的原因是厉行节约，严格执行八项规定;公务用车运行费0元，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2019年培训费预算26000元，与上年持平。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（七）机关运行经费安排情况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2019年本部门机关运行经费财政拨款预算15000元, 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（八）政府采购情况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2019年本部门政府采购预算共4500元，其中政府采购货物类预算4500元。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八、2019年专项资金预算说明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2019年本部门安排科普专项资金200000元，与上年持平。主要用于开展各类科普宣传活动，各类实用技术培训，科普设施的更新维护，全面提高我区全民科学素质水平。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九、专业名词解释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28"/>
          <w:szCs w:val="28"/>
          <w:bdr w:val="none" w:color="auto" w:sz="0" w:space="0"/>
          <w:shd w:val="clear" w:fill="FFFFFF"/>
        </w:rPr>
        <w:t>（三）社会保障缴费：反映机关和参公事业单位为职工缴纳的基本养老保险缴费、职业年金缴费、职工基本医疗保险缴费、公务员医疗补助缴费，以及事业、工伤、生育、大病统筹和其他社会保障缴费。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55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28"/>
          <w:szCs w:val="28"/>
          <w:bdr w:val="none" w:color="auto" w:sz="0" w:space="0"/>
          <w:shd w:val="clear" w:fill="FFFFFF"/>
        </w:rPr>
        <w:t>以上公开内容，均已通过保密审查及本部门主要负责人审签。</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B4C18"/>
    <w:rsid w:val="7707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2020-02-28T08:18:29Z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