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center"/>
      </w:pPr>
      <w:r>
        <w:rPr>
          <w:rFonts w:ascii="黑体" w:hAnsi="宋体" w:eastAsia="黑体" w:cs="黑体"/>
          <w:sz w:val="34"/>
          <w:szCs w:val="34"/>
          <w:shd w:val="clear" w:fill="FFFFFF"/>
        </w:rPr>
        <w:t>渭滨区</w:t>
      </w:r>
      <w:r>
        <w:rPr>
          <w:rFonts w:hint="eastAsia" w:ascii="黑体" w:hAnsi="宋体" w:eastAsia="黑体" w:cs="黑体"/>
          <w:sz w:val="34"/>
          <w:szCs w:val="34"/>
          <w:shd w:val="clear" w:fill="FFFFFF"/>
        </w:rPr>
        <w:t>人大常委会办公室2019年部门综合预算说明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</w:pPr>
      <w:r>
        <w:rPr>
          <w:rFonts w:ascii="Calibri" w:hAnsi="Calibri" w:eastAsia="宋体" w:cs="Calibri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  <w:jc w:val="both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一、部门主要职责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ascii="仿宋_GB2312" w:hAnsi="宋体" w:eastAsia="仿宋_GB2312" w:cs="仿宋_GB2312"/>
          <w:sz w:val="25"/>
          <w:szCs w:val="25"/>
          <w:shd w:val="clear" w:fill="FFFFFF"/>
        </w:rPr>
        <w:t>渭滨区人大办公室是区人大常委会综合性办事机构，在区人大常委会领导下开展工作，负责管理常委会机关的各项事务。主要职责是：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1、负责人代会、常委会议、主任会议、党组会议等有关会议的会务工作及会议决议、决定的落实及督察工作；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2、组织、协调、服务人大常委会各办事机构开展相对应的工作；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3、负责人代会、常委会议、主任会议、党组会议等有关会议文稿的起草、打印、报送、分发工作。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4、为人大常委会开展的各项视察、调查活动做好协调、服务工作，起草有关的视察、调查报告；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5、负责编发人大常委会《会刊》和《渭滨人大》，做好文件的收发、登记、传阅、归档、保密及印章的管理使用。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6、为人大代表及其他常委会办事机构依法履职做好协调、服务工作；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7、负责机关人事、考勤、老干部、档案管理、财务管理、车辆管理、资产管理和调配，精神文明建设、环境卫生等行政事务工作；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8、组织人大常委会机关干部、职工的政治、业务学习，负责机关目标责任制管理、考核、机关党风廉政建设及社会治安综合治理等工作；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9、加强与其他区级部门的联系，参加有关会议，接待人大代表及群众的来信来访；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10、完成常委会领导交办的其他工作。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二、2019年年度部门工作任务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1、认真筹备年度区人大党组会、常委会、主任会议，做好各项服务工作；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2、围绕全年议题安排，协调组织好常委会各项视察调研活动,做好审议监督落实工作；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3、做好省、市人大代表执法检查、视察调研的各项服务工作；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4、组织开展“代表访民日”和“五个一”活动，丰富代表闭会期间的活动，拓宽代表履职渠道；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5、加强与“一府两院”及相关部门的协调联系，提升代表建议、意见督办的质量和效果；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6、规范镇街和部分社区、村“人大代表工作室”运行，筹备召开镇街人大工作座谈会；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7、做好区十八届人大三次会议的筹备及召开工作；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8、编辑 《会刊》6期和《渭滨人大》8期；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9、做好人大信访工作。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三、部门预算单位构成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本部门无基层预算单位。</w:t>
      </w:r>
    </w:p>
    <w:tbl>
      <w:tblPr>
        <w:tblW w:w="9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7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序号</w:t>
            </w:r>
          </w:p>
        </w:tc>
        <w:tc>
          <w:tcPr>
            <w:tcW w:w="7932" w:type="dxa"/>
            <w:tcBorders>
              <w:top w:val="single" w:color="999999" w:sz="4" w:space="0"/>
              <w:left w:val="nil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836" w:type="dxa"/>
            <w:tcBorders>
              <w:top w:val="nil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1</w:t>
            </w:r>
          </w:p>
        </w:tc>
        <w:tc>
          <w:tcPr>
            <w:tcW w:w="7932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部门本级（渭滨区人民代表大会常务委员会办公室）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836" w:type="dxa"/>
            <w:tcBorders>
              <w:top w:val="nil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2</w:t>
            </w:r>
          </w:p>
        </w:tc>
        <w:tc>
          <w:tcPr>
            <w:tcW w:w="7932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836" w:type="dxa"/>
            <w:tcBorders>
              <w:top w:val="nil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3</w:t>
            </w:r>
          </w:p>
        </w:tc>
        <w:tc>
          <w:tcPr>
            <w:tcW w:w="7932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1836" w:type="dxa"/>
            <w:tcBorders>
              <w:top w:val="nil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……</w:t>
            </w:r>
          </w:p>
        </w:tc>
        <w:tc>
          <w:tcPr>
            <w:tcW w:w="7932" w:type="dxa"/>
            <w:tcBorders>
              <w:top w:val="nil"/>
              <w:left w:val="nil"/>
              <w:bottom w:val="single" w:color="999999" w:sz="4" w:space="0"/>
              <w:right w:val="single" w:color="999999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44" w:lineRule="atLeast"/>
            </w:pPr>
            <w:r>
              <w:rPr>
                <w:rFonts w:hint="default" w:ascii="仿宋_GB2312" w:hAnsi="宋体" w:eastAsia="仿宋_GB2312" w:cs="仿宋_GB2312"/>
                <w:color w:val="333333"/>
                <w:sz w:val="25"/>
                <w:szCs w:val="25"/>
              </w:rPr>
              <w:t>……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四、部门人员情况说明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截止2018年底，本部门人员编制数14人，其中行政编制14人；实有人员25人，其中行政24人、机关工勤1人。单位管理的离休人员1人。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五、部门国有资产占有使用及资产购置情况说明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28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截至2018年底，本部门共有车辆2辆，2019年部门预算未安排购置车辆。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六、部门预算绩效目标说明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2019年本部门专项业务经费项目实现了绩效目标管理全覆盖，涉及一般公共预算当年拨款1661396元。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七、2019年部门预算收支说明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（一）收支预算总体情况。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预算收入6074362.62元，其中一般公共预算拨款收入5443878.10元、政府性基金拨款收入0元、上年结余资金630484.52元，2019年本部门预算收入较上年增加1224980.15元，主要原因是工资调标、人员增减、养老保险缴费等带来的人员经费变化；2019年本部门预算支出6074362.62元，其中一般公共预算拨款支出5443878.10元、政府性基金拨款支出0万元、上年结余资金630484.52元，2019年本部门预算支出较上年增加1224980.15元，主要原因同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（二）财政拨款收支情况。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财政拨款收入5443878.10元，其中一般公共预算拨款收入5443878.10元、政府性基金拨款收入0元，2019年本部门财政拨款收入较上年增加1224980.15元，主要原因是工资调标、人员增减、养老保险缴费等带来的人员经费变化；2019年本部门财政拨款支出5443878.10元，其中一般公共预算拨款支出5443878.10元、政府性基金拨款支出0元，2019年本部门财政拨款支出较上年增加1224980.15元，主要原因同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（三）一般公共预算拨款支出明细情况。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1、一般公共预算当年拨款规模变化情况。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2019年本部门一般公共预算拨款支出5443878.10元，较上年增加1224980.15元，主要原因是工资调标、人员增减、养老保险缴费等带来的人员经费变化。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2、支出按功能科目分类的明细情况。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本部门2019年一般公共预算支出5443878.10元，其中：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（1）行政运行（2010101）4522948.62元，较上年增加777563.98元，原因是工资调标、人员增减；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（2）人大会议（2010104）330000元，较上年增加30000元，原因是考虑价格因素人代会预算增加；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（3）行政单位离休（2080501）89234.80元，较上年增加2780元，原因是离休费变动；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（4）养老保险缴费（2080505）358774.56元，较上年增加271716.05元，原因是养老保险缴费变化；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（4）行政单位医疗（2101101）142920.12元，较上年增加142920.12元，原因是上年无此科目预算。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3、支出按经济科目分类的明细情况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（1）按照部门预算支出经济分类的类级科目说明。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2019年本部门一般公共预算支出5443878.10元，其中：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工资福利支出（301）3601987.30元，较上年增加1107330.15元，原因是工资调标、人员增减和养老保险缴费等变动；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商品和服务支出（302）1611396元，较上年增加27780元，原因是会议费、培训费等变化；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对个人和家庭的补助支出（303）180494.80元，较上年增加59870元，原因是社会福利救助及离休费等变动；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资本性支出（310）50000元，较上年增加30000元，原因是编制采购预算，购置办公设备。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按照政府预算支出经济分类的类级科目说明。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2019年本部门一般公共预算支出5443978.10元，其中：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机关工资福利支出（501）3601987.30元，较上年增加1107330.15元，原因是工资调标、人员增减和养老保险缴费等变动。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机关商品和服务支出（502）1611396元，较上年增加27780元，原因是会议费、培训费等变化；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对个人和家庭的补助支出（303）180494.80元，较上年增加59870元，原因是社会福利救助及离休费等变动；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机关资本性支出（一）（503）50000元，较上年增加30000元，原因是编制采购预算，购置办公设备。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（四）政府性基金预算支出情况。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本部门无政府性基金预算收支，并已公开空表。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（五）国有资本经营预算拨款收支情况。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本部门无国有资本经营预算拨款收支。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（六）“三公”经费等预算情况。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一般公共预算“三公”经费预算支出85000元，较上年无变化，主要是严格执行“三公”经费制度，从严控制“三公”经费预算。其中：因公出国（境）经费0元，主要是未安排因公出国（境）预算；公务接待费25000元，较上年无变化，主要是严格执行相关接待制度，从严控制公务接待费预算；公务用车运行维护费60000元，较上年无变化，主要是公务用车运行维护费预算标准未发生变化；公务用车购置费0元，主要是未安排公务用车购置预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2019年会议费预算450000元（含人代会330000元），较上年增长7%，主要原因是在严格执行会议费管理办法的同时，考虑到物价、会期等因素对人代会预算较上年适度增加30000元。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培训费预算110000元，较上年增长30%，主要原因是在严格执行培训费管理办法的基础上，区人大常委会计划2019年开展“走出去”活动，组织常委会委员、区人大代表、镇街人大、人大机关干部参加上级组织的各类学习培训活动，培训费预算较上年适度增加30000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（七）机关运行经费安排情况。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本部门2019年机关运行经费预算安排1661396元，较上年增加57780元，主要原因是会议费、培训费等增加27780元，资本性支出增加30000元，其他较上年比较基本持平。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hint="default" w:ascii="仿宋_GB2312" w:hAnsi="宋体" w:eastAsia="仿宋_GB2312" w:cs="仿宋_GB2312"/>
          <w:b/>
          <w:sz w:val="25"/>
          <w:szCs w:val="25"/>
          <w:shd w:val="clear" w:fill="FFFFFF"/>
        </w:rPr>
        <w:t>（八）政府采购情况。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2019年本部门政府采购预算共360500元，其中政府采购货物类（办公设备）预算30500元、政府采购服务类（人代会）预算330000元。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96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八、2019年专项资金预算说明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color w:val="000000"/>
          <w:sz w:val="25"/>
          <w:szCs w:val="25"/>
          <w:shd w:val="clear" w:fill="FFFFFF"/>
        </w:rPr>
        <w:t>2019年部门专项资金列入部门预算的项目共计330000元，为区十八届人大三次会议会议费。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九、专业名词解释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default" w:ascii="仿宋_GB2312" w:hAnsi="宋体" w:eastAsia="仿宋_GB2312" w:cs="仿宋_GB2312"/>
          <w:sz w:val="25"/>
          <w:szCs w:val="25"/>
          <w:shd w:val="clear" w:fill="FFFFFF"/>
        </w:rPr>
        <w:t>1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Style w:val="5"/>
          <w:rFonts w:ascii="仿宋" w:hAnsi="仿宋" w:eastAsia="仿宋" w:cs="仿宋"/>
          <w:b/>
          <w:color w:val="333333"/>
          <w:sz w:val="25"/>
          <w:szCs w:val="25"/>
          <w:shd w:val="clear" w:fill="FFFFFF"/>
        </w:rPr>
        <w:t>2、“三公”经费</w:t>
      </w:r>
      <w:r>
        <w:rPr>
          <w:rFonts w:hint="eastAsia" w:ascii="仿宋" w:hAnsi="仿宋" w:eastAsia="仿宋" w:cs="仿宋"/>
          <w:color w:val="333333"/>
          <w:sz w:val="25"/>
          <w:szCs w:val="25"/>
          <w:shd w:val="clear" w:fill="FFFFFF"/>
        </w:rPr>
        <w:t>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516"/>
      </w:pPr>
      <w:r>
        <w:rPr>
          <w:rFonts w:hint="eastAsia" w:ascii="黑体" w:hAnsi="宋体" w:eastAsia="黑体" w:cs="黑体"/>
          <w:color w:val="333333"/>
          <w:sz w:val="25"/>
          <w:szCs w:val="25"/>
          <w:shd w:val="clear" w:fill="FFFFFF"/>
        </w:rPr>
        <w:t>以上公开内容，均已通过保密审查及本部门主要负责人审签。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C61A5"/>
    <w:rsid w:val="541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layui-this2"/>
    <w:basedOn w:val="4"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2020-02-28T01:51:00Z</dcterms:created>
  <dc:creator>我不是积极废人</dc:creator>
  <cp:lastModifiedBy>王渊源</cp:lastModifiedBy>
  <dcterms:modified xsi:type="dcterms:W3CDTF">2020-02-28T01:51:51Z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