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黑体"/>
          <w:sz w:val="44"/>
          <w:szCs w:val="44"/>
        </w:rPr>
      </w:pPr>
      <w:r>
        <w:rPr>
          <w:rFonts w:hint="eastAsia" w:ascii="黑体" w:hAnsi="黑体" w:eastAsia="黑体" w:cs="黑体"/>
          <w:sz w:val="44"/>
          <w:szCs w:val="44"/>
        </w:rPr>
        <w:t>渭滨区桥南街道办事处</w:t>
      </w:r>
      <w:r>
        <w:rPr>
          <w:rFonts w:ascii="黑体" w:hAnsi="黑体" w:eastAsia="黑体" w:cs="黑体"/>
          <w:sz w:val="44"/>
          <w:szCs w:val="44"/>
        </w:rPr>
        <w:t>2019</w:t>
      </w:r>
      <w:r>
        <w:rPr>
          <w:rFonts w:hint="eastAsia" w:ascii="黑体" w:hAnsi="黑体" w:eastAsia="黑体" w:cs="黑体"/>
          <w:sz w:val="44"/>
          <w:szCs w:val="44"/>
        </w:rPr>
        <w:t>年部门综合预算说明</w:t>
      </w:r>
    </w:p>
    <w:p>
      <w:r>
        <w:tab/>
      </w:r>
      <w:r>
        <w:tab/>
      </w:r>
      <w:r>
        <w:tab/>
      </w:r>
      <w:r>
        <w:tab/>
      </w:r>
      <w:r>
        <w:tab/>
      </w:r>
      <w:r>
        <w:tab/>
      </w:r>
      <w:r>
        <w:tab/>
      </w:r>
      <w:r>
        <w:tab/>
      </w:r>
      <w:r>
        <w:tab/>
      </w:r>
    </w:p>
    <w:p>
      <w:pPr>
        <w:ind w:firstLine="640"/>
        <w:rPr>
          <w:rFonts w:ascii="黑体" w:hAnsi="黑体" w:eastAsia="黑体" w:cs="仿宋_GB2312"/>
          <w:sz w:val="32"/>
          <w:szCs w:val="32"/>
        </w:rPr>
      </w:pPr>
      <w:r>
        <w:rPr>
          <w:rFonts w:hint="eastAsia" w:ascii="黑体" w:hAnsi="黑体" w:eastAsia="黑体" w:cs="仿宋_GB2312"/>
          <w:sz w:val="32"/>
          <w:szCs w:val="32"/>
        </w:rPr>
        <w:t>一、部门主要职责</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 xml:space="preserve">桥南街道办事处是区人民政府的派出机关，受区人民政府领导，依据法律、法规规定，在本辖区内行使区人民政府赋予的职权。其主要职责是：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 xml:space="preserve">1、强化公共服务，着力改善民生。负责辖区综合管理事务，行使组织领导、综合协调、监督监察等行政管理职能。协调与驻地各有关方面相关的社会事务。负责辖区公共服务设施建设。加强社区文化室建设，提高社区服务质量，组织开展公益事业服务活动。协助区级有关部门搞好救灾救济、拥军优属、殡葬改革、老龄、妇幼及维护残疾人合法权益等工作。引导城镇劳动力转移。以各相关职能部门为主，配合职能部门搞好辖区科技、教育、文化、食品、药品工作；搞好居民社会养老保险、居民医保、职工医保等社会保障工作及环境保护工作。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 xml:space="preserve">2、参与城市管理，提升文明水平。配合区级职能部门搞好市政建设、社区规划、辖区数字化城市管理工作；指导、监督物业投诉调解工作站、物业维修服务站和社区居委会履行物业管理和业主委员会筹建、换届工作；组织开展爱国卫生运动，强化卫生长效管理机制，搞好背街小巷保洁、绿化、亮化工作；开展创建文明单位、文明城市等工作。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3、创新社会管理，维护辖区稳定</w:t>
      </w:r>
      <w:r>
        <w:rPr>
          <w:rFonts w:hint="eastAsia" w:ascii="仿宋_GB2312" w:hAnsi="仿宋_GB2312" w:eastAsia="仿宋_GB2312" w:cs="仿宋_GB2312"/>
          <w:b/>
          <w:bCs/>
          <w:color w:val="2B2B2B"/>
          <w:kern w:val="0"/>
          <w:sz w:val="32"/>
          <w:szCs w:val="32"/>
        </w:rPr>
        <w:t>。</w:t>
      </w:r>
      <w:r>
        <w:rPr>
          <w:rFonts w:hint="eastAsia" w:ascii="仿宋_GB2312" w:hAnsi="仿宋_GB2312" w:eastAsia="仿宋_GB2312" w:cs="仿宋_GB2312"/>
          <w:color w:val="2B2B2B"/>
          <w:kern w:val="0"/>
          <w:sz w:val="32"/>
          <w:szCs w:val="32"/>
        </w:rPr>
        <w:t xml:space="preserve">加大平安建设宣传及普法教育、加强矛盾纠纷调处网络建设，做好群众来信、来访处置和民族宗教、人民调解、社区矫正等工作，提升社会治安综合治理水平，维护社会稳定。加强流动人口管理，配合搞好人口与计划生育工作；指导社区居委会参与创新社会管理；配合区级有关部门搞好辖区应急、防汛、防震、抢险、人防、房管及安全生产监督检查等工作。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4、优化发展环境，促进经济发展</w:t>
      </w:r>
      <w:r>
        <w:rPr>
          <w:rFonts w:hint="eastAsia" w:ascii="仿宋_GB2312" w:hAnsi="仿宋_GB2312" w:eastAsia="仿宋_GB2312" w:cs="仿宋_GB2312"/>
          <w:b/>
          <w:bCs/>
          <w:color w:val="2B2B2B"/>
          <w:kern w:val="0"/>
          <w:sz w:val="32"/>
          <w:szCs w:val="32"/>
        </w:rPr>
        <w:t>。</w:t>
      </w:r>
      <w:r>
        <w:rPr>
          <w:rFonts w:hint="eastAsia" w:ascii="仿宋_GB2312" w:hAnsi="仿宋_GB2312" w:eastAsia="仿宋_GB2312" w:cs="仿宋_GB2312"/>
          <w:color w:val="2B2B2B"/>
          <w:kern w:val="0"/>
          <w:sz w:val="32"/>
          <w:szCs w:val="32"/>
        </w:rPr>
        <w:t xml:space="preserve">配合有关方面搞好辖区产业规划制定，为固定资产投资、招商引资、商贸升级及产业结构调整等搞好服务；以各相关职能部门及其派出机构为主，配合职能部门搞好区域内涉及劳动监察、文化市场监管等工作；提供辖区有关经济统计数据。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5、加强组织建设，构建和谐社区</w:t>
      </w:r>
      <w:r>
        <w:rPr>
          <w:rFonts w:hint="eastAsia" w:ascii="仿宋_GB2312" w:hAnsi="仿宋_GB2312" w:eastAsia="仿宋_GB2312" w:cs="仿宋_GB2312"/>
          <w:b/>
          <w:bCs/>
          <w:color w:val="2B2B2B"/>
          <w:kern w:val="0"/>
          <w:sz w:val="32"/>
          <w:szCs w:val="32"/>
        </w:rPr>
        <w:t>。</w:t>
      </w:r>
      <w:r>
        <w:rPr>
          <w:rFonts w:hint="eastAsia" w:ascii="仿宋_GB2312" w:hAnsi="仿宋_GB2312" w:eastAsia="仿宋_GB2312" w:cs="仿宋_GB2312"/>
          <w:color w:val="2B2B2B"/>
          <w:kern w:val="0"/>
          <w:sz w:val="32"/>
          <w:szCs w:val="32"/>
        </w:rPr>
        <w:t xml:space="preserve">加强社区党组织建设、党员队伍建设和社区干部队伍建设；做好街道人大工委、群团、国防教育、兵役、民兵等工作；开展民主自治，增强社区自治功能；引导社会力量共同共建和谐社区。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6、完成区委、区政府交办的其他工作</w:t>
      </w:r>
      <w:r>
        <w:rPr>
          <w:rFonts w:hint="eastAsia" w:ascii="仿宋_GB2312" w:hAnsi="仿宋_GB2312" w:eastAsia="仿宋_GB2312" w:cs="仿宋_GB2312"/>
          <w:b/>
          <w:bCs/>
          <w:color w:val="2B2B2B"/>
          <w:kern w:val="0"/>
          <w:sz w:val="32"/>
          <w:szCs w:val="32"/>
        </w:rPr>
        <w:t>。</w:t>
      </w:r>
      <w:r>
        <w:rPr>
          <w:rFonts w:hint="eastAsia" w:ascii="仿宋_GB2312" w:hAnsi="仿宋_GB2312" w:eastAsia="仿宋_GB2312" w:cs="仿宋_GB2312"/>
          <w:color w:val="2B2B2B"/>
          <w:kern w:val="0"/>
          <w:sz w:val="32"/>
          <w:szCs w:val="32"/>
        </w:rPr>
        <w:t xml:space="preserve"> </w:t>
      </w:r>
    </w:p>
    <w:p>
      <w:pPr>
        <w:ind w:firstLine="640"/>
        <w:rPr>
          <w:rFonts w:ascii="黑体" w:hAnsi="黑体" w:eastAsia="黑体" w:cs="仿宋_GB2312"/>
          <w:sz w:val="32"/>
          <w:szCs w:val="32"/>
        </w:rPr>
      </w:pPr>
      <w:r>
        <w:rPr>
          <w:rFonts w:hint="eastAsia" w:ascii="黑体" w:hAnsi="黑体" w:eastAsia="黑体" w:cs="仿宋_GB2312"/>
          <w:sz w:val="32"/>
          <w:szCs w:val="32"/>
        </w:rPr>
        <w:t>二、</w:t>
      </w:r>
      <w:r>
        <w:rPr>
          <w:rFonts w:ascii="黑体" w:hAnsi="黑体" w:eastAsia="黑体" w:cs="仿宋_GB2312"/>
          <w:sz w:val="32"/>
          <w:szCs w:val="32"/>
        </w:rPr>
        <w:t>2019</w:t>
      </w:r>
      <w:r>
        <w:rPr>
          <w:rFonts w:hint="eastAsia" w:ascii="黑体" w:hAnsi="黑体" w:eastAsia="黑体" w:cs="仿宋_GB2312"/>
          <w:sz w:val="32"/>
          <w:szCs w:val="32"/>
        </w:rPr>
        <w:t>年年度部门工作任务</w:t>
      </w:r>
    </w:p>
    <w:p>
      <w:pPr>
        <w:widowControl/>
        <w:spacing w:line="360" w:lineRule="auto"/>
        <w:ind w:firstLine="640" w:firstLineChars="200"/>
        <w:jc w:val="left"/>
        <w:textAlignment w:val="baseline"/>
        <w:rPr>
          <w:rFonts w:ascii="仿宋_GB2312" w:hAnsi="仿宋_GB2312" w:eastAsia="仿宋_GB2312" w:cs="仿宋_GB2312"/>
          <w:color w:val="FF0000"/>
          <w:kern w:val="0"/>
          <w:sz w:val="32"/>
          <w:szCs w:val="32"/>
        </w:rPr>
      </w:pPr>
      <w:r>
        <w:rPr>
          <w:rFonts w:hint="eastAsia" w:ascii="仿宋_GB2312" w:hAnsi="仿宋_GB2312" w:eastAsia="仿宋_GB2312" w:cs="仿宋_GB2312"/>
          <w:kern w:val="0"/>
          <w:sz w:val="32"/>
          <w:szCs w:val="32"/>
        </w:rPr>
        <w:t>2019年，桥南街道办事处主要工作任务：积极落实党中央、市、区委全会精神，围绕全区稳</w:t>
      </w:r>
      <w:r>
        <w:rPr>
          <w:rFonts w:hint="eastAsia" w:ascii="仿宋_GB2312" w:hAnsi="仿宋_GB2312" w:eastAsia="仿宋_GB2312" w:cs="仿宋_GB2312"/>
          <w:color w:val="000000"/>
          <w:kern w:val="0"/>
          <w:sz w:val="32"/>
          <w:szCs w:val="32"/>
        </w:rPr>
        <w:t>中求进总基调，以全区争第一、全市争位次、全省创一流的目标，维护稳定、管好城市、服务民生、创新管理、从严管党治党，努力开创和谐、务实、创新、争先的全新局面。</w:t>
      </w:r>
      <w:r>
        <w:rPr>
          <w:rFonts w:hint="eastAsia" w:ascii="仿宋_GB2312" w:hAnsi="仿宋_GB2312" w:eastAsia="仿宋_GB2312" w:cs="仿宋_GB2312"/>
          <w:color w:val="2B2B2B"/>
          <w:kern w:val="0"/>
          <w:sz w:val="32"/>
          <w:szCs w:val="32"/>
        </w:rPr>
        <w:t xml:space="preserve">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000000"/>
          <w:kern w:val="0"/>
          <w:sz w:val="32"/>
          <w:szCs w:val="32"/>
        </w:rPr>
        <w:t>（一）以中省市区系列会议精神为重点，明晰思想抓落实。</w:t>
      </w:r>
      <w:r>
        <w:rPr>
          <w:rFonts w:hint="eastAsia" w:ascii="仿宋_GB2312" w:hAnsi="仿宋_GB2312" w:eastAsia="仿宋_GB2312" w:cs="仿宋_GB2312"/>
          <w:color w:val="2B2B2B"/>
          <w:kern w:val="0"/>
          <w:sz w:val="32"/>
          <w:szCs w:val="32"/>
        </w:rPr>
        <w:t xml:space="preserve">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000000"/>
          <w:kern w:val="0"/>
          <w:sz w:val="32"/>
          <w:szCs w:val="32"/>
        </w:rPr>
        <w:t>（二）以项目建设为抓手，推动街道经济持续快速健康发展</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2B2B2B"/>
          <w:kern w:val="0"/>
          <w:sz w:val="32"/>
          <w:szCs w:val="32"/>
        </w:rPr>
        <w:t xml:space="preserve"> </w:t>
      </w:r>
    </w:p>
    <w:p>
      <w:pPr>
        <w:widowControl/>
        <w:spacing w:line="360" w:lineRule="auto"/>
        <w:ind w:firstLine="640" w:firstLineChars="200"/>
        <w:jc w:val="left"/>
        <w:textAlignment w:val="baseline"/>
        <w:rPr>
          <w:rFonts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 xml:space="preserve">（三）以管好城市为支撑，提升城市管理水平。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000000"/>
          <w:kern w:val="0"/>
          <w:sz w:val="32"/>
          <w:szCs w:val="32"/>
        </w:rPr>
        <w:t>（四）以服务民生为主旨，进一步提升居民群众幸福指数。</w:t>
      </w:r>
      <w:r>
        <w:rPr>
          <w:rFonts w:hint="eastAsia" w:ascii="仿宋_GB2312" w:hAnsi="仿宋_GB2312" w:eastAsia="仿宋_GB2312" w:cs="仿宋_GB2312"/>
          <w:color w:val="2B2B2B"/>
          <w:kern w:val="0"/>
          <w:sz w:val="32"/>
          <w:szCs w:val="32"/>
        </w:rPr>
        <w:t xml:space="preserve">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000000"/>
          <w:kern w:val="0"/>
          <w:sz w:val="32"/>
          <w:szCs w:val="32"/>
        </w:rPr>
        <w:t>（五）以管理创新为重点，促进社会大局和谐稳定</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2B2B2B"/>
          <w:kern w:val="0"/>
          <w:sz w:val="32"/>
          <w:szCs w:val="32"/>
        </w:rPr>
        <w:t xml:space="preserve"> </w:t>
      </w:r>
    </w:p>
    <w:p>
      <w:pPr>
        <w:widowControl/>
        <w:spacing w:line="360" w:lineRule="auto"/>
        <w:ind w:firstLine="640" w:firstLineChars="200"/>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000000"/>
          <w:kern w:val="0"/>
          <w:sz w:val="32"/>
          <w:szCs w:val="32"/>
        </w:rPr>
        <w:t>（六）以队伍建设为保障，形成创新实干的工作合力</w:t>
      </w:r>
      <w:r>
        <w:rPr>
          <w:rFonts w:hint="eastAsia" w:ascii="仿宋_GB2312" w:hAnsi="仿宋_GB2312" w:eastAsia="仿宋_GB2312" w:cs="仿宋_GB2312"/>
          <w:b/>
          <w:bCs/>
          <w:color w:val="000000"/>
          <w:kern w:val="0"/>
          <w:sz w:val="32"/>
          <w:szCs w:val="32"/>
        </w:rPr>
        <w:t>。</w:t>
      </w:r>
      <w:r>
        <w:rPr>
          <w:rFonts w:hint="eastAsia" w:ascii="仿宋_GB2312" w:hAnsi="仿宋_GB2312" w:eastAsia="仿宋_GB2312" w:cs="仿宋_GB2312"/>
          <w:color w:val="2B2B2B"/>
          <w:kern w:val="0"/>
          <w:sz w:val="32"/>
          <w:szCs w:val="32"/>
        </w:rPr>
        <w:t xml:space="preserve"> </w:t>
      </w:r>
    </w:p>
    <w:p>
      <w:pPr>
        <w:ind w:firstLine="640"/>
        <w:rPr>
          <w:rFonts w:ascii="黑体" w:hAnsi="黑体" w:eastAsia="黑体" w:cs="仿宋_GB2312"/>
          <w:sz w:val="32"/>
          <w:szCs w:val="32"/>
        </w:rPr>
      </w:pPr>
      <w:r>
        <w:rPr>
          <w:rFonts w:hint="eastAsia" w:ascii="黑体" w:hAnsi="黑体" w:eastAsia="黑体" w:cs="仿宋_GB2312"/>
          <w:sz w:val="32"/>
          <w:szCs w:val="32"/>
        </w:rPr>
        <w:t>三、部门预算单位构成</w:t>
      </w:r>
    </w:p>
    <w:p>
      <w:pPr>
        <w:ind w:firstLine="640"/>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桥南街道办事处内设党政综合办（党办、行政办、精神文明、宣传、工会、妇联、团委、关工委等），经济发展办（财政所、劳动保障所、统计办）、社会事务办（计生办、综治司法办、民政办、卫生办、城管办）等10个办公室。从预算单位构成看，本部门的部门预算包括部门本级（行政）预算，为一级预算管理单位，经费管理使用财政集中支付方式。</w:t>
      </w:r>
    </w:p>
    <w:p>
      <w:pPr>
        <w:ind w:firstLine="640"/>
        <w:rPr>
          <w:rFonts w:ascii="仿宋_GB2312" w:hAnsi="仿宋_GB2312" w:eastAsia="仿宋_GB2312" w:cs="仿宋_GB2312"/>
          <w:color w:val="2B2B2B"/>
          <w:kern w:val="0"/>
          <w:sz w:val="24"/>
        </w:rPr>
      </w:pPr>
    </w:p>
    <w:p>
      <w:pPr>
        <w:spacing w:line="280" w:lineRule="exact"/>
        <w:ind w:firstLine="641"/>
        <w:rPr>
          <w:rFonts w:ascii="仿宋_GB2312" w:hAnsi="仿宋_GB2312" w:eastAsia="仿宋_GB2312" w:cs="仿宋_GB2312"/>
          <w:color w:val="2B2B2B"/>
          <w:kern w:val="0"/>
          <w:sz w:val="24"/>
        </w:rPr>
      </w:pPr>
    </w:p>
    <w:tbl>
      <w:tblPr>
        <w:tblStyle w:val="6"/>
        <w:tblW w:w="122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0"/>
        <w:gridCol w:w="9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2290"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序号</w:t>
            </w:r>
          </w:p>
        </w:tc>
        <w:tc>
          <w:tcPr>
            <w:tcW w:w="9914" w:type="dxa"/>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atLeast"/>
          <w:jc w:val="center"/>
        </w:trPr>
        <w:tc>
          <w:tcPr>
            <w:tcW w:w="2290" w:type="dxa"/>
            <w:vAlign w:val="center"/>
          </w:tcPr>
          <w:p>
            <w:pPr>
              <w:jc w:val="center"/>
              <w:rPr>
                <w:rFonts w:ascii="仿宋_GB2312" w:hAnsi="仿宋_GB2312" w:eastAsia="仿宋_GB2312" w:cs="仿宋_GB2312"/>
                <w:sz w:val="32"/>
                <w:szCs w:val="32"/>
              </w:rPr>
            </w:pPr>
            <w:r>
              <w:rPr>
                <w:rFonts w:ascii="仿宋_GB2312" w:hAnsi="仿宋_GB2312" w:eastAsia="仿宋_GB2312" w:cs="仿宋_GB2312"/>
                <w:sz w:val="32"/>
                <w:szCs w:val="32"/>
              </w:rPr>
              <w:t>1</w:t>
            </w:r>
          </w:p>
        </w:tc>
        <w:tc>
          <w:tcPr>
            <w:tcW w:w="9914" w:type="dxa"/>
            <w:vAlign w:val="center"/>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宝鸡市渭滨区桥南街道办事处本级（行政）</w:t>
            </w:r>
          </w:p>
        </w:tc>
      </w:tr>
    </w:tbl>
    <w:p>
      <w:pPr>
        <w:ind w:firstLine="640"/>
        <w:rPr>
          <w:rFonts w:ascii="黑体" w:hAnsi="黑体" w:eastAsia="黑体" w:cs="仿宋_GB2312"/>
          <w:sz w:val="32"/>
          <w:szCs w:val="32"/>
        </w:rPr>
      </w:pPr>
      <w:r>
        <w:rPr>
          <w:rFonts w:hint="eastAsia" w:ascii="黑体" w:hAnsi="黑体" w:eastAsia="黑体" w:cs="仿宋_GB2312"/>
          <w:sz w:val="32"/>
          <w:szCs w:val="32"/>
        </w:rPr>
        <w:t>四、部门人员情况说明</w:t>
      </w:r>
    </w:p>
    <w:p>
      <w:pPr>
        <w:widowControl/>
        <w:spacing w:line="360" w:lineRule="auto"/>
        <w:ind w:firstLine="627" w:firstLineChars="196"/>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截止2018年底，本部门人员总编制36名，其中行政编制17名，事业编制19名，实有人员34人，其中行政12人，事业22人；退休人员19人。</w:t>
      </w:r>
    </w:p>
    <w:p>
      <w:pPr>
        <w:widowControl/>
        <w:spacing w:line="360" w:lineRule="auto"/>
        <w:ind w:firstLine="627" w:firstLineChars="196"/>
        <w:jc w:val="center"/>
        <w:textAlignment w:val="baseline"/>
        <w:rPr>
          <w:rFonts w:ascii="仿宋_GB2312" w:hAnsi="仿宋_GB2312" w:eastAsia="仿宋_GB2312" w:cs="仿宋_GB2312"/>
          <w:color w:val="2B2B2B"/>
          <w:kern w:val="0"/>
          <w:sz w:val="32"/>
          <w:szCs w:val="32"/>
        </w:rPr>
      </w:pPr>
      <w:r>
        <w:rPr>
          <w:rFonts w:ascii="仿宋_GB2312" w:hAnsi="仿宋_GB2312" w:eastAsia="仿宋_GB2312" w:cs="仿宋_GB2312"/>
          <w:color w:val="2B2B2B"/>
          <w:kern w:val="0"/>
          <w:sz w:val="32"/>
          <w:szCs w:val="32"/>
        </w:rPr>
        <w:drawing>
          <wp:inline distT="0" distB="0" distL="0" distR="0">
            <wp:extent cx="4410075" cy="2466975"/>
            <wp:effectExtent l="19050" t="0" r="9525" b="0"/>
            <wp:docPr id="1" name="对象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firstLine="640"/>
        <w:rPr>
          <w:rFonts w:ascii="黑体" w:hAnsi="黑体" w:eastAsia="黑体" w:cs="仿宋_GB2312"/>
          <w:sz w:val="32"/>
          <w:szCs w:val="32"/>
        </w:rPr>
      </w:pPr>
      <w:r>
        <w:rPr>
          <w:rFonts w:hint="eastAsia" w:ascii="黑体" w:hAnsi="黑体" w:eastAsia="黑体" w:cs="仿宋_GB2312"/>
          <w:sz w:val="32"/>
          <w:szCs w:val="32"/>
        </w:rPr>
        <w:t>五、部门国有资产占有使用及资产购置情况说明</w:t>
      </w:r>
    </w:p>
    <w:p>
      <w:pPr>
        <w:widowControl/>
        <w:spacing w:line="360" w:lineRule="auto"/>
        <w:ind w:firstLine="627" w:firstLineChars="196"/>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截止2018年12月31日，我单位共有公车0辆，单价18万元以上的设备0台。2019年预算安排购置车辆0辆；安排购置单价18万元以上设备0台。</w:t>
      </w:r>
    </w:p>
    <w:p>
      <w:pPr>
        <w:ind w:firstLine="640"/>
        <w:rPr>
          <w:rFonts w:ascii="黑体" w:hAnsi="黑体" w:eastAsia="黑体" w:cs="仿宋_GB2312"/>
          <w:sz w:val="32"/>
          <w:szCs w:val="32"/>
        </w:rPr>
      </w:pPr>
      <w:r>
        <w:rPr>
          <w:rFonts w:hint="eastAsia" w:ascii="黑体" w:hAnsi="黑体" w:eastAsia="黑体" w:cs="仿宋_GB2312"/>
          <w:sz w:val="32"/>
          <w:szCs w:val="32"/>
        </w:rPr>
        <w:t>六、部门预算绩效目标说明</w:t>
      </w:r>
    </w:p>
    <w:p>
      <w:pPr>
        <w:widowControl/>
        <w:spacing w:line="360" w:lineRule="auto"/>
        <w:ind w:firstLine="627" w:firstLineChars="196"/>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2B2B2B"/>
          <w:kern w:val="0"/>
          <w:sz w:val="32"/>
          <w:szCs w:val="32"/>
        </w:rPr>
        <w:t>2019年本部门业务经费项目实现了绩效目标管理全覆盖，涉及一般公共预算当年拨款</w:t>
      </w:r>
      <w:r>
        <w:rPr>
          <w:rFonts w:hint="eastAsia" w:ascii="仿宋_GB2312" w:hAnsi="仿宋_GB2312" w:eastAsia="仿宋_GB2312" w:cs="仿宋_GB2312"/>
          <w:kern w:val="0"/>
          <w:sz w:val="32"/>
          <w:szCs w:val="32"/>
        </w:rPr>
        <w:t>4673567.44</w:t>
      </w:r>
      <w:r>
        <w:rPr>
          <w:rFonts w:hint="eastAsia" w:ascii="仿宋_GB2312" w:hAnsi="仿宋_GB2312" w:eastAsia="仿宋_GB2312" w:cs="仿宋_GB2312"/>
          <w:color w:val="2B2B2B"/>
          <w:kern w:val="0"/>
          <w:sz w:val="32"/>
          <w:szCs w:val="32"/>
        </w:rPr>
        <w:t>元</w:t>
      </w:r>
      <w:r>
        <w:rPr>
          <w:rFonts w:hint="eastAsia" w:ascii="仿宋_GB2312" w:hAnsi="仿宋_GB2312" w:eastAsia="仿宋_GB2312" w:cs="仿宋_GB2312"/>
          <w:sz w:val="32"/>
          <w:szCs w:val="32"/>
        </w:rPr>
        <w:t>，政府性基金预算当年拨款0元；上年结转资金639601.23元。</w:t>
      </w:r>
    </w:p>
    <w:p>
      <w:pPr>
        <w:ind w:firstLine="640"/>
        <w:rPr>
          <w:rFonts w:ascii="黑体" w:hAnsi="黑体" w:eastAsia="黑体" w:cs="仿宋_GB2312"/>
          <w:sz w:val="32"/>
          <w:szCs w:val="32"/>
        </w:rPr>
      </w:pPr>
      <w:r>
        <w:rPr>
          <w:rFonts w:hint="eastAsia" w:ascii="黑体" w:hAnsi="黑体" w:eastAsia="黑体" w:cs="仿宋_GB2312"/>
          <w:sz w:val="32"/>
          <w:szCs w:val="32"/>
        </w:rPr>
        <w:t>七、</w:t>
      </w:r>
      <w:r>
        <w:rPr>
          <w:rFonts w:ascii="黑体" w:hAnsi="黑体" w:eastAsia="黑体" w:cs="仿宋_GB2312"/>
          <w:sz w:val="32"/>
          <w:szCs w:val="32"/>
        </w:rPr>
        <w:t>2019</w:t>
      </w:r>
      <w:r>
        <w:rPr>
          <w:rFonts w:hint="eastAsia" w:ascii="黑体" w:hAnsi="黑体" w:eastAsia="黑体" w:cs="仿宋_GB2312"/>
          <w:sz w:val="32"/>
          <w:szCs w:val="32"/>
        </w:rPr>
        <w:t>年部门预算收支说明</w:t>
      </w:r>
    </w:p>
    <w:p>
      <w:pPr>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（一）收支预算总体情况。</w:t>
      </w:r>
    </w:p>
    <w:p>
      <w:pPr>
        <w:widowControl/>
        <w:spacing w:line="360" w:lineRule="auto"/>
        <w:ind w:firstLine="627" w:firstLineChars="196"/>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2B2B2B"/>
          <w:kern w:val="0"/>
          <w:sz w:val="32"/>
          <w:szCs w:val="32"/>
        </w:rPr>
        <w:t>2019年，本部门预算收</w:t>
      </w:r>
      <w:r>
        <w:rPr>
          <w:rFonts w:hint="eastAsia" w:ascii="仿宋_GB2312" w:hAnsi="仿宋_GB2312" w:eastAsia="仿宋_GB2312" w:cs="仿宋_GB2312"/>
          <w:kern w:val="0"/>
          <w:sz w:val="32"/>
          <w:szCs w:val="32"/>
        </w:rPr>
        <w:t>入5313168.67</w:t>
      </w:r>
      <w:r>
        <w:rPr>
          <w:rFonts w:hint="eastAsia" w:ascii="仿宋_GB2312" w:hAnsi="仿宋_GB2312" w:eastAsia="仿宋_GB2312" w:cs="仿宋_GB2312"/>
          <w:color w:val="2B2B2B"/>
          <w:kern w:val="0"/>
          <w:sz w:val="32"/>
          <w:szCs w:val="32"/>
        </w:rPr>
        <w:t>元，其中当年</w:t>
      </w:r>
      <w:r>
        <w:rPr>
          <w:rFonts w:hint="eastAsia" w:ascii="仿宋_GB2312" w:hAnsi="仿宋_GB2312" w:eastAsia="仿宋_GB2312" w:cs="仿宋_GB2312"/>
          <w:sz w:val="32"/>
          <w:szCs w:val="32"/>
        </w:rPr>
        <w:t>一般公共预算拨款收入</w:t>
      </w:r>
      <w:r>
        <w:rPr>
          <w:rFonts w:hint="eastAsia" w:ascii="仿宋_GB2312" w:hAnsi="仿宋_GB2312" w:eastAsia="仿宋_GB2312" w:cs="仿宋_GB2312"/>
          <w:kern w:val="0"/>
          <w:sz w:val="32"/>
          <w:szCs w:val="32"/>
        </w:rPr>
        <w:t>4673567.44</w:t>
      </w:r>
      <w:r>
        <w:rPr>
          <w:rFonts w:hint="eastAsia" w:ascii="仿宋_GB2312" w:hAnsi="仿宋_GB2312" w:eastAsia="仿宋_GB2312" w:cs="仿宋_GB2312"/>
          <w:sz w:val="32"/>
          <w:szCs w:val="32"/>
        </w:rPr>
        <w:t>元、政府性基金拨款收入0元，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年本部门一般公共预算拨款收入较上年增加1039165.38元，</w:t>
      </w:r>
      <w:r>
        <w:rPr>
          <w:rFonts w:hint="eastAsia" w:ascii="仿宋_GB2312" w:hAnsi="仿宋_GB2312" w:eastAsia="仿宋_GB2312" w:cs="仿宋_GB2312"/>
          <w:color w:val="2B2B2B"/>
          <w:kern w:val="0"/>
          <w:sz w:val="32"/>
          <w:szCs w:val="32"/>
        </w:rPr>
        <w:t>增长的主要原因是人员增加、机关事业单位基本养老保险制度改革及正常调出、退休、调资晋升、取暖费、住房公积金、医疗费等科目变动带来的经费变动；</w:t>
      </w:r>
      <w:r>
        <w:rPr>
          <w:rFonts w:hint="eastAsia" w:ascii="仿宋_GB2312" w:hAnsi="仿宋_GB2312" w:eastAsia="仿宋_GB2312" w:cs="仿宋_GB2312"/>
          <w:sz w:val="32"/>
          <w:szCs w:val="32"/>
        </w:rPr>
        <w:t>上年结转资金收入639601.23元。</w:t>
      </w:r>
      <w:r>
        <w:rPr>
          <w:rFonts w:hint="eastAsia" w:ascii="仿宋_GB2312" w:hAnsi="仿宋_GB2312" w:eastAsia="仿宋_GB2312" w:cs="仿宋_GB2312"/>
          <w:color w:val="2B2B2B"/>
          <w:kern w:val="0"/>
          <w:sz w:val="32"/>
          <w:szCs w:val="32"/>
        </w:rPr>
        <w:t>2019年本部门预算支出为</w:t>
      </w:r>
      <w:r>
        <w:rPr>
          <w:rFonts w:hint="eastAsia" w:ascii="仿宋_GB2312" w:hAnsi="仿宋_GB2312" w:eastAsia="仿宋_GB2312" w:cs="仿宋_GB2312"/>
          <w:kern w:val="0"/>
          <w:sz w:val="32"/>
          <w:szCs w:val="32"/>
        </w:rPr>
        <w:t>5313168.67</w:t>
      </w:r>
      <w:r>
        <w:rPr>
          <w:rFonts w:hint="eastAsia" w:ascii="仿宋_GB2312" w:hAnsi="仿宋_GB2312" w:eastAsia="仿宋_GB2312" w:cs="仿宋_GB2312"/>
          <w:color w:val="2B2B2B"/>
          <w:kern w:val="0"/>
          <w:sz w:val="32"/>
          <w:szCs w:val="32"/>
        </w:rPr>
        <w:t>元，其中一般公共预算拨款支出</w:t>
      </w:r>
      <w:r>
        <w:rPr>
          <w:rFonts w:hint="eastAsia" w:ascii="仿宋_GB2312" w:hAnsi="仿宋_GB2312" w:eastAsia="仿宋_GB2312" w:cs="仿宋_GB2312"/>
          <w:kern w:val="0"/>
          <w:sz w:val="32"/>
          <w:szCs w:val="32"/>
        </w:rPr>
        <w:t>4673567.44</w:t>
      </w:r>
      <w:r>
        <w:rPr>
          <w:rFonts w:hint="eastAsia" w:ascii="仿宋_GB2312" w:hAnsi="仿宋_GB2312" w:eastAsia="仿宋_GB2312" w:cs="仿宋_GB2312"/>
          <w:color w:val="2B2B2B"/>
          <w:kern w:val="0"/>
          <w:sz w:val="32"/>
          <w:szCs w:val="32"/>
        </w:rPr>
        <w:t>元、政府性基金拨款支出0元，2019年本部门</w:t>
      </w:r>
      <w:r>
        <w:rPr>
          <w:rFonts w:hint="eastAsia" w:ascii="仿宋_GB2312" w:hAnsi="仿宋_GB2312" w:eastAsia="仿宋_GB2312" w:cs="仿宋_GB2312"/>
          <w:sz w:val="32"/>
          <w:szCs w:val="32"/>
        </w:rPr>
        <w:t>一般公共预算拨款</w:t>
      </w:r>
      <w:r>
        <w:rPr>
          <w:rFonts w:hint="eastAsia" w:ascii="仿宋_GB2312" w:hAnsi="仿宋_GB2312" w:eastAsia="仿宋_GB2312" w:cs="仿宋_GB2312"/>
          <w:color w:val="2B2B2B"/>
          <w:kern w:val="0"/>
          <w:sz w:val="32"/>
          <w:szCs w:val="32"/>
        </w:rPr>
        <w:t>支出较上年增加</w:t>
      </w:r>
      <w:r>
        <w:rPr>
          <w:rFonts w:hint="eastAsia" w:ascii="仿宋_GB2312" w:hAnsi="仿宋_GB2312" w:eastAsia="仿宋_GB2312" w:cs="仿宋_GB2312"/>
          <w:sz w:val="32"/>
          <w:szCs w:val="32"/>
        </w:rPr>
        <w:t>1039165.38</w:t>
      </w:r>
      <w:r>
        <w:rPr>
          <w:rFonts w:hint="eastAsia" w:ascii="仿宋_GB2312" w:hAnsi="仿宋_GB2312" w:eastAsia="仿宋_GB2312" w:cs="仿宋_GB2312"/>
          <w:color w:val="2B2B2B"/>
          <w:kern w:val="0"/>
          <w:sz w:val="32"/>
          <w:szCs w:val="32"/>
        </w:rPr>
        <w:t>元，原因同上；</w:t>
      </w:r>
      <w:r>
        <w:rPr>
          <w:rFonts w:hint="eastAsia" w:ascii="仿宋_GB2312" w:hAnsi="仿宋_GB2312" w:eastAsia="仿宋_GB2312" w:cs="仿宋_GB2312"/>
          <w:sz w:val="32"/>
          <w:szCs w:val="32"/>
        </w:rPr>
        <w:t>上年结转资金支出639601.23元。</w:t>
      </w:r>
    </w:p>
    <w:p>
      <w:pPr>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（二）财政拨款收支情况。</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年本部门财政拨款预算收入</w:t>
      </w:r>
      <w:r>
        <w:rPr>
          <w:rFonts w:hint="eastAsia" w:ascii="仿宋_GB2312" w:hAnsi="仿宋_GB2312" w:eastAsia="仿宋_GB2312" w:cs="仿宋_GB2312"/>
          <w:kern w:val="0"/>
          <w:sz w:val="32"/>
          <w:szCs w:val="32"/>
        </w:rPr>
        <w:t>4673567.44</w:t>
      </w:r>
      <w:r>
        <w:rPr>
          <w:rFonts w:hint="eastAsia" w:ascii="仿宋_GB2312" w:hAnsi="仿宋_GB2312" w:eastAsia="仿宋_GB2312" w:cs="仿宋_GB2312"/>
          <w:sz w:val="32"/>
          <w:szCs w:val="32"/>
        </w:rPr>
        <w:t>元，其中一般公共预算拨款收入</w:t>
      </w:r>
      <w:r>
        <w:rPr>
          <w:rFonts w:hint="eastAsia" w:ascii="仿宋_GB2312" w:hAnsi="仿宋_GB2312" w:eastAsia="仿宋_GB2312" w:cs="仿宋_GB2312"/>
          <w:kern w:val="0"/>
          <w:sz w:val="32"/>
          <w:szCs w:val="32"/>
        </w:rPr>
        <w:t>4673567.44</w:t>
      </w:r>
      <w:r>
        <w:rPr>
          <w:rFonts w:hint="eastAsia" w:ascii="仿宋_GB2312" w:hAnsi="仿宋_GB2312" w:eastAsia="仿宋_GB2312" w:cs="仿宋_GB2312"/>
          <w:sz w:val="32"/>
          <w:szCs w:val="32"/>
        </w:rPr>
        <w:t>元、政府性基金拨款收入0元，</w:t>
      </w:r>
      <w:r>
        <w:rPr>
          <w:rFonts w:hint="eastAsia" w:ascii="仿宋_GB2312" w:eastAsia="仿宋_GB2312"/>
          <w:sz w:val="32"/>
          <w:szCs w:val="32"/>
        </w:rPr>
        <w:t>2019年本部门</w:t>
      </w:r>
      <w:r>
        <w:rPr>
          <w:rFonts w:hint="eastAsia" w:ascii="仿宋_GB2312" w:hAnsi="仿宋_GB2312" w:eastAsia="仿宋_GB2312" w:cs="仿宋_GB2312"/>
          <w:sz w:val="32"/>
          <w:szCs w:val="32"/>
        </w:rPr>
        <w:t>一般公共预算拨款收入较</w:t>
      </w:r>
      <w:r>
        <w:rPr>
          <w:rFonts w:hint="eastAsia" w:ascii="仿宋_GB2312" w:eastAsia="仿宋_GB2312"/>
          <w:sz w:val="32"/>
          <w:szCs w:val="32"/>
        </w:rPr>
        <w:t>上年增加</w:t>
      </w:r>
      <w:r>
        <w:rPr>
          <w:rFonts w:hint="eastAsia" w:ascii="仿宋_GB2312" w:hAnsi="仿宋_GB2312" w:eastAsia="仿宋_GB2312" w:cs="仿宋_GB2312"/>
          <w:sz w:val="32"/>
          <w:szCs w:val="32"/>
        </w:rPr>
        <w:t>1039165.38</w:t>
      </w:r>
      <w:r>
        <w:rPr>
          <w:rFonts w:hint="eastAsia" w:ascii="仿宋_GB2312" w:eastAsia="仿宋_GB2312"/>
          <w:sz w:val="32"/>
          <w:szCs w:val="32"/>
        </w:rPr>
        <w:t>元，增长的主要原因是人员增加、机关事业单位基本养老保险制度改革及正常调出、退休、调资晋升、取暖费、住房公积金、医疗费等科目变动带来的经费变动；</w:t>
      </w:r>
      <w:r>
        <w:rPr>
          <w:rFonts w:ascii="仿宋_GB2312" w:hAnsi="仿宋_GB2312" w:eastAsia="仿宋_GB2312" w:cs="仿宋_GB2312"/>
          <w:sz w:val="32"/>
          <w:szCs w:val="32"/>
        </w:rPr>
        <w:t xml:space="preserve"> 2019</w:t>
      </w:r>
      <w:r>
        <w:rPr>
          <w:rFonts w:hint="eastAsia" w:ascii="仿宋_GB2312" w:hAnsi="仿宋_GB2312" w:eastAsia="仿宋_GB2312" w:cs="仿宋_GB2312"/>
          <w:sz w:val="32"/>
          <w:szCs w:val="32"/>
        </w:rPr>
        <w:t>年本部门财政拨款支出</w:t>
      </w:r>
      <w:r>
        <w:rPr>
          <w:rFonts w:hint="eastAsia" w:ascii="仿宋_GB2312" w:eastAsia="仿宋_GB2312"/>
          <w:sz w:val="32"/>
          <w:szCs w:val="32"/>
        </w:rPr>
        <w:t>4673567.44元</w:t>
      </w:r>
      <w:r>
        <w:rPr>
          <w:rFonts w:hint="eastAsia" w:ascii="仿宋_GB2312" w:hAnsi="仿宋_GB2312" w:eastAsia="仿宋_GB2312" w:cs="仿宋_GB2312"/>
          <w:sz w:val="32"/>
          <w:szCs w:val="32"/>
        </w:rPr>
        <w:t>，其中一般公共预算拨款支出</w:t>
      </w:r>
      <w:r>
        <w:rPr>
          <w:rFonts w:hint="eastAsia" w:ascii="仿宋_GB2312" w:eastAsia="仿宋_GB2312"/>
          <w:sz w:val="32"/>
          <w:szCs w:val="32"/>
        </w:rPr>
        <w:t>4673567.44元</w:t>
      </w:r>
      <w:r>
        <w:rPr>
          <w:rFonts w:hint="eastAsia" w:ascii="仿宋_GB2312" w:hAnsi="仿宋_GB2312" w:eastAsia="仿宋_GB2312" w:cs="仿宋_GB2312"/>
          <w:sz w:val="32"/>
          <w:szCs w:val="32"/>
        </w:rPr>
        <w:t>、政府性基金拨款支出0元，</w:t>
      </w: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年本部门财政拨款支出较上年增加1039165.38元，主要原因同上。</w:t>
      </w:r>
    </w:p>
    <w:p>
      <w:pPr>
        <w:ind w:firstLine="710" w:firstLineChars="221"/>
        <w:rPr>
          <w:rFonts w:ascii="仿宋_GB2312" w:hAnsi="仿宋_GB2312" w:eastAsia="仿宋_GB2312" w:cs="仿宋_GB2312"/>
          <w:b/>
          <w:sz w:val="32"/>
          <w:szCs w:val="32"/>
        </w:rPr>
      </w:pPr>
      <w:r>
        <w:rPr>
          <w:rFonts w:hint="eastAsia" w:ascii="仿宋_GB2312" w:hAnsi="仿宋_GB2312" w:eastAsia="仿宋_GB2312" w:cs="仿宋_GB2312"/>
          <w:b/>
          <w:sz w:val="32"/>
          <w:szCs w:val="32"/>
        </w:rPr>
        <w:t>（三）一般公共预算拨款支出明细情况。</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、一般公共预算当年拨款规模变化情况。</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2019</w:t>
      </w:r>
      <w:r>
        <w:rPr>
          <w:rFonts w:hint="eastAsia" w:ascii="仿宋_GB2312" w:hAnsi="仿宋_GB2312" w:eastAsia="仿宋_GB2312" w:cs="仿宋_GB2312"/>
          <w:sz w:val="32"/>
          <w:szCs w:val="32"/>
        </w:rPr>
        <w:t>年本部门一般公共预算拨款支出</w:t>
      </w:r>
      <w:r>
        <w:rPr>
          <w:rFonts w:hint="eastAsia" w:ascii="仿宋_GB2312" w:eastAsia="仿宋_GB2312"/>
          <w:sz w:val="32"/>
          <w:szCs w:val="32"/>
        </w:rPr>
        <w:t>4673567.44</w:t>
      </w:r>
      <w:r>
        <w:rPr>
          <w:rFonts w:hint="eastAsia" w:ascii="仿宋_GB2312" w:hAnsi="仿宋_GB2312" w:eastAsia="仿宋_GB2312" w:cs="仿宋_GB2312"/>
          <w:sz w:val="32"/>
          <w:szCs w:val="32"/>
        </w:rPr>
        <w:t>元，较上年增加1039165.38元，主要原因是机关</w:t>
      </w:r>
      <w:r>
        <w:rPr>
          <w:rFonts w:hint="eastAsia" w:ascii="仿宋_GB2312" w:hAnsi="仿宋_GB2312" w:eastAsia="仿宋_GB2312" w:cs="仿宋_GB2312"/>
          <w:color w:val="2B2B2B"/>
          <w:kern w:val="0"/>
          <w:sz w:val="32"/>
          <w:szCs w:val="32"/>
        </w:rPr>
        <w:t>人员增加、机关事业单位基本养老保险制度改革及正常调出、退休、调资晋升、取暖费、住房公积金、医疗费等科目变动带来的经费变动</w:t>
      </w:r>
      <w:r>
        <w:rPr>
          <w:rFonts w:hint="eastAsia" w:ascii="仿宋_GB2312" w:hAnsi="仿宋_GB2312" w:eastAsia="仿宋_GB2312" w:cs="仿宋_GB2312"/>
          <w:sz w:val="32"/>
          <w:szCs w:val="32"/>
        </w:rPr>
        <w:t>。</w:t>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、支出按功能科目分类的明细情况。</w:t>
      </w:r>
    </w:p>
    <w:p>
      <w:pPr>
        <w:widowControl/>
        <w:spacing w:line="360" w:lineRule="auto"/>
        <w:ind w:firstLine="627" w:firstLineChars="196"/>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1）行政运行（2010301）1753721.76元，其中人员经费1611721.76元、公用经费112000元、专项业务经费30000元，较上年增加424324.76元，原因是机关及参照公务员人员增加以及管理事业单位基本养老保险制度改革、正常调资晋档及公用支出定额提高，机关事业单位养老制度改革。</w:t>
      </w:r>
    </w:p>
    <w:p>
      <w:pPr>
        <w:widowControl/>
        <w:spacing w:line="360" w:lineRule="auto"/>
        <w:ind w:firstLine="627" w:firstLineChars="196"/>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（2）事业运行（2010350）2380039元，其中人员经费2266039元、公用经费114000元，较上年增长685913.5元，原因是事业单位基本养老保险制度改革、正常调资、新增人员。</w:t>
      </w:r>
    </w:p>
    <w:p>
      <w:pPr>
        <w:widowControl/>
        <w:spacing w:line="360" w:lineRule="auto"/>
        <w:ind w:firstLine="627" w:firstLineChars="196"/>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（3）基本养老保险缴费（2080505）392837.64元，较上年增加50725.08元，原因是基本养老保险制度改革。</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（4）职工医疗保险（201101）146969.04元，原因是医疗保险制度改革及本年度与人员经费分离。</w:t>
      </w:r>
    </w:p>
    <w:p>
      <w:pPr>
        <w:ind w:firstLine="640"/>
        <w:jc w:val="center"/>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5124450" cy="2124075"/>
            <wp:effectExtent l="19050" t="0" r="1905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ind w:firstLine="64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、支出按经济科目分类的明细情况</w:t>
      </w:r>
    </w:p>
    <w:p>
      <w:pPr>
        <w:ind w:firstLine="640"/>
        <w:rPr>
          <w:rFonts w:ascii="仿宋_GB2312" w:hAnsi="仿宋_GB2312" w:eastAsia="仿宋_GB2312" w:cs="仿宋_GB2312"/>
          <w:color w:val="2B2B2B"/>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）按照部门预算支出经济分类的类级科目说明。</w:t>
      </w:r>
      <w:r>
        <w:rPr>
          <w:rFonts w:hint="eastAsia" w:ascii="仿宋_GB2312" w:hAnsi="仿宋_GB2312" w:eastAsia="仿宋_GB2312" w:cs="仿宋_GB2312"/>
          <w:color w:val="2B2B2B"/>
          <w:kern w:val="0"/>
          <w:sz w:val="32"/>
          <w:szCs w:val="32"/>
        </w:rPr>
        <w:t>2019年本部门支出预算为4673567.44万元，其中工资福利支出（301）4014643.44元，较上年增长</w:t>
      </w:r>
      <w:r>
        <w:rPr>
          <w:rFonts w:hint="eastAsia" w:ascii="仿宋_GB2312" w:hAnsi="仿宋_GB2312" w:eastAsia="仿宋_GB2312" w:cs="仿宋_GB2312"/>
          <w:kern w:val="0"/>
          <w:sz w:val="32"/>
          <w:szCs w:val="32"/>
        </w:rPr>
        <w:t>787813.38</w:t>
      </w:r>
      <w:r>
        <w:rPr>
          <w:rFonts w:hint="eastAsia" w:ascii="仿宋_GB2312" w:hAnsi="仿宋_GB2312" w:eastAsia="仿宋_GB2312" w:cs="仿宋_GB2312"/>
          <w:color w:val="2B2B2B"/>
          <w:kern w:val="0"/>
          <w:sz w:val="32"/>
          <w:szCs w:val="32"/>
        </w:rPr>
        <w:t>元，原因是机关事业单位基本养老保险制度改革及正常调出、退休、调资晋升、取暖费、住房公积金、医疗费、人员新增等科目变动带来的经费变动；商品和服务支出（302）535444元，较上年增加194892元，原因是新增人员；对个人和家庭的补助（303）96480元，较上年增加59460元，原因是新增医疗费补助支出；资本性支出（310）27000元，较上年减少3000元，原因是与上年科目不同。</w:t>
      </w:r>
    </w:p>
    <w:p>
      <w:pPr>
        <w:widowControl/>
        <w:spacing w:line="360" w:lineRule="auto"/>
        <w:ind w:firstLine="627" w:firstLineChars="196"/>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drawing>
          <wp:inline distT="0" distB="0" distL="0" distR="0">
            <wp:extent cx="6867525" cy="2152650"/>
            <wp:effectExtent l="19050" t="0" r="9525"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ind w:firstLine="640"/>
        <w:rPr>
          <w:rFonts w:ascii="仿宋_GB2312" w:hAnsi="仿宋_GB2312" w:eastAsia="仿宋_GB2312" w:cs="仿宋_GB2312"/>
          <w:color w:val="2B2B2B"/>
          <w:kern w:val="0"/>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）按照政府预算支出经济分类的类级科目说明。</w:t>
      </w:r>
      <w:r>
        <w:rPr>
          <w:rFonts w:hint="eastAsia" w:ascii="仿宋_GB2312" w:hAnsi="仿宋_GB2312" w:eastAsia="仿宋_GB2312" w:cs="仿宋_GB2312"/>
          <w:color w:val="2B2B2B"/>
          <w:kern w:val="0"/>
          <w:sz w:val="32"/>
          <w:szCs w:val="32"/>
        </w:rPr>
        <w:t>2019年本部门一般公共预算支出为4673567.44万元，其中：</w:t>
      </w:r>
    </w:p>
    <w:p>
      <w:pPr>
        <w:ind w:firstLine="640"/>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机关工资福利支出（501）</w:t>
      </w:r>
      <w:r>
        <w:rPr>
          <w:rFonts w:hint="eastAsia" w:ascii="仿宋_GB2312" w:hAnsi="仿宋_GB2312" w:eastAsia="仿宋_GB2312" w:cs="仿宋_GB2312"/>
          <w:kern w:val="0"/>
          <w:sz w:val="32"/>
          <w:szCs w:val="32"/>
        </w:rPr>
        <w:t>4014643.44元，较上年增长787813.38元</w:t>
      </w:r>
      <w:r>
        <w:rPr>
          <w:rFonts w:hint="eastAsia" w:ascii="仿宋_GB2312" w:hAnsi="仿宋_GB2312" w:eastAsia="仿宋_GB2312" w:cs="仿宋_GB2312"/>
          <w:color w:val="2B2B2B"/>
          <w:kern w:val="0"/>
          <w:sz w:val="32"/>
          <w:szCs w:val="32"/>
        </w:rPr>
        <w:t>，原因是机关事业单位基本养老保险制度改革及正常调出、退休、调资晋升、取暖费、住房公积金、医疗费、人员新增等科目变动带来的经费变动；</w:t>
      </w:r>
    </w:p>
    <w:p>
      <w:pPr>
        <w:ind w:firstLine="640"/>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机关商品和服务支出(502)</w:t>
      </w:r>
      <w:r>
        <w:rPr>
          <w:rFonts w:hint="eastAsia" w:ascii="仿宋_GB2312" w:hAnsi="仿宋_GB2312" w:eastAsia="仿宋_GB2312" w:cs="仿宋_GB2312"/>
          <w:kern w:val="0"/>
          <w:sz w:val="32"/>
          <w:szCs w:val="32"/>
        </w:rPr>
        <w:t>535444</w:t>
      </w:r>
      <w:r>
        <w:rPr>
          <w:rFonts w:hint="eastAsia" w:ascii="仿宋_GB2312" w:hAnsi="仿宋_GB2312" w:eastAsia="仿宋_GB2312" w:cs="仿宋_GB2312"/>
          <w:color w:val="2B2B2B"/>
          <w:kern w:val="0"/>
          <w:sz w:val="32"/>
          <w:szCs w:val="32"/>
        </w:rPr>
        <w:t>元，较上年增加</w:t>
      </w:r>
      <w:r>
        <w:rPr>
          <w:rFonts w:hint="eastAsia" w:ascii="仿宋_GB2312" w:hAnsi="仿宋_GB2312" w:eastAsia="仿宋_GB2312" w:cs="仿宋_GB2312"/>
          <w:kern w:val="0"/>
          <w:sz w:val="32"/>
          <w:szCs w:val="32"/>
        </w:rPr>
        <w:t>194892</w:t>
      </w:r>
      <w:r>
        <w:rPr>
          <w:rFonts w:hint="eastAsia" w:ascii="仿宋_GB2312" w:hAnsi="仿宋_GB2312" w:eastAsia="仿宋_GB2312" w:cs="仿宋_GB2312"/>
          <w:color w:val="2B2B2B"/>
          <w:kern w:val="0"/>
          <w:sz w:val="32"/>
          <w:szCs w:val="32"/>
        </w:rPr>
        <w:t>元，原因是新增人员造成相关办公经费加大；</w:t>
      </w:r>
    </w:p>
    <w:p>
      <w:pPr>
        <w:ind w:firstLine="640"/>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机关资本性支出（一）（503）27000元，较上年减少3000元，原因为本年度设备购置增加，但其他资本性支出无预算；</w:t>
      </w:r>
    </w:p>
    <w:p>
      <w:pPr>
        <w:ind w:firstLine="640"/>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t>对事业单位经常性补助（505）0元，较上年减少265977元，原因事业单位人员功能科目集中管理；</w:t>
      </w:r>
    </w:p>
    <w:p>
      <w:pPr>
        <w:ind w:firstLine="640"/>
        <w:rPr>
          <w:rFonts w:ascii="仿宋_GB2312" w:hAnsi="仿宋_GB2312" w:eastAsia="仿宋_GB2312" w:cs="仿宋_GB2312"/>
          <w:color w:val="FF0000"/>
          <w:sz w:val="32"/>
          <w:szCs w:val="32"/>
          <w:highlight w:val="yellow"/>
        </w:rPr>
      </w:pPr>
      <w:r>
        <w:rPr>
          <w:rFonts w:hint="eastAsia" w:ascii="仿宋_GB2312" w:hAnsi="仿宋_GB2312" w:eastAsia="仿宋_GB2312" w:cs="仿宋_GB2312"/>
          <w:color w:val="2B2B2B"/>
          <w:kern w:val="0"/>
          <w:sz w:val="32"/>
          <w:szCs w:val="32"/>
        </w:rPr>
        <w:t>对个人和家庭补助</w:t>
      </w:r>
      <w:r>
        <w:rPr>
          <w:rFonts w:hint="eastAsia" w:ascii="仿宋_GB2312" w:hAnsi="仿宋_GB2312" w:eastAsia="仿宋_GB2312" w:cs="仿宋_GB2312"/>
          <w:kern w:val="0"/>
          <w:sz w:val="32"/>
          <w:szCs w:val="32"/>
        </w:rPr>
        <w:t>（509）96480</w:t>
      </w:r>
      <w:r>
        <w:rPr>
          <w:rFonts w:hint="eastAsia" w:ascii="仿宋_GB2312" w:hAnsi="仿宋_GB2312" w:eastAsia="仿宋_GB2312" w:cs="仿宋_GB2312"/>
          <w:color w:val="2B2B2B"/>
          <w:kern w:val="0"/>
          <w:sz w:val="32"/>
          <w:szCs w:val="32"/>
        </w:rPr>
        <w:t>元，较上年增加59460元，原因是福利费、医疗费补助等科目变动带来的经费变动。</w:t>
      </w:r>
    </w:p>
    <w:p>
      <w:pPr>
        <w:widowControl/>
        <w:spacing w:line="360" w:lineRule="auto"/>
        <w:ind w:firstLine="627" w:firstLineChars="196"/>
        <w:jc w:val="left"/>
        <w:textAlignment w:val="baseline"/>
        <w:rPr>
          <w:rFonts w:ascii="仿宋_GB2312" w:hAnsi="仿宋_GB2312" w:eastAsia="仿宋_GB2312" w:cs="仿宋_GB2312"/>
          <w:color w:val="2B2B2B"/>
          <w:kern w:val="0"/>
          <w:sz w:val="32"/>
          <w:szCs w:val="32"/>
        </w:rPr>
      </w:pPr>
      <w:r>
        <w:rPr>
          <w:rFonts w:hint="eastAsia" w:ascii="仿宋_GB2312" w:hAnsi="仿宋_GB2312" w:eastAsia="仿宋_GB2312" w:cs="仿宋_GB2312"/>
          <w:color w:val="2B2B2B"/>
          <w:kern w:val="0"/>
          <w:sz w:val="32"/>
          <w:szCs w:val="32"/>
        </w:rPr>
        <w:drawing>
          <wp:inline distT="0" distB="0" distL="0" distR="0">
            <wp:extent cx="6867525" cy="2152650"/>
            <wp:effectExtent l="19050" t="0" r="9525"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ind w:firstLine="640"/>
        <w:rPr>
          <w:rFonts w:ascii="仿宋_GB2312" w:hAnsi="仿宋_GB2312" w:eastAsia="仿宋_GB2312" w:cs="仿宋_GB2312"/>
          <w:b/>
          <w:sz w:val="32"/>
          <w:szCs w:val="32"/>
        </w:rPr>
      </w:pPr>
      <w:r>
        <w:rPr>
          <w:rFonts w:hint="eastAsia" w:ascii="仿宋_GB2312" w:hAnsi="仿宋_GB2312" w:eastAsia="仿宋_GB2312" w:cs="仿宋_GB2312"/>
          <w:b/>
          <w:sz w:val="32"/>
          <w:szCs w:val="32"/>
        </w:rPr>
        <w:t>（四）政府性基金预算支出情况。</w:t>
      </w:r>
    </w:p>
    <w:p>
      <w:pPr>
        <w:widowControl/>
        <w:spacing w:line="360" w:lineRule="auto"/>
        <w:ind w:firstLine="627" w:firstLineChars="196"/>
        <w:jc w:val="left"/>
        <w:textAlignment w:val="baseline"/>
        <w:rPr>
          <w:rFonts w:ascii="仿宋_GB2312" w:hAnsi="仿宋_GB2312" w:eastAsia="仿宋_GB2312" w:cs="仿宋_GB2312"/>
          <w:sz w:val="32"/>
          <w:szCs w:val="32"/>
        </w:rPr>
      </w:pPr>
      <w:r>
        <w:rPr>
          <w:rFonts w:hint="eastAsia" w:ascii="仿宋_GB2312" w:hAnsi="仿宋_GB2312" w:eastAsia="仿宋_GB2312" w:cs="仿宋_GB2312"/>
          <w:color w:val="2B2B2B"/>
          <w:kern w:val="0"/>
          <w:sz w:val="32"/>
          <w:szCs w:val="32"/>
        </w:rPr>
        <w:t>2019年本部门无政府性基金预算收支</w:t>
      </w:r>
      <w:r>
        <w:rPr>
          <w:rFonts w:hint="eastAsia" w:ascii="仿宋_GB2312" w:hAnsi="仿宋_GB2312" w:eastAsia="仿宋_GB2312" w:cs="仿宋_GB2312"/>
          <w:sz w:val="32"/>
          <w:szCs w:val="32"/>
        </w:rPr>
        <w:t>，并已公开空表。</w:t>
      </w:r>
    </w:p>
    <w:p>
      <w:pPr>
        <w:widowControl/>
        <w:spacing w:line="360" w:lineRule="auto"/>
        <w:ind w:firstLine="630" w:firstLineChars="196"/>
        <w:jc w:val="left"/>
        <w:textAlignment w:val="baseline"/>
        <w:rPr>
          <w:rFonts w:ascii="仿宋_GB2312" w:hAnsi="仿宋_GB2312" w:eastAsia="仿宋_GB2312" w:cs="仿宋_GB2312"/>
          <w:b/>
          <w:sz w:val="32"/>
          <w:szCs w:val="32"/>
        </w:rPr>
      </w:pPr>
      <w:r>
        <w:rPr>
          <w:rFonts w:hint="eastAsia" w:ascii="仿宋_GB2312" w:hAnsi="仿宋_GB2312" w:eastAsia="仿宋_GB2312" w:cs="仿宋_GB2312"/>
          <w:b/>
          <w:sz w:val="32"/>
          <w:szCs w:val="32"/>
        </w:rPr>
        <w:t>（五）国有资本经营预算拨款收支情况。</w:t>
      </w: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2019年本部门无国有资本经营预算拨款收支。</w:t>
      </w:r>
    </w:p>
    <w:p>
      <w:pPr>
        <w:ind w:firstLine="640"/>
        <w:rPr>
          <w:rFonts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（六） “三公”经费等预算情况。</w:t>
      </w:r>
    </w:p>
    <w:p>
      <w:pPr>
        <w:widowControl/>
        <w:spacing w:line="360" w:lineRule="auto"/>
        <w:ind w:firstLine="627" w:firstLineChars="196"/>
        <w:jc w:val="left"/>
        <w:textAlignment w:val="baseline"/>
        <w:rPr>
          <w:rFonts w:ascii="仿宋_GB2312" w:hAnsi="仿宋_GB2312" w:eastAsia="仿宋_GB2312" w:cs="仿宋_GB2312"/>
          <w:color w:val="333333"/>
          <w:kern w:val="0"/>
          <w:sz w:val="32"/>
          <w:szCs w:val="32"/>
        </w:rPr>
      </w:pPr>
      <w:r>
        <w:rPr>
          <w:rFonts w:hint="eastAsia" w:ascii="仿宋_GB2312" w:hAnsi="仿宋_GB2312" w:eastAsia="仿宋_GB2312" w:cs="仿宋_GB2312"/>
          <w:color w:val="2B2B2B"/>
          <w:kern w:val="0"/>
          <w:sz w:val="32"/>
          <w:szCs w:val="32"/>
        </w:rPr>
        <w:t>2019年“三公”经费预算0元，其中因公出国（境）费用 0元，公务用车购置运行费0元，公务接待费用0元,因公车改革已无公车，因此公车购置及运行维护费为0元，</w:t>
      </w:r>
      <w:r>
        <w:rPr>
          <w:rFonts w:hint="eastAsia" w:ascii="仿宋_GB2312" w:hAnsi="仿宋_GB2312" w:eastAsia="仿宋_GB2312" w:cs="仿宋_GB2312"/>
          <w:color w:val="333333"/>
          <w:kern w:val="0"/>
          <w:sz w:val="32"/>
          <w:szCs w:val="32"/>
        </w:rPr>
        <w:t>较去年同期持平。</w:t>
      </w:r>
    </w:p>
    <w:p>
      <w:pPr>
        <w:widowControl/>
        <w:spacing w:line="360" w:lineRule="auto"/>
        <w:ind w:firstLine="627" w:firstLineChars="196"/>
        <w:jc w:val="left"/>
        <w:textAlignment w:val="baseline"/>
        <w:rPr>
          <w:rFonts w:hint="eastAsia" w:ascii="仿宋_GB2312" w:hAnsi="仿宋_GB2312" w:eastAsia="仿宋_GB2312" w:cs="仿宋_GB2312"/>
          <w:color w:val="333333"/>
          <w:kern w:val="0"/>
          <w:sz w:val="32"/>
          <w:szCs w:val="32"/>
        </w:rPr>
      </w:pPr>
      <w:r>
        <w:rPr>
          <w:rFonts w:hint="eastAsia" w:ascii="仿宋_GB2312" w:hAnsi="仿宋_GB2312" w:eastAsia="仿宋_GB2312" w:cs="仿宋_GB2312"/>
          <w:color w:val="333333"/>
          <w:kern w:val="0"/>
          <w:sz w:val="32"/>
          <w:szCs w:val="32"/>
        </w:rPr>
        <w:t>2019年本部门会议费０元，培训费０元，较去年持平。</w:t>
      </w:r>
    </w:p>
    <w:p>
      <w:pPr>
        <w:widowControl/>
        <w:spacing w:line="360" w:lineRule="auto"/>
        <w:ind w:firstLine="630" w:firstLineChars="196"/>
        <w:jc w:val="left"/>
        <w:textAlignment w:val="baseline"/>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（七）机关运行经费安排情况。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2019年本单位机关运行经费财政拨款预算安排) 535444元，较上年增加210600元，主要原因是人员增加以及新增事业人员交通补贴。</w:t>
      </w:r>
    </w:p>
    <w:p>
      <w:pPr>
        <w:spacing w:line="360" w:lineRule="auto"/>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（八）政府采购情况。</w:t>
      </w:r>
    </w:p>
    <w:p>
      <w:pPr>
        <w:spacing w:line="360" w:lineRule="auto"/>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2019年本部门政府采购预算共39000元，其中一般公共预算拨款27000元、上年结转12000元，分别用于政府采购货物类预算27000元、政府采购服务类预算0元、政府采购工程类预算0元。</w:t>
      </w:r>
    </w:p>
    <w:p>
      <w:pPr>
        <w:spacing w:line="360" w:lineRule="auto"/>
        <w:ind w:firstLine="640" w:firstLineChars="200"/>
        <w:rPr>
          <w:rFonts w:hint="eastAsia" w:ascii="黑体" w:hAnsi="黑体" w:eastAsia="黑体" w:cs="黑体"/>
          <w:sz w:val="32"/>
          <w:szCs w:val="32"/>
        </w:rPr>
      </w:pPr>
      <w:r>
        <w:rPr>
          <w:rFonts w:hint="eastAsia" w:ascii="黑体" w:hAnsi="黑体" w:eastAsia="黑体" w:cs="黑体"/>
          <w:sz w:val="32"/>
          <w:szCs w:val="32"/>
        </w:rPr>
        <w:t>八、201</w:t>
      </w:r>
      <w:r>
        <w:rPr>
          <w:rFonts w:hint="eastAsia" w:ascii="黑体" w:hAnsi="黑体" w:eastAsia="黑体" w:cs="黑体"/>
          <w:sz w:val="32"/>
          <w:szCs w:val="32"/>
          <w:lang w:val="en-US" w:eastAsia="zh-CN"/>
        </w:rPr>
        <w:t>9</w:t>
      </w:r>
      <w:r>
        <w:rPr>
          <w:rFonts w:hint="eastAsia" w:ascii="黑体" w:hAnsi="黑体" w:eastAsia="黑体" w:cs="黑体"/>
          <w:sz w:val="32"/>
          <w:szCs w:val="32"/>
        </w:rPr>
        <w:t>年专项资金预算说明</w:t>
      </w:r>
    </w:p>
    <w:p>
      <w:pPr>
        <w:widowControl/>
        <w:spacing w:line="360" w:lineRule="auto"/>
        <w:ind w:firstLine="627" w:firstLineChars="196"/>
        <w:jc w:val="left"/>
        <w:textAlignment w:val="baseline"/>
        <w:rPr>
          <w:rFonts w:ascii="仿宋_GB2312" w:hAnsi="仿宋_GB2312" w:eastAsia="仿宋_GB2312" w:cs="仿宋_GB2312"/>
          <w:color w:val="0000FF"/>
          <w:kern w:val="0"/>
          <w:sz w:val="32"/>
          <w:szCs w:val="32"/>
        </w:rPr>
      </w:pPr>
      <w:r>
        <w:rPr>
          <w:rFonts w:hint="eastAsia" w:ascii="仿宋_GB2312" w:hAnsi="仿宋_GB2312" w:eastAsia="仿宋_GB2312" w:cs="仿宋_GB2312"/>
          <w:sz w:val="32"/>
          <w:szCs w:val="32"/>
        </w:rPr>
        <w:t>2019年本部门无</w:t>
      </w:r>
      <w:r>
        <w:rPr>
          <w:rFonts w:hint="eastAsia" w:ascii="仿宋_GB2312" w:hAnsi="仿宋_GB2312" w:eastAsia="仿宋_GB2312" w:cs="仿宋_GB2312"/>
          <w:sz w:val="32"/>
          <w:szCs w:val="32"/>
          <w:lang w:eastAsia="zh-CN"/>
        </w:rPr>
        <w:t>专项资金预算支出，并已公开空表。</w:t>
      </w:r>
      <w:bookmarkStart w:id="0" w:name="_GoBack"/>
      <w:bookmarkEnd w:id="0"/>
    </w:p>
    <w:p>
      <w:pPr>
        <w:ind w:firstLine="640"/>
        <w:rPr>
          <w:rFonts w:ascii="黑体" w:hAnsi="黑体" w:eastAsia="黑体" w:cs="仿宋_GB2312"/>
          <w:sz w:val="32"/>
          <w:szCs w:val="32"/>
        </w:rPr>
      </w:pPr>
      <w:r>
        <w:rPr>
          <w:rFonts w:hint="eastAsia" w:ascii="黑体" w:hAnsi="黑体" w:eastAsia="黑体" w:cs="仿宋_GB2312"/>
          <w:sz w:val="32"/>
          <w:szCs w:val="32"/>
        </w:rPr>
        <w:t>九、专业名词解释</w:t>
      </w:r>
    </w:p>
    <w:p>
      <w:pPr>
        <w:ind w:firstLine="640"/>
        <w:rPr>
          <w:rFonts w:ascii="仿宋_GB2312" w:hAnsi="仿宋_GB2312" w:eastAsia="仿宋_GB2312" w:cs="仿宋_GB2312"/>
          <w:sz w:val="32"/>
          <w:szCs w:val="32"/>
        </w:rPr>
      </w:pPr>
      <w:r>
        <w:rPr>
          <w:rFonts w:ascii="仿宋_GB2312" w:hAnsi="仿宋_GB2312" w:eastAsia="仿宋_GB2312" w:cs="仿宋_GB2312"/>
          <w:b/>
          <w:bCs/>
          <w:sz w:val="32"/>
          <w:szCs w:val="32"/>
        </w:rPr>
        <w:t>1</w:t>
      </w:r>
      <w:r>
        <w:rPr>
          <w:rFonts w:hint="eastAsia" w:ascii="仿宋_GB2312" w:hAnsi="仿宋_GB2312" w:eastAsia="仿宋_GB2312" w:cs="仿宋_GB2312"/>
          <w:b/>
          <w:bCs/>
          <w:sz w:val="32"/>
          <w:szCs w:val="32"/>
        </w:rPr>
        <w:t>、机关运行经费</w:t>
      </w:r>
      <w:r>
        <w:rPr>
          <w:rFonts w:hint="eastAsia" w:ascii="仿宋_GB2312" w:hAnsi="仿宋_GB2312" w:eastAsia="仿宋_GB2312" w:cs="仿宋_GB2312"/>
          <w:sz w:val="32"/>
          <w:szCs w:val="32"/>
        </w:rPr>
        <w:t>：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rPr>
          <w:rFonts w:ascii="仿宋_GB2312" w:hAnsi="仿宋_GB2312" w:eastAsia="仿宋_GB2312" w:cs="仿宋_GB2312"/>
          <w:sz w:val="32"/>
          <w:szCs w:val="32"/>
        </w:rPr>
      </w:pPr>
      <w:r>
        <w:rPr>
          <w:rStyle w:val="8"/>
          <w:rFonts w:hint="eastAsia" w:ascii="仿宋_GB2312" w:hAnsi="仿宋" w:eastAsia="仿宋_GB2312"/>
          <w:b/>
          <w:bCs/>
          <w:color w:val="333333"/>
          <w:sz w:val="32"/>
          <w:szCs w:val="32"/>
          <w:shd w:val="clear" w:color="auto" w:fill="FFFFFF"/>
        </w:rPr>
        <w:t>2、“三公”经费</w:t>
      </w:r>
      <w:r>
        <w:rPr>
          <w:rFonts w:hint="eastAsia" w:ascii="仿宋_GB2312" w:hAnsi="仿宋" w:eastAsia="仿宋_GB2312"/>
          <w:b/>
          <w:bCs/>
          <w:color w:val="333333"/>
          <w:sz w:val="32"/>
          <w:szCs w:val="32"/>
          <w:shd w:val="clear" w:color="auto" w:fill="FFFFFF"/>
        </w:rPr>
        <w:t>：</w:t>
      </w:r>
      <w:r>
        <w:rPr>
          <w:rFonts w:hint="eastAsia" w:ascii="仿宋_GB2312" w:hAnsi="仿宋" w:eastAsia="仿宋_GB2312"/>
          <w:color w:val="333333"/>
          <w:sz w:val="32"/>
          <w:szCs w:val="32"/>
          <w:shd w:val="clear" w:color="auto" w:fill="FFFFFF"/>
        </w:rPr>
        <w:t>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ind w:firstLine="640"/>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以上公开内容，均已通过保密审查及本部门主要负责人审签。</w:t>
      </w:r>
    </w:p>
    <w:p>
      <w:pPr>
        <w:ind w:firstLine="640"/>
        <w:rPr>
          <w:rFonts w:ascii="黑体" w:hAnsi="黑体" w:eastAsia="黑体"/>
          <w:color w:val="333333"/>
          <w:sz w:val="32"/>
          <w:szCs w:val="32"/>
          <w:shd w:val="clear" w:color="auto" w:fill="FFFFFF"/>
        </w:rPr>
      </w:pPr>
    </w:p>
    <w:p>
      <w:pPr>
        <w:ind w:firstLine="640"/>
        <w:rPr>
          <w:rFonts w:ascii="黑体" w:hAnsi="黑体" w:eastAsia="黑体"/>
          <w:color w:val="333333"/>
          <w:sz w:val="32"/>
          <w:szCs w:val="32"/>
          <w:shd w:val="clear" w:color="auto" w:fill="FFFFFF"/>
        </w:rPr>
      </w:pPr>
    </w:p>
    <w:p>
      <w:pPr>
        <w:ind w:firstLine="640"/>
        <w:rPr>
          <w:rFonts w:ascii="黑体" w:hAnsi="黑体" w:eastAsia="黑体"/>
          <w:color w:val="333333"/>
          <w:sz w:val="32"/>
          <w:szCs w:val="32"/>
          <w:shd w:val="clear" w:color="auto" w:fill="FFFFFF"/>
        </w:rPr>
      </w:pPr>
    </w:p>
    <w:p>
      <w:pPr>
        <w:ind w:firstLine="640"/>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　                                  单位名称： 宝鸡市渭滨区桥南街道办事处</w:t>
      </w:r>
    </w:p>
    <w:p>
      <w:pPr>
        <w:ind w:firstLine="640"/>
        <w:rPr>
          <w:rFonts w:ascii="黑体" w:hAnsi="黑体" w:eastAsia="黑体"/>
          <w:color w:val="333333"/>
          <w:sz w:val="32"/>
          <w:szCs w:val="32"/>
          <w:shd w:val="clear" w:color="auto" w:fill="FFFFFF"/>
        </w:rPr>
      </w:pPr>
      <w:r>
        <w:rPr>
          <w:rFonts w:hint="eastAsia" w:ascii="黑体" w:hAnsi="黑体" w:eastAsia="黑体"/>
          <w:color w:val="333333"/>
          <w:sz w:val="32"/>
          <w:szCs w:val="32"/>
          <w:shd w:val="clear" w:color="auto" w:fill="FFFFFF"/>
        </w:rPr>
        <w:t xml:space="preserve">                                    负责人签字：  </w:t>
      </w:r>
    </w:p>
    <w:p>
      <w:pPr>
        <w:ind w:firstLine="6240" w:firstLineChars="1950"/>
      </w:pPr>
      <w:r>
        <w:rPr>
          <w:rFonts w:hint="eastAsia" w:ascii="黑体" w:hAnsi="黑体" w:eastAsia="黑体"/>
          <w:color w:val="333333"/>
          <w:sz w:val="32"/>
          <w:szCs w:val="32"/>
          <w:shd w:val="clear" w:color="auto" w:fill="FFFFFF"/>
        </w:rPr>
        <w:t xml:space="preserve"> 时      间：</w:t>
      </w:r>
      <w:r>
        <w:rPr>
          <w:rFonts w:ascii="黑体" w:hAnsi="黑体" w:eastAsia="黑体"/>
          <w:color w:val="333333"/>
          <w:sz w:val="32"/>
          <w:szCs w:val="32"/>
          <w:shd w:val="clear" w:color="auto" w:fill="FFFFFF"/>
        </w:rPr>
        <w:t>2019年1月2日</w:t>
      </w:r>
      <w:r>
        <w:rPr>
          <w:rFonts w:hint="eastAsia" w:ascii="黑体" w:hAnsi="黑体" w:eastAsia="黑体"/>
          <w:color w:val="333333"/>
          <w:sz w:val="32"/>
          <w:szCs w:val="32"/>
          <w:shd w:val="clear" w:color="auto" w:fill="FFFFFF"/>
        </w:rPr>
        <w:t xml:space="preserve"> </w:t>
      </w:r>
    </w:p>
    <w:sectPr>
      <w:headerReference r:id="rId3" w:type="default"/>
      <w:pgSz w:w="16838" w:h="11906" w:orient="landscape"/>
      <w:pgMar w:top="1560" w:right="1413" w:bottom="567" w:left="1985"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13518"/>
    <w:rsid w:val="00014401"/>
    <w:rsid w:val="0006578B"/>
    <w:rsid w:val="000A6D89"/>
    <w:rsid w:val="000B5D43"/>
    <w:rsid w:val="000D6552"/>
    <w:rsid w:val="000E179E"/>
    <w:rsid w:val="000E1E69"/>
    <w:rsid w:val="000F2F9D"/>
    <w:rsid w:val="000F6ADF"/>
    <w:rsid w:val="0012382D"/>
    <w:rsid w:val="0016519B"/>
    <w:rsid w:val="00167FBE"/>
    <w:rsid w:val="001C21C8"/>
    <w:rsid w:val="001F21A8"/>
    <w:rsid w:val="00205A82"/>
    <w:rsid w:val="00217D2E"/>
    <w:rsid w:val="00230731"/>
    <w:rsid w:val="00252A51"/>
    <w:rsid w:val="0026237E"/>
    <w:rsid w:val="00280B96"/>
    <w:rsid w:val="002F0952"/>
    <w:rsid w:val="003238D5"/>
    <w:rsid w:val="00394F15"/>
    <w:rsid w:val="003F7DF3"/>
    <w:rsid w:val="00406EA9"/>
    <w:rsid w:val="004119E8"/>
    <w:rsid w:val="00417DFA"/>
    <w:rsid w:val="00437F71"/>
    <w:rsid w:val="004421EC"/>
    <w:rsid w:val="0044774B"/>
    <w:rsid w:val="00456A07"/>
    <w:rsid w:val="004773B6"/>
    <w:rsid w:val="00482BE6"/>
    <w:rsid w:val="004A6E29"/>
    <w:rsid w:val="004A7536"/>
    <w:rsid w:val="004C2267"/>
    <w:rsid w:val="004D510A"/>
    <w:rsid w:val="004D6A87"/>
    <w:rsid w:val="004F28B1"/>
    <w:rsid w:val="005312E7"/>
    <w:rsid w:val="005506E5"/>
    <w:rsid w:val="00563F9F"/>
    <w:rsid w:val="00587C81"/>
    <w:rsid w:val="005A6E7F"/>
    <w:rsid w:val="005C655B"/>
    <w:rsid w:val="00621EEB"/>
    <w:rsid w:val="006429BD"/>
    <w:rsid w:val="00645216"/>
    <w:rsid w:val="00655C91"/>
    <w:rsid w:val="00685011"/>
    <w:rsid w:val="006B1405"/>
    <w:rsid w:val="006D3A88"/>
    <w:rsid w:val="006E07AC"/>
    <w:rsid w:val="006E5B2C"/>
    <w:rsid w:val="0071438E"/>
    <w:rsid w:val="007277EF"/>
    <w:rsid w:val="00727DA2"/>
    <w:rsid w:val="00732101"/>
    <w:rsid w:val="00752ECA"/>
    <w:rsid w:val="007A0008"/>
    <w:rsid w:val="007C6236"/>
    <w:rsid w:val="00801C5D"/>
    <w:rsid w:val="00812D5D"/>
    <w:rsid w:val="00826DD1"/>
    <w:rsid w:val="00880473"/>
    <w:rsid w:val="008B2AA0"/>
    <w:rsid w:val="00900ED9"/>
    <w:rsid w:val="00936B54"/>
    <w:rsid w:val="009509D4"/>
    <w:rsid w:val="00963812"/>
    <w:rsid w:val="009C7FC3"/>
    <w:rsid w:val="00A04722"/>
    <w:rsid w:val="00A048A0"/>
    <w:rsid w:val="00A13249"/>
    <w:rsid w:val="00A57F4B"/>
    <w:rsid w:val="00A62322"/>
    <w:rsid w:val="00A6698F"/>
    <w:rsid w:val="00AD432C"/>
    <w:rsid w:val="00AE2563"/>
    <w:rsid w:val="00B02E56"/>
    <w:rsid w:val="00B47C11"/>
    <w:rsid w:val="00BB378E"/>
    <w:rsid w:val="00BD085C"/>
    <w:rsid w:val="00BD7AF2"/>
    <w:rsid w:val="00BE700F"/>
    <w:rsid w:val="00BF3EC7"/>
    <w:rsid w:val="00BF64EC"/>
    <w:rsid w:val="00C26329"/>
    <w:rsid w:val="00D312D3"/>
    <w:rsid w:val="00D330B4"/>
    <w:rsid w:val="00D43D4A"/>
    <w:rsid w:val="00D54AB5"/>
    <w:rsid w:val="00D87028"/>
    <w:rsid w:val="00D90E87"/>
    <w:rsid w:val="00DB6607"/>
    <w:rsid w:val="00DB723A"/>
    <w:rsid w:val="00DD5884"/>
    <w:rsid w:val="00E12DC1"/>
    <w:rsid w:val="00E540E9"/>
    <w:rsid w:val="00E6314F"/>
    <w:rsid w:val="00E72E79"/>
    <w:rsid w:val="00E80761"/>
    <w:rsid w:val="00EA29B3"/>
    <w:rsid w:val="00EC297D"/>
    <w:rsid w:val="00EC515A"/>
    <w:rsid w:val="00EE42EF"/>
    <w:rsid w:val="00F13518"/>
    <w:rsid w:val="00F17257"/>
    <w:rsid w:val="00F27020"/>
    <w:rsid w:val="00F446BB"/>
    <w:rsid w:val="00F72AA6"/>
    <w:rsid w:val="00F926E7"/>
    <w:rsid w:val="00FA7283"/>
    <w:rsid w:val="00FC1702"/>
    <w:rsid w:val="0CF77C5A"/>
    <w:rsid w:val="201D6529"/>
    <w:rsid w:val="2E124B6E"/>
    <w:rsid w:val="7C4A3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semiHidden/>
    <w:unhideWhenUsed/>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character" w:customStyle="1" w:styleId="9">
    <w:name w:val="页眉 Char"/>
    <w:basedOn w:val="7"/>
    <w:link w:val="4"/>
    <w:semiHidden/>
    <w:qFormat/>
    <w:uiPriority w:val="99"/>
    <w:rPr>
      <w:rFonts w:ascii="Calibri" w:hAnsi="Calibri" w:eastAsia="宋体" w:cs="Times New Roman"/>
      <w:sz w:val="18"/>
      <w:szCs w:val="18"/>
    </w:rPr>
  </w:style>
  <w:style w:type="character" w:customStyle="1" w:styleId="10">
    <w:name w:val="页脚 Char"/>
    <w:basedOn w:val="7"/>
    <w:link w:val="3"/>
    <w:semiHidden/>
    <w:qFormat/>
    <w:uiPriority w:val="99"/>
    <w:rPr>
      <w:rFonts w:ascii="Calibri" w:hAnsi="Calibri" w:eastAsia="宋体" w:cs="Times New Roman"/>
      <w:sz w:val="18"/>
      <w:szCs w:val="18"/>
    </w:rPr>
  </w:style>
  <w:style w:type="character" w:customStyle="1" w:styleId="11">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4.xml"/><Relationship Id="rId7" Type="http://schemas.openxmlformats.org/officeDocument/2006/relationships/chart" Target="charts/chart3.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r>
              <a:rPr lang="zh-CN" altLang="en-US"/>
              <a:t>人员情况图</a:t>
            </a:r>
            <a:endParaRPr lang="zh-CN" altLang="en-US"/>
          </a:p>
        </c:rich>
      </c:tx>
      <c:layout>
        <c:manualLayout>
          <c:xMode val="edge"/>
          <c:yMode val="edge"/>
          <c:x val="0.394014962593518"/>
          <c:y val="0.0200803212851406"/>
        </c:manualLayout>
      </c:layout>
      <c:overlay val="0"/>
      <c:spPr>
        <a:noFill/>
        <a:ln w="25400">
          <a:noFill/>
        </a:ln>
      </c:spPr>
    </c:title>
    <c:autoTitleDeleted val="0"/>
    <c:plotArea>
      <c:layout>
        <c:manualLayout>
          <c:layoutTarget val="inner"/>
          <c:xMode val="edge"/>
          <c:yMode val="edge"/>
          <c:x val="0.266832917705736"/>
          <c:y val="0.441767068273092"/>
          <c:w val="0.154613466334165"/>
          <c:h val="0.248995983935744"/>
        </c:manualLayout>
      </c:layout>
      <c:pieChart>
        <c:varyColors val="1"/>
        <c:ser>
          <c:idx val="0"/>
          <c:order val="0"/>
          <c:tx>
            <c:strRef>
              <c:f>Sheet1!$A$2</c:f>
              <c:strCache>
                <c:ptCount val="1"/>
                <c:pt idx="0">
                  <c:v/>
                </c:pt>
              </c:strCache>
            </c:strRef>
          </c:tx>
          <c:spPr>
            <a:solidFill>
              <a:srgbClr val="9999FF"/>
            </a:solidFill>
            <a:ln w="12700">
              <a:solidFill>
                <a:srgbClr val="000000"/>
              </a:solidFill>
              <a:prstDash val="solid"/>
            </a:ln>
          </c:spPr>
          <c:explosion val="0"/>
          <c:dPt>
            <c:idx val="0"/>
            <c:bubble3D val="0"/>
            <c:spPr>
              <a:solidFill>
                <a:srgbClr val="9999FF"/>
              </a:solidFill>
              <a:ln w="12700">
                <a:solidFill>
                  <a:srgbClr val="000000"/>
                </a:solidFill>
                <a:prstDash val="solid"/>
              </a:ln>
            </c:spPr>
          </c:dPt>
          <c:dPt>
            <c:idx val="1"/>
            <c:bubble3D val="0"/>
            <c:spPr>
              <a:solidFill>
                <a:srgbClr val="993366"/>
              </a:solidFill>
              <a:ln w="12700">
                <a:solidFill>
                  <a:srgbClr val="000000"/>
                </a:solidFill>
                <a:prstDash val="solid"/>
              </a:ln>
            </c:spPr>
          </c:dPt>
          <c:dPt>
            <c:idx val="2"/>
            <c:bubble3D val="0"/>
            <c:spPr>
              <a:solidFill>
                <a:srgbClr val="FFFFCC"/>
              </a:solidFill>
              <a:ln w="12700">
                <a:solidFill>
                  <a:srgbClr val="000000"/>
                </a:solidFill>
                <a:prstDash val="solid"/>
              </a:ln>
            </c:spPr>
          </c:dPt>
          <c:dLbls>
            <c:numFmt formatCode="0%" sourceLinked="0"/>
            <c:spPr>
              <a:noFill/>
              <a:ln w="25400">
                <a:noFill/>
              </a:ln>
              <a:effectLst/>
            </c:spPr>
            <c:txPr>
              <a:bodyPr rot="0" spcFirstLastPara="0" vertOverflow="ellipsis" vert="horz" wrap="square" lIns="38100" tIns="19050" rIns="38100" bIns="19050" anchor="ctr" anchorCtr="1"/>
              <a:lstStyle/>
              <a:p>
                <a:pPr>
                  <a:defRPr lang="zh-CN" sz="12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dLblPos val="bestFit"/>
            <c:showLegendKey val="0"/>
            <c:showVal val="0"/>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Sheet1!$B$1:$D$1</c:f>
              <c:strCache>
                <c:ptCount val="3"/>
                <c:pt idx="0">
                  <c:v>在职行政人员</c:v>
                </c:pt>
                <c:pt idx="1">
                  <c:v>在职事业人员</c:v>
                </c:pt>
                <c:pt idx="2">
                  <c:v>退休人员</c:v>
                </c:pt>
              </c:strCache>
            </c:strRef>
          </c:cat>
          <c:val>
            <c:numRef>
              <c:f>Sheet1!$B$2:$D$2</c:f>
              <c:numCache>
                <c:formatCode>General</c:formatCode>
                <c:ptCount val="3"/>
                <c:pt idx="0">
                  <c:v>0.2264</c:v>
                </c:pt>
                <c:pt idx="1">
                  <c:v>0.4151</c:v>
                </c:pt>
                <c:pt idx="2">
                  <c:v>0.3585</c:v>
                </c:pt>
              </c:numCache>
            </c:numRef>
          </c:val>
        </c:ser>
        <c:dLbls>
          <c:showLegendKey val="0"/>
          <c:showVal val="0"/>
          <c:showCatName val="1"/>
          <c:showSerName val="0"/>
          <c:showPercent val="1"/>
          <c:showBubbleSize val="0"/>
          <c:showLeaderLines val="1"/>
        </c:dLbls>
        <c:firstSliceAng val="0"/>
      </c:pieChart>
      <c:spPr>
        <a:solidFill>
          <a:srgbClr val="C0C0C0"/>
        </a:solidFill>
        <a:ln w="12700">
          <a:solidFill>
            <a:srgbClr val="808080"/>
          </a:solidFill>
          <a:prstDash val="solid"/>
        </a:ln>
      </c:spPr>
    </c:plotArea>
    <c:legend>
      <c:legendPos val="r"/>
      <c:layout>
        <c:manualLayout>
          <c:xMode val="edge"/>
          <c:yMode val="edge"/>
          <c:x val="0.690773067331673"/>
          <c:y val="0.437751004016064"/>
          <c:w val="0.29925187032419"/>
          <c:h val="0.257028112449799"/>
        </c:manualLayout>
      </c:layout>
      <c:overlay val="0"/>
      <c:spPr>
        <a:solidFill>
          <a:srgbClr val="FFFFFF"/>
        </a:solidFill>
        <a:ln w="3175">
          <a:solidFill>
            <a:srgbClr val="000000"/>
          </a:solidFill>
          <a:prstDash val="solid"/>
        </a:ln>
      </c:spPr>
      <c:txPr>
        <a:bodyPr rot="0" spcFirstLastPara="0" vertOverflow="ellipsis" vert="horz" wrap="square" anchor="ctr" anchorCtr="1"/>
        <a:lstStyle/>
        <a:p>
          <a:pPr>
            <a:defRPr lang="zh-CN" sz="11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legend>
    <c:plotVisOnly val="1"/>
    <c:dispBlanksAs val="zero"/>
    <c:showDLblsOverMax val="0"/>
  </c:chart>
  <c:spPr>
    <a:noFill/>
  </c:spPr>
  <c:txPr>
    <a:bodyPr/>
    <a:lstStyle/>
    <a:p>
      <a:pPr>
        <a:defRPr lang="zh-CN" sz="12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支出分类情况图</c:v>
                </c:pt>
              </c:strCache>
            </c:strRef>
          </c:tx>
          <c:explosion val="0"/>
          <c:dPt>
            <c:idx val="0"/>
            <c:bubble3D val="0"/>
          </c:dPt>
          <c:dPt>
            <c:idx val="1"/>
            <c:bubble3D val="0"/>
          </c:dPt>
          <c:dPt>
            <c:idx val="2"/>
            <c:bubble3D val="0"/>
          </c:dPt>
          <c:dPt>
            <c:idx val="3"/>
            <c:bubble3D val="0"/>
          </c:dPt>
          <c:dLbls>
            <c:delete val="1"/>
          </c:dLbls>
          <c:cat>
            <c:strRef>
              <c:f>Sheet1!$A$2:$A$5</c:f>
              <c:strCache>
                <c:ptCount val="4"/>
                <c:pt idx="0">
                  <c:v>行政运行</c:v>
                </c:pt>
                <c:pt idx="1">
                  <c:v>事业运行</c:v>
                </c:pt>
                <c:pt idx="2">
                  <c:v>基本养老保险</c:v>
                </c:pt>
                <c:pt idx="3">
                  <c:v>职工医疗保险</c:v>
                </c:pt>
              </c:strCache>
            </c:strRef>
          </c:cat>
          <c:val>
            <c:numRef>
              <c:f>Sheet1!$B$2:$B$5</c:f>
              <c:numCache>
                <c:formatCode>General</c:formatCode>
                <c:ptCount val="4"/>
                <c:pt idx="0">
                  <c:v>1753721.76</c:v>
                </c:pt>
                <c:pt idx="1">
                  <c:v>2380039</c:v>
                </c:pt>
                <c:pt idx="2">
                  <c:v>392837.64</c:v>
                </c:pt>
                <c:pt idx="3">
                  <c:v>146969.04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支出分类情况图</c:v>
                </c:pt>
              </c:strCache>
            </c:strRef>
          </c:tx>
          <c:explosion val="0"/>
          <c:dPt>
            <c:idx val="0"/>
            <c:bubble3D val="0"/>
          </c:dPt>
          <c:dPt>
            <c:idx val="1"/>
            <c:bubble3D val="0"/>
          </c:dPt>
          <c:dPt>
            <c:idx val="2"/>
            <c:bubble3D val="0"/>
          </c:dPt>
          <c:dPt>
            <c:idx val="3"/>
            <c:bubble3D val="0"/>
          </c:dPt>
          <c:dLbls>
            <c:delete val="1"/>
          </c:dLbls>
          <c:cat>
            <c:strRef>
              <c:f>Sheet1!$A$2:$A$5</c:f>
              <c:strCache>
                <c:ptCount val="4"/>
                <c:pt idx="0">
                  <c:v>工资福利支出</c:v>
                </c:pt>
                <c:pt idx="1">
                  <c:v>商品和服务支出</c:v>
                </c:pt>
                <c:pt idx="2">
                  <c:v>对个人和家庭的补助</c:v>
                </c:pt>
                <c:pt idx="3">
                  <c:v>资本性支出</c:v>
                </c:pt>
              </c:strCache>
            </c:strRef>
          </c:cat>
          <c:val>
            <c:numRef>
              <c:f>Sheet1!$B$2:$B$5</c:f>
              <c:numCache>
                <c:formatCode>General</c:formatCode>
                <c:ptCount val="4"/>
                <c:pt idx="0">
                  <c:v>4014643.44</c:v>
                </c:pt>
                <c:pt idx="1">
                  <c:v>535444</c:v>
                </c:pt>
                <c:pt idx="2">
                  <c:v>96480</c:v>
                </c:pt>
                <c:pt idx="3">
                  <c:v>27000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支出分类情况图</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机关工资福利支出（501）</c:v>
                </c:pt>
                <c:pt idx="1">
                  <c:v>机关商品和服务支出(502)</c:v>
                </c:pt>
                <c:pt idx="2">
                  <c:v>机关资本性支出（一）（503）</c:v>
                </c:pt>
                <c:pt idx="3">
                  <c:v>对事业单位经常性补助（505）</c:v>
                </c:pt>
                <c:pt idx="4">
                  <c:v>对个人和家庭补助（509）</c:v>
                </c:pt>
              </c:strCache>
            </c:strRef>
          </c:cat>
          <c:val>
            <c:numRef>
              <c:f>Sheet1!$B$2:$B$6</c:f>
              <c:numCache>
                <c:formatCode>General</c:formatCode>
                <c:ptCount val="5"/>
                <c:pt idx="0">
                  <c:v>4014643.44</c:v>
                </c:pt>
                <c:pt idx="1">
                  <c:v>535444</c:v>
                </c:pt>
                <c:pt idx="2">
                  <c:v>27000</c:v>
                </c:pt>
                <c:pt idx="3">
                  <c:v>0</c:v>
                </c:pt>
                <c:pt idx="4">
                  <c:v>96480</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FD77DC3-207C-4AE9-9B48-7D46837743BB}">
  <ds:schemaRefs/>
</ds:datastoreItem>
</file>

<file path=docProps/app.xml><?xml version="1.0" encoding="utf-8"?>
<Properties xmlns="http://schemas.openxmlformats.org/officeDocument/2006/extended-properties" xmlns:vt="http://schemas.openxmlformats.org/officeDocument/2006/docPropsVTypes">
  <Template>Normal</Template>
  <Pages>11</Pages>
  <Words>667</Words>
  <Characters>3802</Characters>
  <Lines>31</Lines>
  <Paragraphs>8</Paragraphs>
  <TotalTime>2</TotalTime>
  <ScaleCrop>false</ScaleCrop>
  <LinksUpToDate>false</LinksUpToDate>
  <CharactersWithSpaces>4461</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2019-01-04T10:19:00Z</dcterms:created>
  <dc:creator>财政所</dc:creator>
  <cp:lastModifiedBy>财政所</cp:lastModifiedBy>
  <cp:lastPrinted>2019-01-08T08:43:00Z</cp:lastPrinted>
  <dcterms:modified xsi:type="dcterms:W3CDTF">2019-06-25T07:27:49Z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