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渭滨区试验办2020年部门综合预算说明</w:t>
      </w:r>
    </w:p>
    <w:p>
      <w:pPr>
        <w:spacing w:line="360" w:lineRule="auto"/>
        <w:ind w:left="0" w:leftChars="0" w:firstLine="0" w:firstLineChars="0"/>
        <w:jc w:val="center"/>
        <w:rPr>
          <w:rFonts w:hint="eastAsia" w:ascii="方正小标宋简体" w:hAnsi="方正小标宋简体" w:eastAsia="方正小标宋简体" w:cs="方正小标宋简体"/>
          <w:b/>
          <w:bCs/>
          <w:sz w:val="36"/>
          <w:szCs w:val="36"/>
        </w:rPr>
      </w:pP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目</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 xml:space="preserve">  录</w:t>
      </w: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第一部分   部门概况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一、部门主要职责及机构设置</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二、2020年年度部门工作任务</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四、部门人员情况说明</w:t>
      </w: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第二部分   收支情况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五、2020年部门预算收支说明</w:t>
      </w: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第三部分   其他说明情况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六、部门预算“三公”经费等情况说明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七、部门国有资产占有使用及资产购置情况说明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八、部门政府采购情况说明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九、部门预算绩效目标说明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十、机关运行经费安排说明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十一、专业名词解释</w:t>
      </w: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720" w:rightChars="-300"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（宝鸡市渭滨经济管理试验区管理委员会办公室预算公开表）</w:t>
      </w:r>
    </w:p>
    <w:p>
      <w:pPr>
        <w:spacing w:line="360" w:lineRule="auto"/>
        <w:ind w:firstLine="643"/>
        <w:jc w:val="center"/>
        <w:rPr>
          <w:rFonts w:hint="eastAsia" w:ascii="仿宋" w:hAnsi="仿宋" w:eastAsia="仿宋" w:cs="仿宋"/>
          <w:b w:val="0"/>
          <w:bCs w:val="0"/>
          <w:sz w:val="32"/>
          <w:szCs w:val="32"/>
        </w:rPr>
      </w:pPr>
    </w:p>
    <w:p>
      <w:pPr>
        <w:spacing w:line="360" w:lineRule="auto"/>
        <w:ind w:left="0" w:leftChars="0" w:firstLine="0" w:firstLineChars="0"/>
        <w:jc w:val="both"/>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rPr>
      </w:pP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第一部分    部门概况</w:t>
      </w:r>
    </w:p>
    <w:p>
      <w:pPr>
        <w:numPr>
          <w:ilvl w:val="0"/>
          <w:numId w:val="1"/>
        </w:num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部门主要职责及机构设置</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1、履行辖区的政治、经济及社会公共事务的管理，发展经济，维护稳定；</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2积极探索新形势下发展非公有制经济的路子，优化商贸业态，壮大集群实力，增强商贸核心活力；</w:t>
      </w:r>
    </w:p>
    <w:p>
      <w:pPr>
        <w:numPr>
          <w:ilvl w:val="0"/>
          <w:numId w:val="2"/>
        </w:num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负责试验区的市容环境卫生管理，为经营者创造文明整洁、和谐优美的经营环境；</w:t>
      </w:r>
    </w:p>
    <w:p>
      <w:pPr>
        <w:numPr>
          <w:ilvl w:val="0"/>
          <w:numId w:val="2"/>
        </w:num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负责辖区社会治安综合管理、安全生产及消防安全的监督管理；</w:t>
      </w:r>
    </w:p>
    <w:p>
      <w:pPr>
        <w:numPr>
          <w:ilvl w:val="0"/>
          <w:numId w:val="2"/>
        </w:num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配合有关部门实施试验区市政规划、环保、卫生防疫等工作的监督管理。</w:t>
      </w:r>
    </w:p>
    <w:p>
      <w:pPr>
        <w:numPr>
          <w:ilvl w:val="0"/>
          <w:numId w:val="2"/>
        </w:num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承办上级有关部门交办的其他事项。</w:t>
      </w:r>
    </w:p>
    <w:p>
      <w:pPr>
        <w:spacing w:line="360" w:lineRule="auto"/>
        <w:ind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7、试验办下设办公室、安监科、市容科及执法队。</w:t>
      </w:r>
    </w:p>
    <w:p>
      <w:p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二、2020年度部门工作任务</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2020年，试验办要以习近平“不忘初心，牢记使命”思想为指导，按照区委区政府工作总体部署，突出商贸经济园区特色，坚持“安全生产守底线，市容环境展现象，体制改革是关键，党建工作创亮点”的总体思路不变，聚力重点业态落地，建立和完善科学高效的运行机制，努力实现整体工作新飞跃。</w:t>
      </w:r>
    </w:p>
    <w:p>
      <w:pPr>
        <w:numPr>
          <w:ilvl w:val="0"/>
          <w:numId w:val="3"/>
        </w:numPr>
        <w:spacing w:line="360" w:lineRule="auto"/>
        <w:ind w:firstLine="643"/>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围绕打造特色街区主线，强力推进业态提升。</w:t>
      </w:r>
      <w:r>
        <w:rPr>
          <w:rFonts w:hint="eastAsia" w:ascii="仿宋_GB2312" w:hAnsi="仿宋_GB2312" w:eastAsia="仿宋_GB2312" w:cs="仿宋_GB2312"/>
          <w:b w:val="0"/>
          <w:bCs w:val="0"/>
          <w:sz w:val="32"/>
          <w:szCs w:val="32"/>
        </w:rPr>
        <w:t>以经一路步行街提升改造为抓手，依托经一路街区既有商业基础，深入挖掘特色内涵，以引进知名品牌，形成集聚效应为主攻方向，聚焦经一路丝路长廊、马道巷风情街、汉中路火锅城转型提升、小商品业态迭代升级，年内新建和提升一批优势业态，引进一批知名品牌，初步经一路商业记忆的特色。</w:t>
      </w:r>
    </w:p>
    <w:p>
      <w:pPr>
        <w:numPr>
          <w:ilvl w:val="0"/>
          <w:numId w:val="3"/>
        </w:num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围绕打造特色街区主线，创新管理体制。着眼优化营商环境，切实抓好街区市容卫生管理服务社会化运营。试验办委托渭滨招商公司承担试验区范围内市容卫生具体事务管理，既要精心指导，更要严格考核，实现街区面貌改观。</w:t>
      </w:r>
    </w:p>
    <w:p>
      <w:pPr>
        <w:numPr>
          <w:ilvl w:val="0"/>
          <w:numId w:val="3"/>
        </w:num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围绕打造特色街区主线，完善基础设施承载。一是结合打造新兴业态，建设一批绿化人文设施。要结合丝路长廊，高起点设计、高标准建设，在经一路科学布设和建成一批绿化、座椅，提高街区游憩功能。二是围绕便利市民群众，建设一批公厕、垃圾台等环卫设施。三是围绕优化交通布局，提升改造游园东路。</w:t>
      </w:r>
    </w:p>
    <w:p>
      <w:pPr>
        <w:spacing w:line="360" w:lineRule="auto"/>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具体抓好以下五个项目：</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一是文化长廊建设。西起汉中路，东到文化路，东西长400米，打造以3D技术为主的文化长廊，宣传新时代的精神面貌，将其打造成试验区的一个特色亮点。</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是经一路街区市容卫生社会化运营项目。为了解决试验区环境卫生多头管理、成效低下问题，提升营商环境，我办借鉴东部城市特别是西安城市管理经验提出了经一路街区市容卫生社会化运营方案，对试验区范围内市容、安保、环境卫生等具体事务采用政府购买服务方式，由渭滨招商公司承接。预算管理服务费195.67万元，设备购置费21.98万元。</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三是在经一路东口新建公厕一处，改善经一路环卫基础设施的匮乏状态。</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四是在永嘉市场建设垃圾屋一处，缓解永嘉市场及周边居民的生活垃圾处理，进一步改善附近居民的生活环境。</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五是将经一路西段的原有石材路面更换成彩色水泥路面，延长路面的使用寿命。</w:t>
      </w:r>
    </w:p>
    <w:p>
      <w:pPr>
        <w:spacing w:line="360" w:lineRule="auto"/>
        <w:ind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三、部门预算单位构成</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从预算单位构成看，本部门的部门预算包括部门本级（机关）预算，无纳入本部门2020年部门预算编制范围的二级预算单位。</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3" w:hRule="atLeast"/>
          <w:jc w:val="center"/>
        </w:trPr>
        <w:tc>
          <w:tcPr>
            <w:tcW w:w="1660" w:type="dxa"/>
          </w:tcPr>
          <w:p>
            <w:pPr>
              <w:spacing w:line="360" w:lineRule="auto"/>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7185" w:type="dxa"/>
          </w:tcPr>
          <w:p>
            <w:pPr>
              <w:spacing w:line="360" w:lineRule="auto"/>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pPr>
              <w:spacing w:line="360" w:lineRule="auto"/>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185" w:type="dxa"/>
          </w:tcPr>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宝鸡市渭滨经济管理试验区管理委员会办公室</w:t>
            </w:r>
          </w:p>
        </w:tc>
      </w:tr>
    </w:tbl>
    <w:p>
      <w:pPr>
        <w:spacing w:line="360" w:lineRule="auto"/>
        <w:ind w:firstLine="640"/>
        <w:rPr>
          <w:rFonts w:ascii="仿宋" w:hAnsi="仿宋" w:eastAsia="仿宋"/>
          <w:sz w:val="32"/>
          <w:szCs w:val="32"/>
        </w:rPr>
      </w:pP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部门人员情况说明</w:t>
      </w:r>
    </w:p>
    <w:p>
      <w:pPr>
        <w:spacing w:line="360" w:lineRule="auto"/>
        <w:ind w:firstLine="641"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渭滨经济管理试验区管理委员会办公室为参公事业单位，截止2019年底，单位人员编制数12人，实有人数10人，其中公务员6人，机关工人4人。退休干部职工6人。</w:t>
      </w:r>
    </w:p>
    <w:p>
      <w:pPr>
        <w:spacing w:line="360" w:lineRule="auto"/>
        <w:ind w:left="0" w:leftChars="0" w:firstLine="0" w:firstLineChars="0"/>
        <w:rPr>
          <w:rFonts w:hint="eastAsia" w:ascii="仿宋_GB2312" w:hAnsi="仿宋_GB2312" w:eastAsia="仿宋_GB2312" w:cs="仿宋_GB2312"/>
          <w:b w:val="0"/>
          <w:bCs w:val="0"/>
          <w:sz w:val="32"/>
          <w:szCs w:val="32"/>
        </w:rPr>
      </w:pPr>
      <w:r>
        <w:pict>
          <v:shape id="_x0000_i1025" o:spt="75" type="#_x0000_t75" style="height:245.6pt;width:414.95pt;" filled="f" stroked="f" coordsize="21600,21600">
            <v:path/>
            <v:fill on="f" focussize="0,0"/>
            <v:stroke on="f"/>
            <v:imagedata r:id="rId5" o:title=""/>
            <o:lock v:ext="edit" aspectratio="t"/>
            <w10:wrap type="none"/>
            <w10:anchorlock/>
          </v:shape>
        </w:pict>
      </w: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第二部分  收支情况</w:t>
      </w:r>
    </w:p>
    <w:p>
      <w:p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五、2020年部门预算收支说明</w:t>
      </w:r>
    </w:p>
    <w:p>
      <w:pPr>
        <w:spacing w:line="360" w:lineRule="auto"/>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（一）收支预算总体情况。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2020年本部门预算收入344.95万元，其中一般公共预算拨款收入344.95万元，2020年本部门预算收入较上年减少46.82万元，主要原因是人员减少，部门压缩了日常经费支出，压缩了项目支出；2020年本部门预算支出344.95万元，其中一般公共预算拨款支出344.95万元，2020年本部门预算支出较上年减少46.82万元，主要原因是人员减少，部门压缩了日常经费支出，压缩了项目支出。</w:t>
      </w:r>
    </w:p>
    <w:p>
      <w:pPr>
        <w:numPr>
          <w:ilvl w:val="0"/>
          <w:numId w:val="4"/>
        </w:numPr>
        <w:spacing w:line="360" w:lineRule="auto"/>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财政拨款收支情况。</w:t>
      </w:r>
    </w:p>
    <w:p>
      <w:pPr>
        <w:spacing w:line="360" w:lineRule="auto"/>
        <w:ind w:firstLine="0" w:firstLineChars="0"/>
        <w:rPr>
          <w:rFonts w:hint="eastAsia" w:ascii="仿宋_GB2312" w:hAnsi="仿宋_GB2312" w:eastAsia="仿宋_GB2312" w:cs="仿宋_GB2312"/>
          <w:b w:val="0"/>
          <w:bCs w:val="0"/>
          <w:sz w:val="32"/>
          <w:szCs w:val="32"/>
        </w:rPr>
      </w:pPr>
      <w:r>
        <w:rPr>
          <w:rFonts w:ascii="仿宋" w:hAnsi="仿宋" w:eastAsia="仿宋" w:cs="仿宋"/>
          <w:b/>
          <w:bCs/>
          <w:sz w:val="32"/>
          <w:szCs w:val="32"/>
        </w:rPr>
        <w:t xml:space="preserve">   </w:t>
      </w:r>
      <w:r>
        <w:rPr>
          <w:rFonts w:hint="eastAsia" w:ascii="仿宋_GB2312" w:hAnsi="仿宋_GB2312" w:eastAsia="仿宋_GB2312" w:cs="仿宋_GB2312"/>
          <w:b w:val="0"/>
          <w:bCs w:val="0"/>
          <w:sz w:val="32"/>
          <w:szCs w:val="32"/>
        </w:rPr>
        <w:t xml:space="preserve"> 部门财政拨款收支与上年对比的增减变化情况及变化原因。</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财政拨款收入344.95万元，其中一般公共预算拨款收入344.95万元，2020年本部门财政拨款收入较上年减少46.82万元，主要原因是人员减少，压缩了办公经费，压缩了项目支出；2020年本部门财政拨款支出344.95万元，其中一般公共预算拨款支出344.95万元，2020年本部门财政拨款支出较上年减）46.82万元，主要原因是人员减少，压缩了办公经费，压缩了项目支出。</w:t>
      </w:r>
    </w:p>
    <w:p>
      <w:pPr>
        <w:spacing w:line="360" w:lineRule="auto"/>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（三）一般公共预算拨款支出明细情况。</w:t>
      </w:r>
    </w:p>
    <w:p>
      <w:pPr>
        <w:spacing w:line="360" w:lineRule="auto"/>
        <w:ind w:firstLine="643"/>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1、一般公共预算当年拨款规模变化情况。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2020年本部门当年一般公共预算拨款支出344.95万元，较上年减少46.82万元，主要原因是人员减少，压缩了办公经费，压缩了项目支出。</w:t>
      </w:r>
    </w:p>
    <w:p>
      <w:pPr>
        <w:spacing w:line="360" w:lineRule="auto"/>
        <w:ind w:left="0" w:leftChars="0" w:firstLine="0" w:firstLineChars="0"/>
        <w:jc w:val="center"/>
        <w:rPr>
          <w:rFonts w:hint="eastAsia" w:ascii="仿宋_GB2312" w:hAnsi="仿宋_GB2312" w:eastAsia="仿宋_GB2312" w:cs="仿宋_GB2312"/>
          <w:sz w:val="32"/>
          <w:szCs w:val="32"/>
        </w:rPr>
      </w:pPr>
      <w:r>
        <w:pict>
          <v:shape id="_x0000_i1026" o:spt="75" type="#_x0000_t75" style="height:245.6pt;width:414.95pt;" filled="f" stroked="f" coordsize="21600,21600">
            <v:path/>
            <v:fill on="f" focussize="0,0"/>
            <v:stroke on="f"/>
            <v:imagedata r:id="rId6" o:title=""/>
            <o:lock v:ext="edit" aspectratio="t"/>
            <w10:wrap type="none"/>
            <w10:anchorlock/>
          </v:shape>
        </w:pict>
      </w:r>
    </w:p>
    <w:p>
      <w:pPr>
        <w:numPr>
          <w:ilvl w:val="0"/>
          <w:numId w:val="5"/>
        </w:num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支出按功能科目分类的明细情况。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本部门2020年一般公共预算支出344.95万元，其他城乡社区管理事务支出（2120199）较上年减少46.82万元，原因是人员减少，压缩了办公经费，压缩了项目支出。</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支出按经济科目分类的明细情况。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32"/>
        </w:rPr>
        <w:t>020年本部门当年一般公共预算支出344.95万元，其中：</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工资福利支出（301)106.06万元，较上年减少34.93万元，原因是人员减少；</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商品和服务支出（302）228.88万元，较上年减少34.12万元，原因是压缩了项目支出，节省了经费；</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对个人和家庭的补助支出（303）0.02万元，较上年减少3.15万元，原因是人员调出。</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机关资本性支出（一）(310)10万元，较上年增加8.8万元，原因是购置办公设备。</w:t>
      </w:r>
    </w:p>
    <w:p>
      <w:pPr>
        <w:spacing w:line="360" w:lineRule="auto"/>
        <w:ind w:firstLine="640"/>
        <w:rPr>
          <w:rFonts w:hint="eastAsia" w:ascii="仿宋_GB2312" w:hAnsi="仿宋_GB2312" w:eastAsia="仿宋_GB2312" w:cs="仿宋_GB2312"/>
          <w:sz w:val="32"/>
          <w:szCs w:val="32"/>
        </w:rPr>
      </w:pPr>
    </w:p>
    <w:p>
      <w:pPr>
        <w:spacing w:line="360" w:lineRule="auto"/>
        <w:ind w:firstLine="640"/>
        <w:rPr>
          <w:rFonts w:hint="eastAsia" w:ascii="仿宋_GB2312" w:hAnsi="仿宋_GB2312" w:eastAsia="仿宋_GB2312" w:cs="仿宋_GB2312"/>
          <w:sz w:val="32"/>
          <w:szCs w:val="32"/>
        </w:rPr>
      </w:pPr>
    </w:p>
    <w:p>
      <w:pPr>
        <w:spacing w:line="360" w:lineRule="auto"/>
        <w:ind w:left="0" w:leftChars="0" w:firstLine="0" w:firstLineChars="0"/>
        <w:rPr>
          <w:rFonts w:hint="eastAsia" w:ascii="仿宋_GB2312" w:hAnsi="仿宋_GB2312" w:eastAsia="仿宋_GB2312" w:cs="仿宋_GB2312"/>
          <w:sz w:val="32"/>
          <w:szCs w:val="32"/>
        </w:rPr>
      </w:pPr>
      <w:r>
        <w:pict>
          <v:shape id="_x0000_i1027" o:spt="75" type="#_x0000_t75" style="height:245.6pt;width:414.95pt;" filled="f" stroked="f" coordsize="21600,21600">
            <v:path/>
            <v:fill on="f" focussize="0,0"/>
            <v:stroke on="f"/>
            <v:imagedata r:id="rId7" o:title=""/>
            <o:lock v:ext="edit" aspectratio="t"/>
            <w10:wrap type="none"/>
            <w10:anchorlock/>
          </v:shape>
        </w:pict>
      </w:r>
    </w:p>
    <w:p>
      <w:pPr>
        <w:spacing w:line="360" w:lineRule="auto"/>
        <w:ind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w:t>
      </w:r>
      <w:r>
        <w:rPr>
          <w:rFonts w:hint="eastAsia" w:ascii="仿宋_GB2312" w:hAnsi="仿宋_GB2312" w:eastAsia="仿宋_GB2312" w:cs="仿宋_GB2312"/>
          <w:b w:val="0"/>
          <w:bCs w:val="0"/>
          <w:sz w:val="32"/>
          <w:szCs w:val="32"/>
        </w:rPr>
        <w:t xml:space="preserve"> （2）按照政府预算支出经济分类的类级科目说明。</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2020年本部门当年一般公共预算支出344.95万元，其中：</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工资福利支出（501）106.06万元，较上年减少31.3万元，原因是人员减少；</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机关商品和服务支出（502）228.88万元，较上年减少21.05万元，原因是压缩了项目支出；</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机关资本性支出（一）（503）10万元，较上年增加8.8万元，原因是购置办公设备；</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对个人和家庭的补助支出（509）0.02万元，较上年减少3.15万元，原因是人员调出。</w:t>
      </w:r>
    </w:p>
    <w:p>
      <w:pPr>
        <w:spacing w:line="36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4、本部门无2019年结转的一般公共预算拨款支出。</w:t>
      </w:r>
    </w:p>
    <w:p>
      <w:pPr>
        <w:spacing w:line="360" w:lineRule="auto"/>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（四）政府性基金预算支出情况。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年政府性基金预算收支，并已公开空表。</w:t>
      </w:r>
    </w:p>
    <w:p>
      <w:pPr>
        <w:spacing w:line="360" w:lineRule="auto"/>
        <w:ind w:firstLine="643"/>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（五）国有资本经营预算拨款收支情况。</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年国有资本经营预算拨款收支，并在财政拨款收支总体情况表中列示。</w:t>
      </w:r>
    </w:p>
    <w:p>
      <w:pPr>
        <w:spacing w:line="360" w:lineRule="auto"/>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第三部分  其他说明情况</w:t>
      </w:r>
    </w:p>
    <w:p>
      <w:p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六、部门预算“三公”经费等预算情况说明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2020年本部门一般公共预算“三公”经费预算支出0元，与上年相比无变化。</w:t>
      </w:r>
    </w:p>
    <w:p>
      <w:p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七、部门国有资产占有使用及资产购置情况说明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本部门无2019年结转的财政拨款支出资产购置。</w:t>
      </w:r>
    </w:p>
    <w:p>
      <w:pPr>
        <w:numPr>
          <w:ilvl w:val="0"/>
          <w:numId w:val="6"/>
        </w:num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部门政府采购情况说明</w:t>
      </w:r>
    </w:p>
    <w:p>
      <w:pPr>
        <w:spacing w:line="360" w:lineRule="auto"/>
        <w:ind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 xml:space="preserve"> 2020年本部门政府采购预算10万元，其中政府采购货物类预算10万元（祥见公开报表中的政府采购表）。</w:t>
      </w:r>
    </w:p>
    <w:p>
      <w:p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九、部门预算绩效目标说明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2020年本部门绩效目标管理全覆盖，涉及当年一般公共预算拨款344.95万元。</w:t>
      </w:r>
    </w:p>
    <w:p>
      <w:p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十、机关运行经费安排说明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本部门2020年机关运行经费预算安排</w:t>
      </w:r>
      <w:r>
        <w:rPr>
          <w:rFonts w:hint="eastAsia" w:ascii="仿宋_GB2312" w:hAnsi="仿宋_GB2312" w:eastAsia="仿宋_GB2312" w:cs="仿宋_GB2312"/>
          <w:sz w:val="32"/>
          <w:szCs w:val="32"/>
          <w:lang w:val="en-US" w:eastAsia="zh-CN"/>
        </w:rPr>
        <w:t>11.23</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万元，主要原因是人员减少，压缩了办公经费。</w:t>
      </w:r>
      <w:bookmarkStart w:id="0" w:name="_GoBack"/>
      <w:bookmarkEnd w:id="0"/>
    </w:p>
    <w:p>
      <w:pPr>
        <w:spacing w:line="360" w:lineRule="auto"/>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十一、专业名词解释</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1、机关运行经费：指各部门的日常公用经费，包括办公及印刷费、邮电费、差旅费、福利费、维修费、专用材料及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一般设备购置费、办公用房水电费、办公用房取暖费、办公用房物业管理费、公务用车运行维护费及其他费用。</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是指用财政拨款安排的因公出国（境）费、公务用车购置及运行费和公务接待费。其中，因公出国（境）反映单位公务出国（境）的国际差旅费、国外城市间交通费、住宿费、伙食费、培训费、公杂费等支出；公务用车购置及运行费反映单位公务用车车辆购置支出（含车辆购置税）及租车费、燃料费、维修费、过路过桥费、保险费、安全奖励费用等支出；公务接待反映单位按规定开支的各类公务接待支出。</w:t>
      </w:r>
    </w:p>
    <w:p>
      <w:pPr>
        <w:spacing w:line="360" w:lineRule="auto"/>
        <w:ind w:left="0" w:lef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第四部分  公开报表</w:t>
      </w:r>
    </w:p>
    <w:p>
      <w:pPr>
        <w:pStyle w:val="5"/>
        <w:keepNext w:val="0"/>
        <w:keepLines w:val="0"/>
        <w:widowControl/>
        <w:suppressLineNumbers w:val="0"/>
        <w:spacing w:before="0" w:beforeAutospacing="0" w:after="0" w:afterAutospacing="0" w:line="27"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已通过保密审查及本部门主要负责人审签。</w:t>
      </w:r>
    </w:p>
    <w:p>
      <w:pPr>
        <w:spacing w:line="360" w:lineRule="auto"/>
        <w:ind w:firstLine="64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（见附件2内容）</w:t>
      </w:r>
      <w:r>
        <w:rPr>
          <w:rFonts w:hint="eastAsia" w:ascii="仿宋_GB2312" w:hAnsi="仿宋_GB2312" w:eastAsia="仿宋_GB2312" w:cs="仿宋_GB2312"/>
          <w:sz w:val="32"/>
          <w:szCs w:val="32"/>
        </w:rPr>
        <w:tab/>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decorative"/>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B3AEE"/>
    <w:multiLevelType w:val="singleLevel"/>
    <w:tmpl w:val="5E4B3AEE"/>
    <w:lvl w:ilvl="0" w:tentative="0">
      <w:start w:val="1"/>
      <w:numFmt w:val="chineseCounting"/>
      <w:suff w:val="nothing"/>
      <w:lvlText w:val="%1、"/>
      <w:lvlJc w:val="left"/>
    </w:lvl>
  </w:abstractNum>
  <w:abstractNum w:abstractNumId="1">
    <w:nsid w:val="5E4B3C61"/>
    <w:multiLevelType w:val="singleLevel"/>
    <w:tmpl w:val="5E4B3C61"/>
    <w:lvl w:ilvl="0" w:tentative="0">
      <w:start w:val="3"/>
      <w:numFmt w:val="decimal"/>
      <w:suff w:val="nothing"/>
      <w:lvlText w:val="%1、"/>
      <w:lvlJc w:val="left"/>
    </w:lvl>
  </w:abstractNum>
  <w:abstractNum w:abstractNumId="2">
    <w:nsid w:val="5E4B4041"/>
    <w:multiLevelType w:val="singleLevel"/>
    <w:tmpl w:val="5E4B4041"/>
    <w:lvl w:ilvl="0" w:tentative="0">
      <w:start w:val="1"/>
      <w:numFmt w:val="decimal"/>
      <w:suff w:val="nothing"/>
      <w:lvlText w:val="%1、"/>
      <w:lvlJc w:val="left"/>
    </w:lvl>
  </w:abstractNum>
  <w:abstractNum w:abstractNumId="3">
    <w:nsid w:val="5E4B4EAE"/>
    <w:multiLevelType w:val="singleLevel"/>
    <w:tmpl w:val="5E4B4EAE"/>
    <w:lvl w:ilvl="0" w:tentative="0">
      <w:start w:val="2"/>
      <w:numFmt w:val="decimal"/>
      <w:suff w:val="nothing"/>
      <w:lvlText w:val="%1、"/>
      <w:lvlJc w:val="left"/>
    </w:lvl>
  </w:abstractNum>
  <w:abstractNum w:abstractNumId="4">
    <w:nsid w:val="5E4B5431"/>
    <w:multiLevelType w:val="singleLevel"/>
    <w:tmpl w:val="5E4B5431"/>
    <w:lvl w:ilvl="0" w:tentative="0">
      <w:start w:val="8"/>
      <w:numFmt w:val="chineseCounting"/>
      <w:suff w:val="nothing"/>
      <w:lvlText w:val="%1、"/>
      <w:lvlJc w:val="left"/>
    </w:lvl>
  </w:abstractNum>
  <w:abstractNum w:abstractNumId="5">
    <w:nsid w:val="5E4CE974"/>
    <w:multiLevelType w:val="singleLevel"/>
    <w:tmpl w:val="5E4CE974"/>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ED0381D"/>
    <w:rsid w:val="00003C14"/>
    <w:rsid w:val="00011BCD"/>
    <w:rsid w:val="0007131F"/>
    <w:rsid w:val="000D6197"/>
    <w:rsid w:val="001B6EC0"/>
    <w:rsid w:val="002374F0"/>
    <w:rsid w:val="00284664"/>
    <w:rsid w:val="00294FF0"/>
    <w:rsid w:val="0038156E"/>
    <w:rsid w:val="003A4017"/>
    <w:rsid w:val="00491B32"/>
    <w:rsid w:val="0060262A"/>
    <w:rsid w:val="00775473"/>
    <w:rsid w:val="00785374"/>
    <w:rsid w:val="007F7B03"/>
    <w:rsid w:val="008151C2"/>
    <w:rsid w:val="008476DA"/>
    <w:rsid w:val="00896041"/>
    <w:rsid w:val="00A14016"/>
    <w:rsid w:val="00BC7FBD"/>
    <w:rsid w:val="00C53E3E"/>
    <w:rsid w:val="00C7514D"/>
    <w:rsid w:val="00CD1328"/>
    <w:rsid w:val="00E72733"/>
    <w:rsid w:val="00EE3558"/>
    <w:rsid w:val="02F538E8"/>
    <w:rsid w:val="03595B8B"/>
    <w:rsid w:val="03AF168F"/>
    <w:rsid w:val="076D05BF"/>
    <w:rsid w:val="078412BB"/>
    <w:rsid w:val="089458C9"/>
    <w:rsid w:val="0ACA550E"/>
    <w:rsid w:val="16333824"/>
    <w:rsid w:val="174662BC"/>
    <w:rsid w:val="18E853EC"/>
    <w:rsid w:val="1E574BBE"/>
    <w:rsid w:val="1E83411B"/>
    <w:rsid w:val="1ED0381D"/>
    <w:rsid w:val="225819E9"/>
    <w:rsid w:val="23126CDD"/>
    <w:rsid w:val="265E6039"/>
    <w:rsid w:val="28C76245"/>
    <w:rsid w:val="2907735C"/>
    <w:rsid w:val="3049585A"/>
    <w:rsid w:val="322F50BB"/>
    <w:rsid w:val="388749CB"/>
    <w:rsid w:val="3C032700"/>
    <w:rsid w:val="3F817419"/>
    <w:rsid w:val="3FF4265D"/>
    <w:rsid w:val="43EE6A01"/>
    <w:rsid w:val="4AB22E33"/>
    <w:rsid w:val="4CAE369B"/>
    <w:rsid w:val="58D114BA"/>
    <w:rsid w:val="5A0350AF"/>
    <w:rsid w:val="5C295375"/>
    <w:rsid w:val="60A15623"/>
    <w:rsid w:val="6B1854C0"/>
    <w:rsid w:val="6CE44FDD"/>
    <w:rsid w:val="6D864AC9"/>
    <w:rsid w:val="6EF2474B"/>
    <w:rsid w:val="72B7314C"/>
    <w:rsid w:val="7762556B"/>
    <w:rsid w:val="7A8759E7"/>
    <w:rsid w:val="7AAE05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semiHidden="0" w:name="header" w:locked="1"/>
    <w:lsdException w:qFormat="1" w:uiPriority="99" w:semiHidden="0" w:name="footer" w:locked="1"/>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locked/>
    <w:uiPriority w:val="99"/>
    <w:rPr>
      <w:rFonts w:ascii="Arial" w:hAnsi="Arial" w:eastAsia="黑体" w:cs="Arial"/>
      <w:sz w:val="20"/>
      <w:szCs w:val="20"/>
    </w:rPr>
  </w:style>
  <w:style w:type="paragraph" w:styleId="3">
    <w:name w:val="footer"/>
    <w:basedOn w:val="1"/>
    <w:unhideWhenUsed/>
    <w:qFormat/>
    <w:locked/>
    <w:uiPriority w:val="99"/>
    <w:pPr>
      <w:tabs>
        <w:tab w:val="center" w:pos="4153"/>
        <w:tab w:val="right" w:pos="8306"/>
      </w:tabs>
      <w:snapToGrid w:val="0"/>
      <w:jc w:val="left"/>
    </w:pPr>
    <w:rPr>
      <w:sz w:val="18"/>
    </w:rPr>
  </w:style>
  <w:style w:type="paragraph" w:styleId="4">
    <w:name w:val="header"/>
    <w:basedOn w:val="1"/>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lock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nhideWhenUsed/>
    <w:qFormat/>
    <w:locked/>
    <w:uiPriority w:val="99"/>
    <w:rPr>
      <w:color w:val="333333"/>
      <w:u w:val="none"/>
    </w:rPr>
  </w:style>
  <w:style w:type="character" w:styleId="9">
    <w:name w:val="Hyperlink"/>
    <w:basedOn w:val="7"/>
    <w:unhideWhenUsed/>
    <w:qFormat/>
    <w:locked/>
    <w:uiPriority w:val="99"/>
    <w:rPr>
      <w:color w:val="333333"/>
      <w:u w:val="none"/>
    </w:rPr>
  </w:style>
  <w:style w:type="character" w:customStyle="1" w:styleId="10">
    <w:name w:val="first-child"/>
    <w:basedOn w:val="7"/>
    <w:qFormat/>
    <w:uiPriority w:val="0"/>
  </w:style>
  <w:style w:type="character" w:customStyle="1" w:styleId="11">
    <w:name w:val="layui-this2"/>
    <w:basedOn w:val="7"/>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562</Words>
  <Characters>3205</Characters>
  <Lines>26</Lines>
  <Paragraphs>7</Paragraphs>
  <TotalTime>0</TotalTime>
  <ScaleCrop>false</ScaleCrop>
  <LinksUpToDate>false</LinksUpToDate>
  <CharactersWithSpaces>3760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如鱼得水</cp:lastModifiedBy>
  <dcterms:modified xsi:type="dcterms:W3CDTF">2020-02-24T07:32:59Z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