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  <w:jc w:val="center"/>
      </w:pPr>
      <w:r>
        <w:rPr>
          <w:rFonts w:ascii="黑体" w:hAnsi="宋体" w:eastAsia="黑体" w:cs="黑体"/>
          <w:sz w:val="28"/>
          <w:szCs w:val="28"/>
          <w:shd w:val="clear" w:fill="FFFFFF"/>
        </w:rPr>
        <w:t>渭滨区农工部2019年部门综合预算说明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1092" w:right="0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一、</w:t>
      </w:r>
      <w:r>
        <w:rPr>
          <w:rFonts w:hint="default" w:ascii="Times New Roman" w:hAnsi="Times New Roman" w:eastAsia="黑体" w:cs="Times New Roman"/>
          <w:sz w:val="10"/>
          <w:szCs w:val="10"/>
          <w:shd w:val="clear" w:fill="FFFFFF"/>
        </w:rPr>
        <w:t xml:space="preserve">  </w:t>
      </w:r>
      <w:r>
        <w:rPr>
          <w:rFonts w:hint="eastAsia" w:ascii="黑体" w:hAnsi="宋体" w:eastAsia="黑体" w:cs="黑体"/>
          <w:sz w:val="25"/>
          <w:szCs w:val="25"/>
          <w:shd w:val="clear" w:fill="FFFFFF"/>
        </w:rPr>
        <w:t>部门主要职责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黑体" w:hAnsi="宋体" w:eastAsia="黑体" w:cs="黑体"/>
          <w:sz w:val="25"/>
          <w:szCs w:val="25"/>
          <w:shd w:val="clear" w:fill="FFFFFF"/>
          <w:vertAlign w:val="baseline"/>
        </w:rPr>
        <w:t xml:space="preserve">    </w:t>
      </w:r>
      <w:r>
        <w:rPr>
          <w:rFonts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1.</w:t>
      </w: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围绕区委中心工作，组织对全区经济、社会发展战略和经济、政治、文化、党建等方面的重大问题进行调查研究，提出意见和建议，供区委决策参考。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2.参与区委重大决策的贯彻实施，并进行宏观指导、督促检查，向区委报告情况。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3.指导镇和区级有关部门进行调查研究工作。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28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4.指导全区农村工作。负责党在农村各项方针、政策落实情况的督察，参与制定全区农村工作政策，牵头新农村建设工作。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28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5.协调、指导全区统筹城乡发展工作，负责统筹城乡发展工作委员会办公室工作。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6.负责区农村工作领导小组办公室工作。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7.协调有关部门开展对农村基层干部的政策法规培训、教育、指导开展农民教育工作。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8.完成市委政研室、市委农村工作领导小组办公室交办的工作任务。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二、2019年年度部门工作任务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textAlignment w:val="baseline"/>
      </w:pPr>
      <w:r>
        <w:rPr>
          <w:rFonts w:hint="eastAsia" w:ascii="黑体" w:hAnsi="宋体" w:eastAsia="黑体" w:cs="黑体"/>
          <w:sz w:val="25"/>
          <w:szCs w:val="25"/>
          <w:shd w:val="clear" w:fill="FFFFFF"/>
          <w:vertAlign w:val="baseline"/>
        </w:rPr>
        <w:t xml:space="preserve">    </w:t>
      </w: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 xml:space="preserve">1.组织开展中央一号文件宣讲活动，力争惠农政策家喻户晓。加强村干部培训，提升村干部政策水平、拓宽工作思路。深入开展新农村建设和统筹城乡课题调研。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 xml:space="preserve">2.筹备召开全区农业农村暨统筹城乡发展工作会议，安排部署2019年新农村建设和统筹城乡发展目标任务。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3.持续开展镇村争先进位，协调各部门加大项目资金支持力度，充分调动镇村新农村建设工作积极性，全力争创全市“十强镇”。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4.抓好渭滨区“农村居民收入倍增规划”实施，协调指导有关部门、镇村落实强农富农惠农政策，拓宽增收渠道，实现农民人均纯收入增长12%。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5.深入开展“包村帮扶”活动，建立完善包村部门联建帮扶新农村建设，促进农民增收的的长效机制。做好区级部门帮扶农村工作的实施和考核工作。</w:t>
      </w:r>
      <w:r>
        <w:rPr>
          <w:rFonts w:hint="default" w:ascii="仿宋_GB2312" w:hAnsi="宋体" w:eastAsia="仿宋_GB2312" w:cs="仿宋_GB2312"/>
          <w:color w:val="2B2B2B"/>
          <w:sz w:val="19"/>
          <w:szCs w:val="19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6.</w:t>
      </w:r>
      <w:r>
        <w:rPr>
          <w:rFonts w:hint="eastAsia" w:ascii="宋体" w:hAnsi="宋体" w:eastAsia="宋体" w:cs="宋体"/>
          <w:sz w:val="21"/>
          <w:szCs w:val="21"/>
          <w:shd w:val="clear" w:fill="FFFFFF"/>
          <w:vertAlign w:val="baseline"/>
        </w:rPr>
        <w:t xml:space="preserve"> </w:t>
      </w:r>
      <w:r>
        <w:rPr>
          <w:rFonts w:hint="default" w:ascii="仿宋_GB2312" w:hAnsi="宋体" w:eastAsia="仿宋_GB2312" w:cs="仿宋_GB2312"/>
          <w:sz w:val="25"/>
          <w:szCs w:val="25"/>
          <w:shd w:val="clear" w:fill="FFFFFF"/>
          <w:vertAlign w:val="baseline"/>
        </w:rPr>
        <w:t>按照协调发展家园美、村强民富生活美、生态宜居环境美、文明和谐乡风美的“四美”要求，协调完善基础设施，净化农村环境，壮大特色主导产业。</w:t>
      </w: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>组织实施美丽乡村建设，完成2个市级美丽乡村和4个区级美丽乡村创建。</w:t>
      </w:r>
      <w:r>
        <w:rPr>
          <w:rFonts w:hint="eastAsia" w:ascii="宋体" w:hAnsi="宋体" w:eastAsia="宋体" w:cs="宋体"/>
          <w:sz w:val="21"/>
          <w:szCs w:val="21"/>
          <w:shd w:val="clear" w:fill="FFFFFF"/>
          <w:vertAlign w:val="baseline"/>
        </w:rPr>
        <w:t xml:space="preserve"> </w:t>
      </w:r>
      <w:r>
        <w:rPr>
          <w:rFonts w:hint="default" w:ascii="仿宋_GB2312" w:hAnsi="宋体" w:eastAsia="仿宋_GB2312" w:cs="仿宋_GB2312"/>
          <w:sz w:val="25"/>
          <w:szCs w:val="25"/>
          <w:shd w:val="clear" w:fill="FFFFFF"/>
          <w:vertAlign w:val="baseline"/>
        </w:rPr>
        <w:t>支持有条件的村参加全市十大美丽乡村评选活动。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16"/>
        <w:textAlignment w:val="baseline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  <w:vertAlign w:val="baseline"/>
        </w:rPr>
        <w:t>7.打造农村工作亮点。整合项目资金，狠抓典型培育，年内培育农村农业工作亮点3个。</w:t>
      </w: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  <w:vertAlign w:val="baseline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    三、部门预算单位构成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从预算单位构成看，本部门的部门预算只是部门本级（机关）预算</w:t>
      </w:r>
    </w:p>
    <w:tbl>
      <w:tblPr>
        <w:tblW w:w="9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7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7932" w:type="dxa"/>
            <w:tcBorders>
              <w:top w:val="single" w:color="999999" w:sz="4" w:space="0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836" w:type="dxa"/>
            <w:tcBorders>
              <w:top w:val="nil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1</w:t>
            </w:r>
          </w:p>
        </w:tc>
        <w:tc>
          <w:tcPr>
            <w:tcW w:w="7932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渭滨区委农工部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252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截止2018年底，本部门人员编制4人，其中行政编制4人，实有人员4人，其中行政3人、工勤人员1人。单位管理的退休人员2人。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五、部门国有资产占有使用及资产购置情况说明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</w:t>
      </w:r>
      <w:r>
        <w:rPr>
          <w:rFonts w:hint="default" w:ascii="仿宋_GB2312" w:hAnsi="宋体" w:eastAsia="仿宋_GB2312" w:cs="仿宋_GB2312"/>
          <w:color w:val="2B2B2B"/>
          <w:sz w:val="25"/>
          <w:szCs w:val="25"/>
          <w:shd w:val="clear" w:fill="FFFFFF"/>
        </w:rPr>
        <w:t>，本部门没有车辆，无单价18万元以上的设备。2019年部门预算不安排购置车辆，不安排购置单价18万元以上的设备。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2019年本部门实现了绩效目标管理全覆盖，涉及一般公共预算当年拨款646582.28元。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七、2019年部门预算收支说明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（一）收支预算总体情况。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预算收入646582.28元，其中一般公共预算拨款收入646582.28元、2019年本部门预算收入较上年增加98187.32元，主要原因是调整工资和各种奖励；2019年本部门预算支出646582.28元，其中一般公共预算拨款支出646582.28元，2019年本部门预算支出较上年增加98187.32元，主要原因调整工资和各种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（二）财政拨款收支情况。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财政拨款收入646582.28元，其中一般公共预算拨款收入646582.88元，2019年本部门财政拨款收入较上年增加98187.32元，主要原因是调整工资和各种奖励；2019年本部门财政拨款支出646582.28元，其中一般公共预算拨款支出646582.28元，2019年本部门财政拨款支出较上年增加98187.32元，主要原因是调整工资和各种奖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（三）一般公共预算拨款支出明细情况。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1、一般公共预算当年拨款规模变化情况。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2019年本部门一般公共预算拨款支出646582.28元，较上年增加98187.32元，主要原因是调整工资和各种奖励增加。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2、支出按功能科目分类的明细情况。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本部门2019年一般公共预算支出646582.28元，其中：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（1）人员经费584582.28较上年增加98187.32元，原因是调整工资和奖励；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（2）公用经费12000元，与上年一致；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（3）专项业务费50000元，与上年一致。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3、支出按经济科目分类的明细情况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2019年本部门一般公共预算支出646582.28元。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 xml:space="preserve">（1）按照部门预算支出经济分类的类级科目说明。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工资福利支出530858.28元，较上年增加79107.32元，原因是调整工资增加；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商品和服务支出103064元，较上年增加10320元，原因是原因是本部门担任扶贫工作队，下乡频繁，车辆使用费增加；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对个人和家庭的补助支出12660元，较上年增加8760元，原因是职工医疗补助费增加。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（2）按照政府预算支出经济分类的类级科目说明。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机关工资福利支出530858.28元，较上年增加79107.32元，原因是调整工资增加；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机关商品和服务支出103064元，较上年增加10320元，原因是本部门担任扶贫工作队，下乡频繁，车辆使用费增加；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机关对个人和家庭的补助支出12660元，较上年增加8760元，原因是职工医疗补助费增加。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（四）政府性基金预算支出情况。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本部门无政府性基金预算支出，并已公开空表。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（五）国有资本经营预算拨款收支情况。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本部门无国有资本经营预算拨款收支。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252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（六）“三公”经费等预算情况。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“三公”经费预算支出12000元，其中公务接待费5000元、培训费5000元、会议费2000元，以上三项和上年保持一致，没有变化。2018和2019年本部门没有因公出国（出境）、公务用车维护、公务用车购置费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252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（七）机关运行经费安排情况。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文字说明，对部门年度机关运行经费安排情况予以说明，并说明增减变化情况及原因。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本部门2019年机关运行经费预算安排103046元，较上年增加10320元，原因是本部门担任扶贫工作队，下乡频繁，车辆使用费增加；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252"/>
      </w:pPr>
      <w:r>
        <w:rPr>
          <w:rStyle w:val="5"/>
          <w:rFonts w:hint="default" w:ascii="仿宋_GB2312" w:hAnsi="宋体" w:eastAsia="仿宋_GB2312" w:cs="仿宋_GB2312"/>
          <w:sz w:val="25"/>
          <w:szCs w:val="25"/>
          <w:shd w:val="clear" w:fill="FFFFFF"/>
        </w:rPr>
        <w:t>（八）政府采购情况。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2019年本部门政府采购预算共4500元，其中政府采购货物类预算4500元（计划购置电脑一台）。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420" w:lineRule="atLeast"/>
        <w:ind w:left="0" w:right="0" w:firstLine="384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八、2018年专项资金预算说明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384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本部门2019年无专项资金预算。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 w:firstLine="516"/>
      </w:pPr>
      <w:r>
        <w:rPr>
          <w:rStyle w:val="5"/>
          <w:rFonts w:ascii="仿宋" w:hAnsi="仿宋" w:eastAsia="仿宋" w:cs="仿宋"/>
          <w:color w:val="333333"/>
          <w:sz w:val="25"/>
          <w:szCs w:val="25"/>
          <w:shd w:val="clear" w:fill="FFFFFF"/>
        </w:rPr>
        <w:t>2</w:t>
      </w:r>
      <w:r>
        <w:rPr>
          <w:rStyle w:val="5"/>
          <w:rFonts w:hint="eastAsia" w:ascii="仿宋" w:hAnsi="仿宋" w:eastAsia="仿宋" w:cs="仿宋"/>
          <w:color w:val="333333"/>
          <w:sz w:val="25"/>
          <w:szCs w:val="25"/>
          <w:shd w:val="clear" w:fill="FFFFFF"/>
        </w:rPr>
        <w:t>、“三公”经费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fill="FFFFFF"/>
        </w:rPr>
        <w:t>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right="0"/>
      </w:pPr>
      <w:r>
        <w:rPr>
          <w:rFonts w:hint="eastAsia" w:ascii="黑体" w:hAnsi="宋体" w:eastAsia="黑体" w:cs="黑体"/>
          <w:color w:val="333333"/>
          <w:sz w:val="25"/>
          <w:szCs w:val="25"/>
          <w:shd w:val="clear" w:fill="FFFFFF"/>
        </w:rPr>
        <w:t>以上公开内容，均已通过保密审查及本部门主要负责人审签。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1767"/>
    <w:rsid w:val="29F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this"/>
    <w:basedOn w:val="4"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2020-02-28T07:29:00Z</dcterms:created>
  <dc:creator>我不是积极废人</dc:creator>
  <cp:lastModifiedBy>我不是积极废人</cp:lastModifiedBy>
  <dcterms:modified xsi:type="dcterms:W3CDTF">2020-02-28T07:29:59Z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