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宝鸡市渭滨区姜谭路街道办事处</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2020年部门综合预算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二、2020年年度部门工作任务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五、2020年部门预算收支说明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贯彻落实党的十九大、中央经济工作会和省市委全会精神，紧紧围绕建设全省经济五强区建设目标，稳步推进经济发展，创新社会化管理，切实落实民生政策，加强党员干部队伍建设，全面提升服务水平，努力推动街道各项工作实现新突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宋体" w:eastAsia="仿宋_GB2312" w:cs="宋体"/>
          <w:kern w:val="0"/>
          <w:sz w:val="24"/>
        </w:rPr>
      </w:pPr>
      <w:r>
        <w:rPr>
          <w:rFonts w:hint="eastAsia" w:ascii="仿宋" w:hAnsi="仿宋" w:eastAsia="仿宋" w:cs="仿宋"/>
          <w:sz w:val="32"/>
          <w:szCs w:val="32"/>
          <w:lang w:eastAsia="zh-CN"/>
        </w:rPr>
        <w:t>姜谭路街道办事处</w:t>
      </w:r>
      <w:r>
        <w:rPr>
          <w:rFonts w:hint="eastAsia" w:ascii="仿宋" w:hAnsi="仿宋" w:eastAsia="仿宋" w:cs="仿宋"/>
          <w:sz w:val="32"/>
          <w:szCs w:val="32"/>
        </w:rPr>
        <w:t>现内设</w:t>
      </w:r>
      <w:r>
        <w:rPr>
          <w:rFonts w:hint="eastAsia" w:ascii="仿宋" w:hAnsi="仿宋" w:eastAsia="仿宋" w:cs="仿宋"/>
          <w:sz w:val="32"/>
          <w:szCs w:val="32"/>
          <w:lang w:eastAsia="zh-CN"/>
        </w:rPr>
        <w:t>党政办公室（含财政所、人大工作委员会）</w:t>
      </w:r>
      <w:r>
        <w:rPr>
          <w:rFonts w:hint="eastAsia" w:ascii="仿宋" w:hAnsi="仿宋" w:eastAsia="仿宋" w:cs="仿宋"/>
          <w:sz w:val="32"/>
          <w:szCs w:val="32"/>
        </w:rPr>
        <w:t>、</w:t>
      </w:r>
      <w:r>
        <w:rPr>
          <w:rFonts w:hint="eastAsia" w:ascii="仿宋" w:hAnsi="仿宋" w:eastAsia="仿宋" w:cs="仿宋"/>
          <w:sz w:val="32"/>
          <w:szCs w:val="32"/>
          <w:lang w:eastAsia="zh-CN"/>
        </w:rPr>
        <w:t>经济发展（市场监督）办公室（安全生产监督管理者）（含经济综合服务站、公用事业服务站、文化站、食品药品监督管理所、科教文卫办）、社会事务管理办公室及综治维稳办公室（含司法所）等四个办公室。</w:t>
      </w:r>
      <w:r>
        <w:rPr>
          <w:rFonts w:hint="default" w:ascii="仿宋_GB2312" w:hAnsi="宋体" w:eastAsia="仿宋_GB2312" w:cs="宋体"/>
          <w:kern w:val="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二、2020年度部门工作任务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工作思路：继续以服务驻区企业、做好项目建设为抓手，加大招商引资力度，维护辖区社会稳定，切实抓好城市管理工作，加强干部队伍建设，提升服务水平，保持辖区经济平稳快速发展，促使辖区各项工作迈上新台阶。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主要工作：一是以服务驻区企业为重点，加大项目建设工作力度，推动辖区经济发展，努力完成经济指标；二是以各项创建为契机，深化创建活动，促进各项社会事业全面进步；三是以调处企地矛盾为抓手，全力维护安全稳定，保持辖区社会和谐；四是狠抓干部队伍作风，努力提高工作水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从预算单位构成看，</w:t>
      </w:r>
      <w:r>
        <w:rPr>
          <w:rFonts w:hint="eastAsia" w:ascii="仿宋" w:hAnsi="仿宋" w:eastAsia="仿宋" w:cs="仿宋"/>
          <w:sz w:val="32"/>
          <w:szCs w:val="32"/>
          <w:lang w:eastAsia="zh-CN"/>
        </w:rPr>
        <w:t>本单位为一级预算管理单位，经费管理使用财政集中支付方式。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截止2019年底，本部门人员编制</w:t>
      </w:r>
      <w:r>
        <w:rPr>
          <w:rFonts w:hint="eastAsia" w:ascii="仿宋" w:hAnsi="仿宋" w:eastAsia="仿宋" w:cs="仿宋"/>
          <w:sz w:val="32"/>
          <w:szCs w:val="32"/>
          <w:lang w:val="en-US" w:eastAsia="zh-CN"/>
        </w:rPr>
        <w:t>35</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16</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19</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29</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14</w:t>
      </w:r>
      <w:r>
        <w:rPr>
          <w:rFonts w:hint="eastAsia" w:ascii="仿宋" w:hAnsi="仿宋" w:eastAsia="仿宋" w:cs="仿宋"/>
          <w:sz w:val="32"/>
          <w:szCs w:val="32"/>
        </w:rPr>
        <w:t>人、事业</w:t>
      </w:r>
      <w:r>
        <w:rPr>
          <w:rFonts w:hint="eastAsia" w:ascii="仿宋" w:hAnsi="仿宋" w:eastAsia="仿宋" w:cs="仿宋"/>
          <w:sz w:val="32"/>
          <w:szCs w:val="32"/>
          <w:lang w:val="en-US" w:eastAsia="zh-CN"/>
        </w:rPr>
        <w:t>15</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15</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drawing>
          <wp:anchor distT="0" distB="0" distL="114300" distR="114300" simplePos="0" relativeHeight="251658240" behindDoc="0" locked="0" layoutInCell="1" allowOverlap="1">
            <wp:simplePos x="0" y="0"/>
            <wp:positionH relativeFrom="column">
              <wp:posOffset>696595</wp:posOffset>
            </wp:positionH>
            <wp:positionV relativeFrom="paragraph">
              <wp:posOffset>100965</wp:posOffset>
            </wp:positionV>
            <wp:extent cx="3998595" cy="2613660"/>
            <wp:effectExtent l="4445" t="4445" r="16510" b="1079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五、2020年部门预算收支说明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所有收入和支出均纳入部门预算管理。2020年本部门预算收入</w:t>
      </w:r>
      <w:r>
        <w:rPr>
          <w:rFonts w:hint="eastAsia" w:ascii="仿宋" w:hAnsi="仿宋" w:eastAsia="仿宋" w:cs="仿宋"/>
          <w:sz w:val="32"/>
          <w:szCs w:val="32"/>
          <w:lang w:val="en-US" w:eastAsia="zh-CN"/>
        </w:rPr>
        <w:t>331.09</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331.09</w:t>
      </w:r>
      <w:r>
        <w:rPr>
          <w:rFonts w:hint="eastAsia" w:ascii="仿宋" w:hAnsi="仿宋" w:eastAsia="仿宋" w:cs="仿宋"/>
          <w:sz w:val="32"/>
          <w:szCs w:val="32"/>
        </w:rPr>
        <w:t>万元包括人员经费</w:t>
      </w:r>
      <w:r>
        <w:rPr>
          <w:rFonts w:hint="eastAsia" w:ascii="仿宋" w:hAnsi="仿宋" w:eastAsia="仿宋" w:cs="仿宋"/>
          <w:sz w:val="32"/>
          <w:szCs w:val="32"/>
          <w:lang w:val="en-US" w:eastAsia="zh-CN"/>
        </w:rPr>
        <w:t>301.08万元</w:t>
      </w:r>
      <w:r>
        <w:rPr>
          <w:rFonts w:hint="eastAsia" w:ascii="仿宋" w:hAnsi="仿宋" w:eastAsia="仿宋" w:cs="仿宋"/>
          <w:sz w:val="32"/>
          <w:szCs w:val="32"/>
        </w:rPr>
        <w:t>和公用经费</w:t>
      </w:r>
      <w:r>
        <w:rPr>
          <w:rFonts w:hint="eastAsia" w:ascii="仿宋" w:hAnsi="仿宋" w:eastAsia="仿宋" w:cs="仿宋"/>
          <w:sz w:val="32"/>
          <w:szCs w:val="32"/>
          <w:lang w:val="en-US" w:eastAsia="zh-CN"/>
        </w:rPr>
        <w:t>30.01万</w:t>
      </w:r>
      <w:r>
        <w:rPr>
          <w:rFonts w:hint="eastAsia" w:ascii="仿宋" w:hAnsi="仿宋" w:eastAsia="仿宋" w:cs="仿宋"/>
          <w:sz w:val="32"/>
          <w:szCs w:val="32"/>
        </w:rPr>
        <w:t>元全部为一般公共预算拨款支出</w:t>
      </w:r>
      <w:r>
        <w:rPr>
          <w:rFonts w:hint="eastAsia" w:ascii="仿宋" w:hAnsi="仿宋" w:eastAsia="仿宋" w:cs="仿宋"/>
          <w:sz w:val="32"/>
          <w:szCs w:val="32"/>
          <w:lang w:eastAsia="zh-CN"/>
        </w:rPr>
        <w:t>，较上年</w:t>
      </w:r>
      <w:r>
        <w:rPr>
          <w:rFonts w:hint="eastAsia" w:ascii="仿宋" w:hAnsi="仿宋" w:eastAsia="仿宋" w:cs="仿宋"/>
          <w:sz w:val="32"/>
          <w:szCs w:val="32"/>
          <w:lang w:val="en-US" w:eastAsia="zh-CN"/>
        </w:rPr>
        <w:t>361.90万元</w:t>
      </w:r>
      <w:r>
        <w:rPr>
          <w:rFonts w:hint="eastAsia" w:ascii="仿宋" w:hAnsi="仿宋" w:eastAsia="仿宋" w:cs="仿宋"/>
          <w:sz w:val="32"/>
          <w:szCs w:val="32"/>
        </w:rPr>
        <w:t>减少</w:t>
      </w:r>
      <w:r>
        <w:rPr>
          <w:rFonts w:hint="eastAsia" w:ascii="仿宋" w:hAnsi="仿宋" w:eastAsia="仿宋" w:cs="仿宋"/>
          <w:sz w:val="32"/>
          <w:szCs w:val="32"/>
          <w:lang w:val="en-US" w:eastAsia="zh-CN"/>
        </w:rPr>
        <w:t>30</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人员工资变动以及预算中减少了奖金并按照上级要求缩减了</w:t>
      </w:r>
      <w:r>
        <w:rPr>
          <w:rFonts w:hint="eastAsia" w:ascii="仿宋" w:hAnsi="仿宋" w:eastAsia="仿宋" w:cs="仿宋"/>
          <w:sz w:val="32"/>
          <w:szCs w:val="32"/>
          <w:lang w:val="en-US" w:eastAsia="zh-CN"/>
        </w:rPr>
        <w:t>5%的办公经费</w:t>
      </w:r>
      <w:r>
        <w:rPr>
          <w:rFonts w:hint="eastAsia" w:ascii="仿宋" w:hAnsi="仿宋" w:eastAsia="仿宋" w:cs="仿宋"/>
          <w:sz w:val="32"/>
          <w:szCs w:val="32"/>
        </w:rPr>
        <w:t>；2020年本部门预算支出</w:t>
      </w:r>
      <w:r>
        <w:rPr>
          <w:rFonts w:hint="eastAsia" w:ascii="仿宋" w:hAnsi="仿宋" w:eastAsia="仿宋" w:cs="仿宋"/>
          <w:sz w:val="32"/>
          <w:szCs w:val="32"/>
          <w:lang w:val="en-US" w:eastAsia="zh-CN"/>
        </w:rPr>
        <w:t>331.09</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331.09</w:t>
      </w:r>
      <w:r>
        <w:rPr>
          <w:rFonts w:hint="eastAsia" w:ascii="仿宋" w:hAnsi="仿宋" w:eastAsia="仿宋" w:cs="仿宋"/>
          <w:sz w:val="32"/>
          <w:szCs w:val="32"/>
        </w:rPr>
        <w:t>万元，2020年本部门预算支出较上年减少</w:t>
      </w:r>
      <w:r>
        <w:rPr>
          <w:rFonts w:hint="eastAsia" w:ascii="仿宋" w:hAnsi="仿宋" w:eastAsia="仿宋" w:cs="仿宋"/>
          <w:sz w:val="32"/>
          <w:szCs w:val="32"/>
          <w:lang w:val="en-US" w:eastAsia="zh-CN"/>
        </w:rPr>
        <w:t>30</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人员工资变动以及预算中减少了奖金并按照上级要求缩减了</w:t>
      </w:r>
      <w:r>
        <w:rPr>
          <w:rFonts w:hint="eastAsia" w:ascii="仿宋" w:hAnsi="仿宋" w:eastAsia="仿宋" w:cs="仿宋"/>
          <w:sz w:val="32"/>
          <w:szCs w:val="32"/>
          <w:lang w:val="en-US" w:eastAsia="zh-CN"/>
        </w:rPr>
        <w:t>5%的办公经费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2020年本部门预算收入</w:t>
      </w:r>
      <w:r>
        <w:rPr>
          <w:rFonts w:hint="eastAsia" w:ascii="仿宋" w:hAnsi="仿宋" w:eastAsia="仿宋" w:cs="仿宋"/>
          <w:sz w:val="32"/>
          <w:szCs w:val="32"/>
          <w:lang w:val="en-US" w:eastAsia="zh-CN"/>
        </w:rPr>
        <w:t>331.09</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331.09</w:t>
      </w:r>
      <w:r>
        <w:rPr>
          <w:rFonts w:hint="eastAsia" w:ascii="仿宋" w:hAnsi="仿宋" w:eastAsia="仿宋" w:cs="仿宋"/>
          <w:sz w:val="32"/>
          <w:szCs w:val="32"/>
        </w:rPr>
        <w:t>万元包括人员经费</w:t>
      </w:r>
      <w:r>
        <w:rPr>
          <w:rFonts w:hint="eastAsia" w:ascii="仿宋" w:hAnsi="仿宋" w:eastAsia="仿宋" w:cs="仿宋"/>
          <w:sz w:val="32"/>
          <w:szCs w:val="32"/>
          <w:lang w:val="en-US" w:eastAsia="zh-CN"/>
        </w:rPr>
        <w:t>301.08万元</w:t>
      </w:r>
      <w:r>
        <w:rPr>
          <w:rFonts w:hint="eastAsia" w:ascii="仿宋" w:hAnsi="仿宋" w:eastAsia="仿宋" w:cs="仿宋"/>
          <w:sz w:val="32"/>
          <w:szCs w:val="32"/>
        </w:rPr>
        <w:t>和公用经费</w:t>
      </w:r>
      <w:r>
        <w:rPr>
          <w:rFonts w:hint="eastAsia" w:ascii="仿宋" w:hAnsi="仿宋" w:eastAsia="仿宋" w:cs="仿宋"/>
          <w:sz w:val="32"/>
          <w:szCs w:val="32"/>
          <w:lang w:val="en-US" w:eastAsia="zh-CN"/>
        </w:rPr>
        <w:t>30.01万</w:t>
      </w:r>
      <w:r>
        <w:rPr>
          <w:rFonts w:hint="eastAsia" w:ascii="仿宋" w:hAnsi="仿宋" w:eastAsia="仿宋" w:cs="仿宋"/>
          <w:sz w:val="32"/>
          <w:szCs w:val="32"/>
        </w:rPr>
        <w:t>元全部为一般公共预算拨款支出</w:t>
      </w:r>
      <w:r>
        <w:rPr>
          <w:rFonts w:hint="eastAsia" w:ascii="仿宋" w:hAnsi="仿宋" w:eastAsia="仿宋" w:cs="仿宋"/>
          <w:sz w:val="32"/>
          <w:szCs w:val="32"/>
          <w:lang w:eastAsia="zh-CN"/>
        </w:rPr>
        <w:t>，较上年</w:t>
      </w:r>
      <w:r>
        <w:rPr>
          <w:rFonts w:hint="eastAsia" w:ascii="仿宋" w:hAnsi="仿宋" w:eastAsia="仿宋" w:cs="仿宋"/>
          <w:sz w:val="32"/>
          <w:szCs w:val="32"/>
          <w:lang w:val="en-US" w:eastAsia="zh-CN"/>
        </w:rPr>
        <w:t>361.90万元</w:t>
      </w:r>
      <w:r>
        <w:rPr>
          <w:rFonts w:hint="eastAsia" w:ascii="仿宋" w:hAnsi="仿宋" w:eastAsia="仿宋" w:cs="仿宋"/>
          <w:sz w:val="32"/>
          <w:szCs w:val="32"/>
        </w:rPr>
        <w:t>减少</w:t>
      </w:r>
      <w:r>
        <w:rPr>
          <w:rFonts w:hint="eastAsia" w:ascii="仿宋" w:hAnsi="仿宋" w:eastAsia="仿宋" w:cs="仿宋"/>
          <w:sz w:val="32"/>
          <w:szCs w:val="32"/>
          <w:lang w:val="en-US" w:eastAsia="zh-CN"/>
        </w:rPr>
        <w:t>30</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人员工资变动以及预算中减少了奖金并按照上级要求缩减了</w:t>
      </w:r>
      <w:r>
        <w:rPr>
          <w:rFonts w:hint="eastAsia" w:ascii="仿宋" w:hAnsi="仿宋" w:eastAsia="仿宋" w:cs="仿宋"/>
          <w:sz w:val="32"/>
          <w:szCs w:val="32"/>
          <w:lang w:val="en-US" w:eastAsia="zh-CN"/>
        </w:rPr>
        <w:t>5%的办公经费</w:t>
      </w:r>
      <w:r>
        <w:rPr>
          <w:rFonts w:hint="eastAsia" w:ascii="仿宋" w:hAnsi="仿宋" w:eastAsia="仿宋" w:cs="仿宋"/>
          <w:sz w:val="32"/>
          <w:szCs w:val="32"/>
        </w:rPr>
        <w:t>；2020年本部门预算支出</w:t>
      </w:r>
      <w:r>
        <w:rPr>
          <w:rFonts w:hint="eastAsia" w:ascii="仿宋" w:hAnsi="仿宋" w:eastAsia="仿宋" w:cs="仿宋"/>
          <w:sz w:val="32"/>
          <w:szCs w:val="32"/>
          <w:lang w:val="en-US" w:eastAsia="zh-CN"/>
        </w:rPr>
        <w:t>331.09</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331.09</w:t>
      </w:r>
      <w:r>
        <w:rPr>
          <w:rFonts w:hint="eastAsia" w:ascii="仿宋" w:hAnsi="仿宋" w:eastAsia="仿宋" w:cs="仿宋"/>
          <w:sz w:val="32"/>
          <w:szCs w:val="32"/>
        </w:rPr>
        <w:t>万元，2020年本部门预算支出较上年减少</w:t>
      </w:r>
      <w:r>
        <w:rPr>
          <w:rFonts w:hint="eastAsia" w:ascii="仿宋" w:hAnsi="仿宋" w:eastAsia="仿宋" w:cs="仿宋"/>
          <w:sz w:val="32"/>
          <w:szCs w:val="32"/>
          <w:lang w:val="en-US" w:eastAsia="zh-CN"/>
        </w:rPr>
        <w:t>30</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人员工资变动以及预算中减少了奖金并按照上级要求缩减了</w:t>
      </w:r>
      <w:r>
        <w:rPr>
          <w:rFonts w:hint="eastAsia" w:ascii="仿宋" w:hAnsi="仿宋" w:eastAsia="仿宋" w:cs="仿宋"/>
          <w:sz w:val="32"/>
          <w:szCs w:val="32"/>
          <w:lang w:val="en-US" w:eastAsia="zh-CN"/>
        </w:rPr>
        <w:t>5%的办公经费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2020年本部门预算收入</w:t>
      </w:r>
      <w:r>
        <w:rPr>
          <w:rFonts w:hint="eastAsia" w:ascii="仿宋" w:hAnsi="仿宋" w:eastAsia="仿宋" w:cs="仿宋"/>
          <w:sz w:val="32"/>
          <w:szCs w:val="32"/>
          <w:lang w:val="en-US" w:eastAsia="zh-CN"/>
        </w:rPr>
        <w:t>331.09</w:t>
      </w:r>
      <w:r>
        <w:rPr>
          <w:rFonts w:hint="eastAsia" w:ascii="仿宋" w:hAnsi="仿宋" w:eastAsia="仿宋" w:cs="仿宋"/>
          <w:sz w:val="32"/>
          <w:szCs w:val="32"/>
        </w:rPr>
        <w:t>万元</w:t>
      </w:r>
      <w:r>
        <w:rPr>
          <w:rFonts w:hint="eastAsia" w:ascii="仿宋" w:hAnsi="仿宋" w:eastAsia="仿宋" w:cs="仿宋"/>
          <w:sz w:val="32"/>
          <w:szCs w:val="32"/>
          <w:lang w:eastAsia="zh-CN"/>
        </w:rPr>
        <w:t>，较上年</w:t>
      </w:r>
      <w:r>
        <w:rPr>
          <w:rFonts w:hint="eastAsia" w:ascii="仿宋" w:hAnsi="仿宋" w:eastAsia="仿宋" w:cs="仿宋"/>
          <w:sz w:val="32"/>
          <w:szCs w:val="32"/>
          <w:lang w:val="en-US" w:eastAsia="zh-CN"/>
        </w:rPr>
        <w:t>361.90万元</w:t>
      </w:r>
      <w:r>
        <w:rPr>
          <w:rFonts w:hint="eastAsia" w:ascii="仿宋" w:hAnsi="仿宋" w:eastAsia="仿宋" w:cs="仿宋"/>
          <w:sz w:val="32"/>
          <w:szCs w:val="32"/>
        </w:rPr>
        <w:t>减少</w:t>
      </w:r>
      <w:r>
        <w:rPr>
          <w:rFonts w:hint="eastAsia" w:ascii="仿宋" w:hAnsi="仿宋" w:eastAsia="仿宋" w:cs="仿宋"/>
          <w:sz w:val="32"/>
          <w:szCs w:val="32"/>
          <w:lang w:val="en-US" w:eastAsia="zh-CN"/>
        </w:rPr>
        <w:t>30</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人员工资变动以及预算中减少了奖金并按照上级要求缩减了</w:t>
      </w:r>
      <w:r>
        <w:rPr>
          <w:rFonts w:hint="eastAsia" w:ascii="仿宋" w:hAnsi="仿宋" w:eastAsia="仿宋" w:cs="仿宋"/>
          <w:sz w:val="32"/>
          <w:szCs w:val="32"/>
          <w:lang w:val="en-US" w:eastAsia="zh-CN"/>
        </w:rPr>
        <w:t>5%的办公经费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342765" cy="1867535"/>
            <wp:effectExtent l="4445" t="4445" r="15240"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支出按功能科目分类的明细情况。</w:t>
      </w:r>
    </w:p>
    <w:p>
      <w:pPr>
        <w:widowControl/>
        <w:spacing w:before="100" w:beforeAutospacing="1" w:after="100" w:afterAutospacing="1" w:line="420" w:lineRule="atLeast"/>
        <w:ind w:firstLine="48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（1）行政运行（2010</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01）</w:t>
      </w:r>
      <w:r>
        <w:rPr>
          <w:rFonts w:hint="eastAsia" w:ascii="仿宋" w:hAnsi="仿宋" w:eastAsia="仿宋" w:cs="仿宋"/>
          <w:sz w:val="32"/>
          <w:szCs w:val="32"/>
          <w:lang w:val="en-US" w:eastAsia="zh-CN"/>
        </w:rPr>
        <w:t>278.89万元上年减少43.68万元</w:t>
      </w:r>
      <w:r>
        <w:rPr>
          <w:rFonts w:hint="eastAsia" w:ascii="仿宋" w:hAnsi="仿宋" w:eastAsia="仿宋" w:cs="仿宋"/>
          <w:sz w:val="32"/>
          <w:szCs w:val="32"/>
          <w:lang w:eastAsia="zh-CN"/>
        </w:rPr>
        <w:t>，原因是人员工资变动以及预算中减少了奖金并按照上级要求缩减了</w:t>
      </w:r>
      <w:r>
        <w:rPr>
          <w:rFonts w:hint="eastAsia" w:ascii="仿宋" w:hAnsi="仿宋" w:eastAsia="仿宋" w:cs="仿宋"/>
          <w:sz w:val="32"/>
          <w:szCs w:val="32"/>
          <w:lang w:val="en-US" w:eastAsia="zh-CN"/>
        </w:rPr>
        <w:t>5%的办公经费</w:t>
      </w:r>
      <w:r>
        <w:rPr>
          <w:rFonts w:hint="eastAsia" w:ascii="仿宋" w:hAnsi="仿宋" w:eastAsia="仿宋" w:cs="仿宋"/>
          <w:sz w:val="32"/>
          <w:szCs w:val="32"/>
          <w:lang w:eastAsia="zh-CN"/>
        </w:rPr>
        <w:t>。</w:t>
      </w:r>
    </w:p>
    <w:p>
      <w:pPr>
        <w:widowControl/>
        <w:spacing w:before="100" w:beforeAutospacing="1" w:after="100" w:afterAutospacing="1" w:line="420" w:lineRule="atLeast"/>
        <w:ind w:firstLine="48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）基本养老保险缴费（</w:t>
      </w:r>
      <w:r>
        <w:rPr>
          <w:rFonts w:hint="eastAsia" w:ascii="仿宋" w:hAnsi="仿宋" w:eastAsia="仿宋" w:cs="仿宋"/>
          <w:sz w:val="32"/>
          <w:szCs w:val="32"/>
          <w:lang w:val="en-US" w:eastAsia="zh-CN"/>
        </w:rPr>
        <w:t>2080505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31.9万元</w:t>
      </w:r>
      <w:r>
        <w:rPr>
          <w:rFonts w:hint="eastAsia" w:ascii="仿宋" w:hAnsi="仿宋" w:eastAsia="仿宋" w:cs="仿宋"/>
          <w:sz w:val="32"/>
          <w:szCs w:val="32"/>
          <w:lang w:eastAsia="zh-CN"/>
        </w:rPr>
        <w:t>较上年增加</w:t>
      </w:r>
      <w:r>
        <w:rPr>
          <w:rFonts w:hint="eastAsia" w:ascii="仿宋" w:hAnsi="仿宋" w:eastAsia="仿宋" w:cs="仿宋"/>
          <w:sz w:val="32"/>
          <w:szCs w:val="32"/>
          <w:lang w:val="en-US" w:eastAsia="zh-CN"/>
        </w:rPr>
        <w:t>3.64万元</w:t>
      </w:r>
      <w:r>
        <w:rPr>
          <w:rFonts w:hint="eastAsia" w:ascii="仿宋" w:hAnsi="仿宋" w:eastAsia="仿宋" w:cs="仿宋"/>
          <w:sz w:val="32"/>
          <w:szCs w:val="32"/>
          <w:lang w:eastAsia="zh-CN"/>
        </w:rPr>
        <w:t>原因是单位人员工资变动带来的缴费基数变化。</w:t>
      </w:r>
    </w:p>
    <w:p>
      <w:pPr>
        <w:widowControl/>
        <w:spacing w:before="100" w:beforeAutospacing="1" w:after="100" w:afterAutospacing="1" w:line="420" w:lineRule="atLeast"/>
        <w:ind w:firstLine="48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 行政单位医疗（</w:t>
      </w:r>
      <w:r>
        <w:rPr>
          <w:rFonts w:hint="eastAsia" w:ascii="仿宋" w:hAnsi="仿宋" w:eastAsia="仿宋" w:cs="仿宋"/>
          <w:sz w:val="32"/>
          <w:szCs w:val="32"/>
          <w:lang w:val="en-US" w:eastAsia="zh-CN"/>
        </w:rPr>
        <w:t>2101101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20.3万元</w:t>
      </w:r>
      <w:r>
        <w:rPr>
          <w:rFonts w:hint="eastAsia" w:ascii="仿宋" w:hAnsi="仿宋" w:eastAsia="仿宋" w:cs="仿宋"/>
          <w:sz w:val="32"/>
          <w:szCs w:val="32"/>
          <w:lang w:eastAsia="zh-CN"/>
        </w:rPr>
        <w:t>较上年增加</w:t>
      </w:r>
      <w:r>
        <w:rPr>
          <w:rFonts w:hint="eastAsia" w:ascii="仿宋" w:hAnsi="仿宋" w:eastAsia="仿宋" w:cs="仿宋"/>
          <w:sz w:val="32"/>
          <w:szCs w:val="32"/>
          <w:lang w:val="en-US" w:eastAsia="zh-CN"/>
        </w:rPr>
        <w:t>9.22万元原因是人员变化以及缴费基数变更</w:t>
      </w:r>
      <w:r>
        <w:rPr>
          <w:rFonts w:hint="eastAsia" w:ascii="仿宋" w:hAnsi="仿宋" w:eastAsia="仿宋" w:cs="仿宋"/>
          <w:sz w:val="32"/>
          <w:szCs w:val="32"/>
          <w:lang w:eastAsia="zh-CN"/>
        </w:rPr>
        <w:t>。</w:t>
      </w:r>
    </w:p>
    <w:p>
      <w:pPr>
        <w:widowControl/>
        <w:spacing w:before="100" w:beforeAutospacing="1" w:after="100" w:afterAutospacing="1" w:line="420" w:lineRule="atLeast"/>
        <w:ind w:firstLine="48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962525" cy="2652395"/>
            <wp:effectExtent l="4445" t="4445" r="5080" b="101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（1）2020年本部门当年一般公共预算支出</w:t>
      </w:r>
      <w:r>
        <w:rPr>
          <w:rFonts w:hint="eastAsia" w:ascii="仿宋" w:hAnsi="仿宋" w:eastAsia="仿宋" w:cs="仿宋"/>
          <w:sz w:val="32"/>
          <w:szCs w:val="32"/>
          <w:lang w:val="en-US" w:eastAsia="zh-CN"/>
        </w:rPr>
        <w:t>331.09</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289.52</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18.64</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人员工资变动增加，加少了奖金预算以及医疗补助预算科目变更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40.21</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5.64</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人员变化及缩减办公经费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对个人和家庭的补助支出（303）</w:t>
      </w:r>
      <w:r>
        <w:rPr>
          <w:rFonts w:hint="eastAsia" w:ascii="仿宋" w:hAnsi="仿宋" w:eastAsia="仿宋" w:cs="仿宋"/>
          <w:sz w:val="32"/>
          <w:szCs w:val="32"/>
          <w:lang w:val="en-US" w:eastAsia="zh-CN"/>
        </w:rPr>
        <w:t>1.36</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6.54</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人员变化及医疗补助预算科目变更。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962525" cy="2652395"/>
            <wp:effectExtent l="4445" t="4445" r="5080" b="1016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（2）2020年本部门当年一般公共预算支出</w:t>
      </w:r>
      <w:r>
        <w:rPr>
          <w:rFonts w:hint="eastAsia" w:ascii="仿宋" w:hAnsi="仿宋" w:eastAsia="仿宋" w:cs="仿宋"/>
          <w:sz w:val="32"/>
          <w:szCs w:val="32"/>
          <w:lang w:val="en-US" w:eastAsia="zh-CN"/>
        </w:rPr>
        <w:t>331.09</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工资奖金津补贴（50101）175.52</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31.49</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人员工资变动增加，减少了奖金预算以及医疗补助预算科目变更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社会保障缴费</w:t>
      </w:r>
      <w:r>
        <w:rPr>
          <w:rFonts w:hint="eastAsia" w:ascii="仿宋" w:hAnsi="仿宋" w:eastAsia="仿宋" w:cs="仿宋"/>
          <w:sz w:val="32"/>
          <w:szCs w:val="32"/>
        </w:rPr>
        <w:t>（</w:t>
      </w:r>
      <w:r>
        <w:rPr>
          <w:rFonts w:hint="eastAsia" w:ascii="仿宋" w:hAnsi="仿宋" w:eastAsia="仿宋" w:cs="仿宋"/>
          <w:sz w:val="32"/>
          <w:szCs w:val="32"/>
          <w:lang w:val="en-US" w:eastAsia="zh-CN"/>
        </w:rPr>
        <w:t>50102</w:t>
      </w:r>
      <w:r>
        <w:rPr>
          <w:rFonts w:hint="eastAsia" w:ascii="仿宋" w:hAnsi="仿宋" w:eastAsia="仿宋" w:cs="仿宋"/>
          <w:sz w:val="32"/>
          <w:szCs w:val="32"/>
        </w:rPr>
        <w:t>）</w:t>
      </w:r>
      <w:r>
        <w:rPr>
          <w:rFonts w:hint="eastAsia" w:ascii="仿宋" w:hAnsi="仿宋" w:eastAsia="仿宋" w:cs="仿宋"/>
          <w:sz w:val="32"/>
          <w:szCs w:val="32"/>
          <w:lang w:val="en-US" w:eastAsia="zh-CN"/>
        </w:rPr>
        <w:t>60.13</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20.53</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人员工资变动导致各类保险缴费基数变化以及医疗补助预算科目变更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住房公积金（</w:t>
      </w:r>
      <w:r>
        <w:rPr>
          <w:rFonts w:hint="eastAsia" w:ascii="仿宋" w:hAnsi="仿宋" w:eastAsia="仿宋" w:cs="仿宋"/>
          <w:sz w:val="32"/>
          <w:szCs w:val="32"/>
          <w:lang w:val="en-US" w:eastAsia="zh-CN"/>
        </w:rPr>
        <w:t>50103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22.7万元，较上年增加3.13万元，原因是人员变动及工资变动带来的增加；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其他工资福利支出（50199）31.17万元，较上年减少减少10.8万元，主要原因是事业人员改革性补贴预算科目变更；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办公经费（50201）15.03万元，较上年减少4.87万元，主要原因是办公经费按上级要求缩减5%以及降温费预算科目变更；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委托业务费（50205）4.78万元，较上年增加0.24万元，原因是扶贫专岗最低工资标准增加；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公务接待费（50206）0.3万元，与上年持平；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其他商品和服务支出（50299）20.1万元，较上年增加1.98万元，主要原因是人员增加带来的变化；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社会福利和救助（50901）1.36万元，</w:t>
      </w:r>
      <w:r>
        <w:rPr>
          <w:rFonts w:hint="eastAsia" w:ascii="仿宋" w:hAnsi="仿宋" w:eastAsia="仿宋" w:cs="仿宋"/>
          <w:sz w:val="32"/>
          <w:szCs w:val="32"/>
        </w:rPr>
        <w:t>原因是</w:t>
      </w:r>
      <w:r>
        <w:rPr>
          <w:rFonts w:hint="eastAsia" w:ascii="仿宋" w:hAnsi="仿宋" w:eastAsia="仿宋" w:cs="仿宋"/>
          <w:sz w:val="32"/>
          <w:szCs w:val="32"/>
          <w:lang w:eastAsia="zh-CN"/>
        </w:rPr>
        <w:t>人员变化及医疗补助预算科目变更。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874260" cy="3605530"/>
            <wp:effectExtent l="4445" t="5080" r="17145" b="889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（四）政府性基金预算支出情况。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2020年本部门没有使用政府性基金预算拨款安排的支出，并已公开空表。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（五）国有资本经营预算拨款收支情况。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本部门无国有资本经营预算拨款收支。</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2020 年“三公”经费预算3000元，其中因公出国（境）费用 0元，公务用车购置运行费0元，公务接待费用3000元。因公车改革已无公车因此公车购置及运行维护费为0元，同比2019年预算，2020年公务接待费预算持平。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截止2019年底，本部门共有车辆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台（套）。2020年当年部门预算安排购置车辆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本部门无2019年结转的财政拨款支出资产购置。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本部门2020年无政府采购预算，并已公开空表</w:t>
      </w:r>
      <w:r>
        <w:rPr>
          <w:rFonts w:hint="eastAsia" w:ascii="仿宋" w:hAnsi="仿宋" w:eastAsia="仿宋" w:cs="仿宋"/>
          <w:sz w:val="32"/>
          <w:szCs w:val="32"/>
          <w:lang w:eastAsia="zh-CN"/>
        </w:rPr>
        <w:t>，</w:t>
      </w:r>
      <w:r>
        <w:rPr>
          <w:rFonts w:hint="eastAsia" w:ascii="仿宋" w:hAnsi="仿宋" w:eastAsia="仿宋" w:cs="仿宋"/>
          <w:sz w:val="32"/>
          <w:szCs w:val="32"/>
        </w:rPr>
        <w:t>本部门无2019年结转的政府采购资金支出。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2020年本部门绩效目标管理全覆盖，涉及当年一般公共预算拨款</w:t>
      </w:r>
      <w:r>
        <w:rPr>
          <w:rFonts w:hint="eastAsia" w:ascii="仿宋" w:hAnsi="仿宋" w:eastAsia="仿宋" w:cs="仿宋"/>
          <w:sz w:val="32"/>
          <w:szCs w:val="32"/>
          <w:lang w:val="en-US" w:eastAsia="zh-CN"/>
        </w:rPr>
        <w:t>331.09</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本部门无2019年结转的财政拨款支出涉及的绩效目标管理。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40.21</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5.64</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人员变化及缩减办公经费。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本部门无2019年结转的财政拨款机关运行经费支出。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文字说明，机关运行经费为必须解释的专业名词，其他专业名词解释可由部门根据业务内容等自行选择。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以上公开内容，均已通过保密审查及本部门主要负责人审签</w:t>
      </w:r>
      <w:bookmarkStart w:id="0" w:name="_GoBack"/>
      <w:bookmarkEnd w:id="0"/>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（见附件2内容）</w:t>
      </w:r>
      <w:r>
        <w:rPr>
          <w:rFonts w:hint="eastAsia" w:ascii="仿宋" w:hAnsi="仿宋" w:eastAsia="仿宋" w:cs="仿宋"/>
          <w:sz w:val="32"/>
          <w:szCs w:val="3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0381D"/>
    <w:rsid w:val="0C8A073A"/>
    <w:rsid w:val="1ED0381D"/>
    <w:rsid w:val="25A66740"/>
    <w:rsid w:val="34C42859"/>
    <w:rsid w:val="38050FF2"/>
    <w:rsid w:val="3EC119DA"/>
    <w:rsid w:val="3FFD74EF"/>
    <w:rsid w:val="41683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部门人员情况表</a:t>
            </a:r>
          </a:p>
        </c:rich>
      </c:tx>
      <c:layout/>
      <c:overlay val="0"/>
      <c:spPr>
        <a:noFill/>
        <a:ln>
          <a:noFill/>
        </a:ln>
        <a:effectLst/>
      </c:spPr>
    </c:title>
    <c:autoTitleDeleted val="0"/>
    <c:plotArea>
      <c:layout>
        <c:manualLayout>
          <c:layoutTarget val="inner"/>
          <c:xMode val="edge"/>
          <c:yMode val="edge"/>
          <c:x val="0.0715287729512499"/>
          <c:y val="0.177211177574478"/>
          <c:w val="0.904967971530249"/>
          <c:h val="0.634353448275862"/>
        </c:manualLayout>
      </c:layout>
      <c:barChart>
        <c:barDir val="col"/>
        <c:grouping val="clustered"/>
        <c:varyColors val="0"/>
        <c:ser>
          <c:idx val="0"/>
          <c:order val="0"/>
          <c:tx>
            <c:strRef>
              <c:f>Sheet1!$B$1</c:f>
              <c:strCache>
                <c:ptCount val="1"/>
                <c:pt idx="0">
                  <c:v>编制数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编制数</c:v>
                </c:pt>
                <c:pt idx="1">
                  <c:v>行政人数</c:v>
                </c:pt>
                <c:pt idx="2">
                  <c:v>事业人数</c:v>
                </c:pt>
                <c:pt idx="3">
                  <c:v>离退人数</c:v>
                </c:pt>
              </c:strCache>
            </c:strRef>
          </c:cat>
          <c:val>
            <c:numRef>
              <c:f>Sheet1!$B$2:$B$5</c:f>
              <c:numCache>
                <c:formatCode>General</c:formatCode>
                <c:ptCount val="4"/>
                <c:pt idx="0">
                  <c:v>35</c:v>
                </c:pt>
                <c:pt idx="1">
                  <c:v>16</c:v>
                </c:pt>
                <c:pt idx="2">
                  <c:v>19</c:v>
                </c:pt>
                <c:pt idx="3">
                  <c:v>15</c:v>
                </c:pt>
              </c:numCache>
            </c:numRef>
          </c:val>
        </c:ser>
        <c:ser>
          <c:idx val="1"/>
          <c:order val="1"/>
          <c:tx>
            <c:strRef>
              <c:f>Sheet1!$C$1</c:f>
              <c:strCache>
                <c:ptCount val="1"/>
                <c:pt idx="0">
                  <c:v>实有数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编制数</c:v>
                </c:pt>
                <c:pt idx="1">
                  <c:v>行政人数</c:v>
                </c:pt>
                <c:pt idx="2">
                  <c:v>事业人数</c:v>
                </c:pt>
                <c:pt idx="3">
                  <c:v>离退人数</c:v>
                </c:pt>
              </c:strCache>
            </c:strRef>
          </c:cat>
          <c:val>
            <c:numRef>
              <c:f>Sheet1!$C$2:$C$5</c:f>
              <c:numCache>
                <c:formatCode>General</c:formatCode>
                <c:ptCount val="4"/>
                <c:pt idx="0">
                  <c:v>29</c:v>
                </c:pt>
                <c:pt idx="1">
                  <c:v>14</c:v>
                </c:pt>
                <c:pt idx="2">
                  <c:v>15</c:v>
                </c:pt>
                <c:pt idx="3">
                  <c:v>15</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编制数</c:v>
                </c:pt>
                <c:pt idx="1">
                  <c:v>行政人数</c:v>
                </c:pt>
                <c:pt idx="2">
                  <c:v>事业人数</c:v>
                </c:pt>
                <c:pt idx="3">
                  <c:v>离退人数</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677505692"/>
        <c:axId val="406359577"/>
      </c:barChart>
      <c:catAx>
        <c:axId val="6775056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6359577"/>
        <c:crosses val="autoZero"/>
        <c:auto val="1"/>
        <c:lblAlgn val="ctr"/>
        <c:lblOffset val="100"/>
        <c:noMultiLvlLbl val="0"/>
      </c:catAx>
      <c:valAx>
        <c:axId val="406359577"/>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750569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一般公共预算上下年对比</a:t>
            </a:r>
          </a:p>
        </c:rich>
      </c:tx>
      <c:layout/>
      <c:overlay val="0"/>
      <c:spPr>
        <a:noFill/>
        <a:ln>
          <a:noFill/>
        </a:ln>
        <a:effectLst/>
      </c:spPr>
    </c:title>
    <c:autoTitleDeleted val="0"/>
    <c:plotArea>
      <c:layout/>
      <c:pieChart>
        <c:varyColors val="1"/>
        <c:ser>
          <c:idx val="0"/>
          <c:order val="0"/>
          <c:tx>
            <c:strRef>
              <c:f>Sheet1!$B$1</c:f>
              <c:strCache>
                <c:ptCount val="1"/>
                <c:pt idx="0">
                  <c:v>一般公共预算上下年对比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2020年度</c:v>
                </c:pt>
                <c:pt idx="1">
                  <c:v>2019年度</c:v>
                </c:pt>
              </c:strCache>
            </c:strRef>
          </c:cat>
          <c:val>
            <c:numRef>
              <c:f>Sheet1!$B$2:$B$3</c:f>
              <c:numCache>
                <c:formatCode>General</c:formatCode>
                <c:ptCount val="2"/>
                <c:pt idx="0">
                  <c:v>331.09</c:v>
                </c:pt>
                <c:pt idx="1">
                  <c:v>361.9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支出功能科目分类上下年对比</a:t>
            </a:r>
          </a:p>
        </c:rich>
      </c:tx>
      <c:layout/>
      <c:overlay val="0"/>
      <c:spPr>
        <a:noFill/>
        <a:ln>
          <a:noFill/>
        </a:ln>
        <a:effectLst/>
      </c:spPr>
    </c:title>
    <c:autoTitleDeleted val="0"/>
    <c:plotArea>
      <c:layout>
        <c:manualLayout>
          <c:layoutTarget val="inner"/>
          <c:xMode val="edge"/>
          <c:yMode val="edge"/>
          <c:x val="0.0894035532994924"/>
          <c:y val="0.169027306464634"/>
          <c:w val="0.879663705583756"/>
          <c:h val="0.596819368620935"/>
        </c:manualLayout>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strRef>
              <c:f>Sheet1!$A$2:$A$4</c:f>
              <c:strCache>
                <c:ptCount val="3"/>
                <c:pt idx="0">
                  <c:v>行政运行</c:v>
                </c:pt>
                <c:pt idx="1">
                  <c:v>养老保险缴费</c:v>
                </c:pt>
                <c:pt idx="2">
                  <c:v>医疗保险缴费</c:v>
                </c:pt>
              </c:strCache>
            </c:strRef>
          </c:cat>
          <c:val>
            <c:numRef>
              <c:f>Sheet1!$B$2:$B$4</c:f>
              <c:numCache>
                <c:formatCode>General</c:formatCode>
                <c:ptCount val="3"/>
                <c:pt idx="0">
                  <c:v>322.57</c:v>
                </c:pt>
                <c:pt idx="1">
                  <c:v>28.26</c:v>
                </c:pt>
                <c:pt idx="2">
                  <c:v>11.08</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Sheet1!$A$2:$A$4</c:f>
              <c:strCache>
                <c:ptCount val="3"/>
                <c:pt idx="0">
                  <c:v>行政运行</c:v>
                </c:pt>
                <c:pt idx="1">
                  <c:v>养老保险缴费</c:v>
                </c:pt>
                <c:pt idx="2">
                  <c:v>医疗保险缴费</c:v>
                </c:pt>
              </c:strCache>
            </c:strRef>
          </c:cat>
          <c:val>
            <c:numRef>
              <c:f>Sheet1!$C$2:$C$4</c:f>
              <c:numCache>
                <c:formatCode>General</c:formatCode>
                <c:ptCount val="3"/>
                <c:pt idx="0">
                  <c:v>278.89</c:v>
                </c:pt>
                <c:pt idx="1">
                  <c:v>31.9</c:v>
                </c:pt>
                <c:pt idx="2">
                  <c:v>20.3</c:v>
                </c:pt>
              </c:numCache>
            </c:numRef>
          </c:val>
        </c:ser>
        <c:dLbls>
          <c:showLegendKey val="0"/>
          <c:showVal val="0"/>
          <c:showCatName val="0"/>
          <c:showSerName val="0"/>
          <c:showPercent val="0"/>
          <c:showBubbleSize val="0"/>
        </c:dLbls>
        <c:gapWidth val="219"/>
        <c:overlap val="-27"/>
        <c:axId val="814194753"/>
        <c:axId val="575558107"/>
      </c:barChart>
      <c:catAx>
        <c:axId val="814194753"/>
        <c:scaling>
          <c:orientation val="minMax"/>
        </c:scaling>
        <c:delete val="0"/>
        <c:axPos val="b"/>
        <c:title>
          <c:tx>
            <c:rich>
              <a:bodyPr rot="0" spcFirstLastPara="0" vertOverflow="ellipsis" vert="horz" wrap="square" anchor="ctr" anchorCtr="1"/>
              <a:lstStyle/>
              <a:p>
                <a:pPr defTabSz="914400">
                  <a:defRPr lang="zh-CN" sz="700" b="0" i="0" u="none" strike="noStrike" kern="1200" baseline="0">
                    <a:solidFill>
                      <a:schemeClr val="tx1">
                        <a:lumMod val="65000"/>
                        <a:lumOff val="35000"/>
                      </a:schemeClr>
                    </a:solidFill>
                    <a:latin typeface="+mn-lt"/>
                    <a:ea typeface="+mn-ea"/>
                    <a:cs typeface="+mn-cs"/>
                  </a:defRPr>
                </a:pPr>
                <a:r>
                  <a:rPr sz="700"/>
                  <a:t>支出功能分类</a:t>
                </a:r>
                <a:endParaRPr sz="700"/>
              </a:p>
            </c:rich>
          </c:tx>
          <c:layout>
            <c:manualLayout>
              <c:xMode val="edge"/>
              <c:yMode val="edge"/>
              <c:x val="0.445294267255798"/>
              <c:y val="0.848346076569888"/>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5558107"/>
        <c:crosses val="autoZero"/>
        <c:auto val="1"/>
        <c:lblAlgn val="ctr"/>
        <c:lblOffset val="100"/>
        <c:noMultiLvlLbl val="0"/>
      </c:catAx>
      <c:valAx>
        <c:axId val="5755581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700" b="0" i="0" u="none" strike="noStrike" kern="1200" baseline="0">
                    <a:solidFill>
                      <a:schemeClr val="tx1">
                        <a:lumMod val="65000"/>
                        <a:lumOff val="35000"/>
                      </a:schemeClr>
                    </a:solidFill>
                    <a:latin typeface="+mn-lt"/>
                    <a:ea typeface="+mn-ea"/>
                    <a:cs typeface="+mn-cs"/>
                  </a:defRPr>
                </a:pPr>
                <a:r>
                  <a:rPr sz="700"/>
                  <a:t>预算金额（万元）</a:t>
                </a:r>
                <a:endParaRPr sz="700"/>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4194753"/>
        <c:crosses val="autoZero"/>
        <c:crossBetween val="between"/>
      </c:valAx>
      <c:spPr>
        <a:noFill/>
        <a:ln>
          <a:noFill/>
        </a:ln>
        <a:effectLst/>
      </c:spPr>
    </c:plotArea>
    <c:legend>
      <c:legendPos val="b"/>
      <c:layout>
        <c:manualLayout>
          <c:xMode val="edge"/>
          <c:yMode val="edge"/>
          <c:x val="0.228534868841971"/>
          <c:y val="0.8759875508738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支出经济科目分类上下年对比</a:t>
            </a:r>
          </a:p>
        </c:rich>
      </c:tx>
      <c:layout/>
      <c:overlay val="0"/>
      <c:spPr>
        <a:noFill/>
        <a:ln>
          <a:noFill/>
        </a:ln>
        <a:effectLst/>
      </c:spPr>
    </c:title>
    <c:autoTitleDeleted val="0"/>
    <c:plotArea>
      <c:layout>
        <c:manualLayout>
          <c:layoutTarget val="inner"/>
          <c:xMode val="edge"/>
          <c:yMode val="edge"/>
          <c:x val="0.0894035532994924"/>
          <c:y val="0.169027306464634"/>
          <c:w val="0.879663705583756"/>
          <c:h val="0.596819368620935"/>
        </c:manualLayout>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strRef>
              <c:f>Sheet1!$A$2:$A$4</c:f>
              <c:strCache>
                <c:ptCount val="3"/>
                <c:pt idx="0">
                  <c:v>工资福利</c:v>
                </c:pt>
                <c:pt idx="1">
                  <c:v>商品和服务</c:v>
                </c:pt>
                <c:pt idx="2">
                  <c:v>个人和家庭补助</c:v>
                </c:pt>
              </c:strCache>
            </c:strRef>
          </c:cat>
          <c:val>
            <c:numRef>
              <c:f>Sheet1!$B$2:$B$4</c:f>
              <c:numCache>
                <c:formatCode>General</c:formatCode>
                <c:ptCount val="3"/>
                <c:pt idx="0">
                  <c:v>308.16</c:v>
                </c:pt>
                <c:pt idx="1">
                  <c:v>45.85</c:v>
                </c:pt>
                <c:pt idx="2">
                  <c:v>7.9</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Sheet1!$A$2:$A$4</c:f>
              <c:strCache>
                <c:ptCount val="3"/>
                <c:pt idx="0">
                  <c:v>工资福利</c:v>
                </c:pt>
                <c:pt idx="1">
                  <c:v>商品和服务</c:v>
                </c:pt>
                <c:pt idx="2">
                  <c:v>个人和家庭补助</c:v>
                </c:pt>
              </c:strCache>
            </c:strRef>
          </c:cat>
          <c:val>
            <c:numRef>
              <c:f>Sheet1!$C$2:$C$4</c:f>
              <c:numCache>
                <c:formatCode>General</c:formatCode>
                <c:ptCount val="3"/>
                <c:pt idx="0">
                  <c:v>289.52</c:v>
                </c:pt>
                <c:pt idx="1">
                  <c:v>40.21</c:v>
                </c:pt>
                <c:pt idx="2">
                  <c:v>1.36</c:v>
                </c:pt>
              </c:numCache>
            </c:numRef>
          </c:val>
        </c:ser>
        <c:dLbls>
          <c:showLegendKey val="0"/>
          <c:showVal val="0"/>
          <c:showCatName val="0"/>
          <c:showSerName val="0"/>
          <c:showPercent val="0"/>
          <c:showBubbleSize val="0"/>
        </c:dLbls>
        <c:gapWidth val="219"/>
        <c:overlap val="-27"/>
        <c:axId val="814194753"/>
        <c:axId val="575558107"/>
      </c:barChart>
      <c:catAx>
        <c:axId val="814194753"/>
        <c:scaling>
          <c:orientation val="minMax"/>
        </c:scaling>
        <c:delete val="0"/>
        <c:axPos val="b"/>
        <c:title>
          <c:tx>
            <c:rich>
              <a:bodyPr rot="0" spcFirstLastPara="0" vertOverflow="ellipsis" vert="horz" wrap="square" anchor="ctr" anchorCtr="1"/>
              <a:lstStyle/>
              <a:p>
                <a:pPr defTabSz="914400">
                  <a:defRPr lang="zh-CN" sz="700" b="0" i="0" u="none" strike="noStrike" kern="1200" baseline="0">
                    <a:solidFill>
                      <a:schemeClr val="tx1">
                        <a:lumMod val="65000"/>
                        <a:lumOff val="35000"/>
                      </a:schemeClr>
                    </a:solidFill>
                    <a:latin typeface="+mn-lt"/>
                    <a:ea typeface="+mn-ea"/>
                    <a:cs typeface="+mn-cs"/>
                  </a:defRPr>
                </a:pPr>
                <a:r>
                  <a:rPr sz="700"/>
                  <a:t>支出经济分类</a:t>
                </a:r>
                <a:endParaRPr sz="700"/>
              </a:p>
            </c:rich>
          </c:tx>
          <c:layout>
            <c:manualLayout>
              <c:xMode val="edge"/>
              <c:yMode val="edge"/>
              <c:x val="0.445294267255798"/>
              <c:y val="0.848346076569888"/>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5558107"/>
        <c:crosses val="autoZero"/>
        <c:auto val="1"/>
        <c:lblAlgn val="ctr"/>
        <c:lblOffset val="100"/>
        <c:noMultiLvlLbl val="0"/>
      </c:catAx>
      <c:valAx>
        <c:axId val="5755581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700" b="0" i="0" u="none" strike="noStrike" kern="1200" baseline="0">
                    <a:solidFill>
                      <a:schemeClr val="tx1">
                        <a:lumMod val="65000"/>
                        <a:lumOff val="35000"/>
                      </a:schemeClr>
                    </a:solidFill>
                    <a:latin typeface="+mn-lt"/>
                    <a:ea typeface="+mn-ea"/>
                    <a:cs typeface="+mn-cs"/>
                  </a:defRPr>
                </a:pPr>
                <a:r>
                  <a:rPr sz="700"/>
                  <a:t>预算金额（万元）</a:t>
                </a:r>
                <a:endParaRPr sz="700"/>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4194753"/>
        <c:crosses val="autoZero"/>
        <c:crossBetween val="between"/>
      </c:valAx>
      <c:spPr>
        <a:noFill/>
        <a:ln>
          <a:noFill/>
        </a:ln>
        <a:effectLst/>
      </c:spPr>
    </c:plotArea>
    <c:legend>
      <c:legendPos val="b"/>
      <c:layout>
        <c:manualLayout>
          <c:xMode val="edge"/>
          <c:yMode val="edge"/>
          <c:x val="0.228534868841971"/>
          <c:y val="0.8759875508738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spc="0" baseline="0">
                <a:solidFill>
                  <a:schemeClr val="tx1">
                    <a:lumMod val="65000"/>
                    <a:lumOff val="35000"/>
                  </a:schemeClr>
                </a:solidFill>
                <a:latin typeface="+mn-lt"/>
                <a:ea typeface="+mn-ea"/>
                <a:cs typeface="+mn-cs"/>
              </a:defRPr>
            </a:pPr>
            <a:r>
              <a:rPr sz="1000"/>
              <a:t>经济科目分类上下年对比图</a:t>
            </a:r>
            <a:endParaRPr sz="10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delete val="1"/>
          </c:dLbls>
          <c:cat>
            <c:strRef>
              <c:f>Sheet1!$A$2:$A$10</c:f>
              <c:strCache>
                <c:ptCount val="9"/>
                <c:pt idx="0">
                  <c:v>工资奖金补贴</c:v>
                </c:pt>
                <c:pt idx="1">
                  <c:v>社会保障缴费</c:v>
                </c:pt>
                <c:pt idx="2">
                  <c:v>住房公积金</c:v>
                </c:pt>
                <c:pt idx="3">
                  <c:v>其他工资福利</c:v>
                </c:pt>
                <c:pt idx="4">
                  <c:v>办公经费</c:v>
                </c:pt>
                <c:pt idx="5">
                  <c:v>委托业务费</c:v>
                </c:pt>
                <c:pt idx="6">
                  <c:v>公务接待费</c:v>
                </c:pt>
                <c:pt idx="7">
                  <c:v>其他商品和服务</c:v>
                </c:pt>
                <c:pt idx="8">
                  <c:v>社会福利和救助</c:v>
                </c:pt>
              </c:strCache>
            </c:strRef>
          </c:cat>
          <c:val>
            <c:numRef>
              <c:f>Sheet1!$B$2:$B$10</c:f>
              <c:numCache>
                <c:formatCode>General</c:formatCode>
                <c:ptCount val="9"/>
                <c:pt idx="0">
                  <c:v>207.01</c:v>
                </c:pt>
                <c:pt idx="1">
                  <c:v>39.6</c:v>
                </c:pt>
                <c:pt idx="2">
                  <c:v>19.57</c:v>
                </c:pt>
                <c:pt idx="3">
                  <c:v>41.97</c:v>
                </c:pt>
                <c:pt idx="4">
                  <c:v>19.9</c:v>
                </c:pt>
                <c:pt idx="5">
                  <c:v>4.54</c:v>
                </c:pt>
                <c:pt idx="6">
                  <c:v>0.3</c:v>
                </c:pt>
                <c:pt idx="7">
                  <c:v>18.12</c:v>
                </c:pt>
                <c:pt idx="8">
                  <c:v>0</c:v>
                </c:pt>
              </c:numCache>
            </c:numRef>
          </c:val>
        </c:ser>
        <c:ser>
          <c:idx val="1"/>
          <c:order val="1"/>
          <c:tx>
            <c:strRef>
              <c:f>Sheet1!$C$1</c:f>
              <c:strCache>
                <c:ptCount val="1"/>
                <c:pt idx="0">
                  <c:v>2020年度</c:v>
                </c:pt>
              </c:strCache>
            </c:strRef>
          </c:tx>
          <c:spPr>
            <a:solidFill>
              <a:schemeClr val="accent2"/>
            </a:solidFill>
            <a:ln>
              <a:noFill/>
            </a:ln>
            <a:effectLst/>
          </c:spPr>
          <c:invertIfNegative val="0"/>
          <c:dLbls>
            <c:delete val="1"/>
          </c:dLbls>
          <c:cat>
            <c:strRef>
              <c:f>Sheet1!$A$2:$A$10</c:f>
              <c:strCache>
                <c:ptCount val="9"/>
                <c:pt idx="0">
                  <c:v>工资奖金补贴</c:v>
                </c:pt>
                <c:pt idx="1">
                  <c:v>社会保障缴费</c:v>
                </c:pt>
                <c:pt idx="2">
                  <c:v>住房公积金</c:v>
                </c:pt>
                <c:pt idx="3">
                  <c:v>其他工资福利</c:v>
                </c:pt>
                <c:pt idx="4">
                  <c:v>办公经费</c:v>
                </c:pt>
                <c:pt idx="5">
                  <c:v>委托业务费</c:v>
                </c:pt>
                <c:pt idx="6">
                  <c:v>公务接待费</c:v>
                </c:pt>
                <c:pt idx="7">
                  <c:v>其他商品和服务</c:v>
                </c:pt>
                <c:pt idx="8">
                  <c:v>社会福利和救助</c:v>
                </c:pt>
              </c:strCache>
            </c:strRef>
          </c:cat>
          <c:val>
            <c:numRef>
              <c:f>Sheet1!$C$2:$C$10</c:f>
              <c:numCache>
                <c:formatCode>General</c:formatCode>
                <c:ptCount val="9"/>
                <c:pt idx="0">
                  <c:v>175.52</c:v>
                </c:pt>
                <c:pt idx="1">
                  <c:v>60.13</c:v>
                </c:pt>
                <c:pt idx="2">
                  <c:v>22.7</c:v>
                </c:pt>
                <c:pt idx="3">
                  <c:v>31.17</c:v>
                </c:pt>
                <c:pt idx="4">
                  <c:v>15.03</c:v>
                </c:pt>
                <c:pt idx="5">
                  <c:v>4.78</c:v>
                </c:pt>
                <c:pt idx="6">
                  <c:v>0.3</c:v>
                </c:pt>
                <c:pt idx="7">
                  <c:v>20.1</c:v>
                </c:pt>
                <c:pt idx="8">
                  <c:v>1.36</c:v>
                </c:pt>
              </c:numCache>
            </c:numRef>
          </c:val>
        </c:ser>
        <c:dLbls>
          <c:showLegendKey val="0"/>
          <c:showVal val="0"/>
          <c:showCatName val="0"/>
          <c:showSerName val="0"/>
          <c:showPercent val="0"/>
          <c:showBubbleSize val="0"/>
        </c:dLbls>
        <c:gapWidth val="219"/>
        <c:overlap val="-27"/>
        <c:axId val="912253197"/>
        <c:axId val="719221223"/>
      </c:barChart>
      <c:catAx>
        <c:axId val="9122531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crossAx val="719221223"/>
        <c:crosses val="autoZero"/>
        <c:auto val="1"/>
        <c:lblAlgn val="ctr"/>
        <c:lblOffset val="100"/>
        <c:noMultiLvlLbl val="0"/>
      </c:catAx>
      <c:valAx>
        <c:axId val="719221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225319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Administrator</cp:lastModifiedBy>
  <dcterms:modified xsi:type="dcterms:W3CDTF">2020-02-28T06:23:51Z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