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6"/>
          <w:szCs w:val="36"/>
        </w:rPr>
      </w:pPr>
      <w:r>
        <w:rPr>
          <w:rFonts w:hint="eastAsia" w:ascii="黑体" w:hAnsi="黑体" w:eastAsia="黑体" w:cs="黑体"/>
          <w:b/>
          <w:bCs/>
          <w:sz w:val="36"/>
          <w:szCs w:val="36"/>
          <w:lang w:val="en-US" w:eastAsia="zh-CN"/>
        </w:rPr>
        <w:t>宝鸡市渭滨区医疗保障局</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6"/>
          <w:szCs w:val="36"/>
        </w:rPr>
      </w:pPr>
      <w:r>
        <w:rPr>
          <w:rFonts w:hint="eastAsia" w:ascii="黑体" w:hAnsi="黑体" w:eastAsia="黑体" w:cs="黑体"/>
          <w:b/>
          <w:bCs/>
          <w:sz w:val="36"/>
          <w:szCs w:val="36"/>
          <w:lang w:eastAsia="zh-CN"/>
        </w:rPr>
        <w:t>2021</w:t>
      </w:r>
      <w:r>
        <w:rPr>
          <w:rFonts w:hint="eastAsia" w:ascii="黑体" w:hAnsi="黑体" w:eastAsia="黑体" w:cs="黑体"/>
          <w:b/>
          <w:bCs/>
          <w:sz w:val="36"/>
          <w:szCs w:val="36"/>
        </w:rPr>
        <w:t>年部门综合预算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2021</w:t>
      </w:r>
      <w:r>
        <w:rPr>
          <w:rFonts w:hint="eastAsia" w:ascii="黑体" w:hAnsi="黑体" w:eastAsia="黑体" w:cs="黑体"/>
          <w:sz w:val="32"/>
          <w:szCs w:val="32"/>
        </w:rPr>
        <w:t>年年度部门工作任务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lang w:val="en-US" w:eastAsia="zh-CN"/>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2021</w:t>
      </w:r>
      <w:r>
        <w:rPr>
          <w:rFonts w:hint="eastAsia" w:ascii="黑体" w:hAnsi="黑体" w:eastAsia="黑体" w:cs="黑体"/>
          <w:sz w:val="32"/>
          <w:szCs w:val="32"/>
        </w:rPr>
        <w:t>年部门预算收支说明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lang w:val="en-US" w:eastAsia="zh-CN"/>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第四部分   公开报表</w:t>
      </w:r>
    </w:p>
    <w:p>
      <w:pPr>
        <w:keepNext w:val="0"/>
        <w:keepLines w:val="0"/>
        <w:pageBreakBefore w:val="0"/>
        <w:widowControl w:val="0"/>
        <w:kinsoku/>
        <w:wordWrap/>
        <w:overflowPunct/>
        <w:topLinePunct w:val="0"/>
        <w:autoSpaceDE/>
        <w:autoSpaceDN/>
        <w:bidi w:val="0"/>
        <w:adjustRightInd/>
        <w:snapToGrid/>
        <w:spacing w:after="4681" w:afterLines="1500"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（一）贯彻执行有关医疗保障工作的法律法规和政策规定，拟订并组织实施全区医疗保险、大病保险、生育保险、医疗救助等医疗保障方面的意见措施和计划规定。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（二）贯彻落实医疗保障基金监督管理办法，建立健全医疗保障基金安全风险防控机制，推进医疗保障基金支付方式改革。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（三）执行医疗保障筹资和待遇政策，统筹城乡医疗保障待遇标准，建立健全与筹资水平相适应的待遇调整机制。组织实施全区长期护理保险制度改革工作。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（四）根据省、市药品、医用耗材、医疗服务项目、医疗服务设施等医保目录和支付标准，健全完善我区医保目录和支付标准并组织实施。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（五）贯彻执行省、市药品、医用耗材价格和医疗服务项目、医疗服务设施收费等政策，建立医保支付医药服务价格合理确定和动态调整机制，建立健全价格信息监测和信息发布制度。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（六）贯彻省、市药品、医用耗材的招标采购政策并监督实施，指导全区药品、医用耗材的招标采购工作。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（七）制定并组织实施全区定点医药机构协议和支付管理办法，建立健全医疗保障信用评价体系和信息披露制度，监督管理纳入医保范围内的医疗服务行为和医疗费用，依法查处医疗保障领域违法违规行为。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（八）负责全区医疗保障经办管理、公共服务体系和信息化建设；负责全区异地就医管理和费用结算工作，开展医疗保障领域合作交流。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（九） 完成区委、区政府交办的其他任务。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十）职能转变。区医疗保障局应完善全区统一的城乡居民基本医疗保险制度和大病保险制度，建立健全覆盖全民、城乡统筹的多层次医疗保障体系，不断提高医疗保障水平，确保医保资金合理使用、安全可控，推进医疗、医保、医药“三医联动”改革，更好地保障人民群众就医需求、减轻医药费用负担。</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二、2021年度部门工作任务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依据部门2021年度主要工作，进行文字说明。因部门将整合至其他部门，没有编报年度部门工作任务的，要说明本部门承担的年度工作任务将根据机构改革情况和职能变化情况，在新部门统一反映。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 xml:space="preserve">三、部门预算单位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从预算单位构成看，本部门的部门预算包括部门本级（机关）预算和所属事业单位预算。纳入本部门2021年部门预算编制范围的二级预算单位共有2个，包括：</w:t>
      </w:r>
    </w:p>
    <w:tbl>
      <w:tblPr>
        <w:tblStyle w:val="2"/>
        <w:tblW w:w="12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34"/>
        <w:gridCol w:w="2856"/>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34" w:type="dxa"/>
            <w:noWrap w:val="0"/>
            <w:vAlign w:val="top"/>
          </w:tcPr>
          <w:p>
            <w:pPr>
              <w:bidi w:val="0"/>
              <w:rPr>
                <w:rFonts w:hint="eastAsia" w:ascii="仿宋" w:hAnsi="仿宋" w:eastAsia="仿宋" w:cs="仿宋"/>
                <w:sz w:val="32"/>
                <w:szCs w:val="32"/>
              </w:rPr>
            </w:pPr>
            <w:r>
              <w:rPr>
                <w:rFonts w:hint="eastAsia" w:ascii="仿宋" w:hAnsi="仿宋" w:eastAsia="仿宋" w:cs="仿宋"/>
                <w:sz w:val="32"/>
                <w:szCs w:val="32"/>
              </w:rPr>
              <w:t>序号</w:t>
            </w:r>
          </w:p>
        </w:tc>
        <w:tc>
          <w:tcPr>
            <w:tcW w:w="2856" w:type="dxa"/>
            <w:noWrap w:val="0"/>
            <w:vAlign w:val="top"/>
          </w:tcPr>
          <w:p>
            <w:pPr>
              <w:bidi w:val="0"/>
              <w:rPr>
                <w:rFonts w:hint="eastAsia" w:ascii="仿宋" w:hAnsi="仿宋" w:eastAsia="仿宋" w:cs="仿宋"/>
                <w:sz w:val="32"/>
                <w:szCs w:val="32"/>
              </w:rPr>
            </w:pPr>
            <w:r>
              <w:rPr>
                <w:rFonts w:hint="eastAsia" w:ascii="仿宋" w:hAnsi="仿宋" w:eastAsia="仿宋" w:cs="仿宋"/>
                <w:sz w:val="32"/>
                <w:szCs w:val="32"/>
              </w:rPr>
              <w:t>单位名称</w:t>
            </w:r>
          </w:p>
        </w:tc>
        <w:tc>
          <w:tcPr>
            <w:tcW w:w="8194" w:type="dxa"/>
            <w:noWrap w:val="0"/>
            <w:vAlign w:val="top"/>
          </w:tcPr>
          <w:p>
            <w:pPr>
              <w:bidi w:val="0"/>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34" w:type="dxa"/>
            <w:noWrap w:val="0"/>
            <w:vAlign w:val="top"/>
          </w:tcPr>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2856" w:type="dxa"/>
            <w:noWrap w:val="0"/>
            <w:vAlign w:val="top"/>
          </w:tcPr>
          <w:p>
            <w:pPr>
              <w:bidi w:val="0"/>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宝鸡市渭滨区医疗保障局</w:t>
            </w:r>
          </w:p>
        </w:tc>
        <w:tc>
          <w:tcPr>
            <w:tcW w:w="8194" w:type="dxa"/>
            <w:noWrap w:val="0"/>
            <w:vAlign w:val="top"/>
          </w:tcPr>
          <w:p>
            <w:pPr>
              <w:bidi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534" w:type="dxa"/>
            <w:shd w:val="clear" w:color="auto" w:fill="auto"/>
            <w:vAlign w:val="top"/>
          </w:tcPr>
          <w:p>
            <w:pPr>
              <w:pageBreakBefore w:val="0"/>
              <w:jc w:val="left"/>
              <w:textAlignment w:val="auto"/>
            </w:pPr>
            <w:r>
              <w:rPr>
                <w:rFonts w:ascii="Times New Roman" w:hAnsi="Times New Roman" w:eastAsia="Times New Roman" w:cs="Times New Roman"/>
                <w:b w:val="0"/>
                <w:i w:val="0"/>
                <w:strike w:val="0"/>
                <w:color w:val="auto"/>
                <w:position w:val="-1"/>
                <w:sz w:val="32"/>
                <w:u w:val="none"/>
              </w:rPr>
              <w:t>2</w:t>
            </w:r>
          </w:p>
        </w:tc>
        <w:tc>
          <w:tcPr>
            <w:tcW w:w="2856" w:type="dxa"/>
            <w:shd w:val="clear" w:color="auto" w:fill="auto"/>
            <w:vAlign w:val="top"/>
          </w:tcPr>
          <w:p>
            <w:pPr>
              <w:pageBreakBefore w:val="0"/>
              <w:ind w:left="0" w:leftChars="0" w:firstLine="0" w:firstLineChars="0"/>
              <w:jc w:val="both"/>
              <w:textAlignment w:val="auto"/>
            </w:pPr>
            <w:r>
              <w:rPr>
                <w:rFonts w:ascii="Times New Roman" w:hAnsi="Times New Roman" w:eastAsia="Times New Roman" w:cs="Times New Roman"/>
                <w:b w:val="0"/>
                <w:i w:val="0"/>
                <w:strike w:val="0"/>
                <w:color w:val="auto"/>
                <w:position w:val="-1"/>
                <w:sz w:val="32"/>
                <w:u w:val="none"/>
              </w:rPr>
              <w:t>宝鸡市渭滨区医疗保障经办中心</w:t>
            </w:r>
          </w:p>
        </w:tc>
        <w:tc>
          <w:tcPr>
            <w:tcW w:w="8194" w:type="dxa"/>
            <w:shd w:val="clear" w:color="auto" w:fill="auto"/>
            <w:vAlign w:val="top"/>
          </w:tcPr>
          <w:p>
            <w:pPr>
              <w:pageBreakBefore w:val="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534" w:type="dxa"/>
            <w:shd w:val="clear" w:color="auto" w:fill="auto"/>
            <w:vAlign w:val="top"/>
          </w:tcPr>
          <w:p>
            <w:pPr>
              <w:pageBreakBefore w:val="0"/>
              <w:jc w:val="left"/>
              <w:textAlignment w:val="auto"/>
            </w:pPr>
            <w:r>
              <w:rPr>
                <w:rFonts w:ascii="Times New Roman" w:hAnsi="Times New Roman" w:eastAsia="Times New Roman" w:cs="Times New Roman"/>
                <w:b w:val="0"/>
                <w:i w:val="0"/>
                <w:strike w:val="0"/>
                <w:color w:val="auto"/>
                <w:position w:val="-1"/>
                <w:sz w:val="32"/>
                <w:u w:val="none"/>
              </w:rPr>
              <w:t>3</w:t>
            </w:r>
          </w:p>
        </w:tc>
        <w:tc>
          <w:tcPr>
            <w:tcW w:w="2856" w:type="dxa"/>
            <w:shd w:val="clear" w:color="auto" w:fill="auto"/>
            <w:vAlign w:val="top"/>
          </w:tcPr>
          <w:p>
            <w:pPr>
              <w:pageBreakBefore w:val="0"/>
              <w:ind w:left="0" w:leftChars="0" w:firstLine="0" w:firstLineChars="0"/>
              <w:jc w:val="both"/>
              <w:textAlignment w:val="auto"/>
            </w:pPr>
            <w:r>
              <w:rPr>
                <w:rFonts w:ascii="Times New Roman" w:hAnsi="Times New Roman" w:eastAsia="Times New Roman" w:cs="Times New Roman"/>
                <w:b w:val="0"/>
                <w:i w:val="0"/>
                <w:strike w:val="0"/>
                <w:color w:val="auto"/>
                <w:position w:val="-1"/>
                <w:sz w:val="32"/>
                <w:u w:val="none"/>
              </w:rPr>
              <w:t>宝鸡市渭滨区大病医疗保障服务中心</w:t>
            </w:r>
          </w:p>
        </w:tc>
        <w:tc>
          <w:tcPr>
            <w:tcW w:w="8194" w:type="dxa"/>
            <w:shd w:val="clear" w:color="auto" w:fill="auto"/>
            <w:vAlign w:val="top"/>
          </w:tcPr>
          <w:p>
            <w:pPr>
              <w:pageBreakBefore w:val="0"/>
              <w:jc w:val="left"/>
              <w:textAlignment w:val="auto"/>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四、部门人员情况说明</w:t>
      </w: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截止2020年底，本部门人员编制21人，其中行政编制6人、事业编制15人；实有人员23人，其中行政6人、事业13人。单位管理的离退休人员3人。</w:t>
      </w:r>
      <w:r>
        <w:rPr>
          <w:rFonts w:hint="eastAsia" w:ascii="仿宋" w:hAnsi="仿宋" w:eastAsia="仿宋" w:cs="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仿宋" w:hAnsi="仿宋" w:eastAsia="仿宋" w:cs="仿宋"/>
          <w:sz w:val="32"/>
          <w:szCs w:val="32"/>
          <w:lang w:val="en-US" w:eastAsia="zh-CN"/>
        </w:rPr>
      </w:pPr>
      <w:r>
        <w:drawing>
          <wp:inline distT="0" distB="0" distL="0" distR="0">
            <wp:extent cx="6581775" cy="3333750"/>
            <wp:effectExtent l="0" t="0" r="9525" b="0"/>
            <wp:docPr id="2" name="图片2" descr="测试"/>
            <wp:cNvGraphicFramePr/>
            <a:graphic xmlns:a="http://schemas.openxmlformats.org/drawingml/2006/main">
              <a:graphicData uri="http://schemas.openxmlformats.org/drawingml/2006/picture">
                <pic:pic xmlns:pic="http://schemas.openxmlformats.org/drawingml/2006/picture">
                  <pic:nvPicPr>
                    <pic:cNvPr id="2" name="图片2" descr="测试"/>
                    <pic:cNvPicPr/>
                  </pic:nvPicPr>
                  <pic:blipFill>
                    <a:blip r:embed="rId4"/>
                    <a:stretch>
                      <a:fillRect/>
                    </a:stretch>
                  </pic:blipFill>
                  <pic:spPr>
                    <a:xfrm>
                      <a:off x="0" y="0"/>
                      <a:ext cx="6581775" cy="3333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五、2021年部门预算收支说明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综合预算的原则，本部门所有收入和支出均纳入部门预算管理。2021年本部门预算收入360.91万元，其中一般公共预算拨款收入360.91万元。2021年本部门预算收入较上年减少800.58万元，主要原因是医保资金区级配套等项目调剂到财政部门;2021年本部门预算支出360.91万元，其中一般公共预算拨款支出360.91万元，2021年本部门预算支出较上年减少800.58万元，主要原因是医保资金区级配套等项目调剂到财政部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本部门财政拨款收入360.91万元。其中一般公共预算拨款收入360.91万元。2021年本部门财政拨款收入较上年减少800.58万元，主要原因是医保资金区级配套等项目调剂到财政部门;2021年本部门财政拨款支360.91万元，其中一般公共预算拨款支出360.91万元，2021年本部门财政拨款支出较上年减少800.58万元，主要原因是医保资金区级配套等项目调剂到财政部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1.一般公共预算当年拨款规模变化情况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2021年本部门当年一般公共预算拨款支出360.91万元，较上年减少800.58万元，主要原因是医保资金区级配套等项目调剂到财政部门。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2.支出按功能分类的明细情况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2021年本部门一般公共预算支出360.91万元，其中：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（1）社会保险经办机构（2080109）130.08万元，较上年增加22万元，原因是部门内人员工资增加。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（2）机关事业单位基本养老保险缴费支出（2080505）22万元，较上年减少1.1万元，原因是医保中心一名职工退休。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（3）行政单位医疗（2101101）11.2万元.较上年减少0.7万元，原因是医保中心一名职工退休。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事业单位医疗（2101102）2.80万元，较上年无增减变化。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（4）其他行政事业单位医疗支出（2101199）50万元，较上年无增减变化。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（5）财政对城乡居民基本医疗保险基金的补助（2101202）0万元，较上年减少480万元，原因是该项目调剂到财政部门。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财政对其他基本医疗保险基金的补助（2101299）0.72万元，较上年增加0.7万元，原因是涉核退役军人人数增加。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（6）行政运行（2101501）80.87万元,较上年增加18.29万元，原因是部门内人员工资增加.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事业运行（2101550）52.30万元，较上年增加4.47万元，原因是部门内人员工资增加。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（7）其他扶贫支出（2130599）10.90万元。较上年减少20.39万元，原因是贫困人口减少。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3.支出按经济分类的明细情况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（1）按照部门预算支出经济分类的类级科目说明。2021年医保系统一般公共预算支出360.91万元，其中：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工资福利支出（301）264.85万元,较上年增加38.29万元，原因是部门内人员工资增加。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商品和服务支出（302）24.55万元，较上年减少5.07万元，原因是压减支出。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对个人和家庭补助支出（303）6.85万元，较上年减少898.46万元，原因是医保基金区级配套等项目调剂到财政部门。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（2）按照政府预算支出经济分类的类级科目说明。2021年医保系统一般公共预算支出360.91万元，其中：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工资福利支出(501)211.38万元,较上年增加29.45万元，原因是部门内人员工资增加。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商品和服务支出(502)19.91万元，较上年增加0.65万元，原因是专项业务费增加。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对事业单位经常性补助支出(505)58.11万元，较上年增加3.11万元，原因是事业单位人员工资增加。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对个人和家庭补助支出(509)905.30万元，较上年减少898.45万元，原因是医保基金区级配套等项目调剂到财政部门。</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outlineLvl w:val="9"/>
        <w:rPr>
          <w:rFonts w:hint="eastAsia" w:ascii="仿宋" w:hAnsi="仿宋" w:eastAsia="仿宋" w:cs="仿宋"/>
          <w:sz w:val="32"/>
          <w:szCs w:val="32"/>
          <w:lang w:val="en-US" w:eastAsia="zh-CN"/>
        </w:rPr>
      </w:pPr>
      <w:r>
        <w:rPr>
          <w:rFonts w:ascii="宋体" w:hAnsi="宋体" w:eastAsia="宋体" w:cs="宋体"/>
          <w:sz w:val="24"/>
          <w:szCs w:val="24"/>
        </w:rPr>
        <w:t> </w:t>
      </w:r>
      <w:r>
        <w:rPr>
          <w:rFonts w:hint="eastAsia" w:ascii="仿宋" w:hAnsi="仿宋" w:eastAsia="仿宋" w:cs="仿宋"/>
          <w:sz w:val="32"/>
          <w:szCs w:val="32"/>
          <w:lang w:val="en-US" w:eastAsia="zh-CN"/>
        </w:rPr>
        <w:t>4、上年结转财政资金一般公共预算拨款支出情况。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（1）按功能支出分类。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本部门无2020年结转的一般公共预算拨款资金支出。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（2）按部门预算支出经济分类。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本部门无2020年结转的一般公共预算拨款资金支出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（3）按政府预算支出经济分类。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本部门无2020年结转的一般公共预算拨款资金支出。</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（四）政府性基金预算支出情况。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本部门无当年政府性基金预算收支，并已公开空表。本部门无2020年结转的政府性基金预算拨款支出。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（五）国有资本经营预算拨款收支情况。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本部门无当年国有资本预算拨款支出，并在财政拨款收支总体情况表中列示。本部门无2020年结转的国有资本预算拨款支出。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本部门无2021年“三公”经费预算。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本部门无2020年结转的‘三公’经费支出。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截止2020年底，区医保局系统固定资产共计65.82万元。本部门所属各预算单位共有车辆0辆，单台价值20万以上的设备0台，2021年当年部门预算安排购置车辆0辆；安排购置单价20万元以上的设备0台（套）。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本部门无2020年结转的财政拨款支出资产购置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本部门2021年无政府采购预算，并已公开空表。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本部门无2020年结转的政府采购资金支出。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2021年本部门绩效目标管理全覆盖，涉及当年一般公共预算当年拨款360.91万元。当年政府性基金预算当年拨款0万元，当年国有资本经营预算拨款0万元。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本部门无2020年结转的财政拨款支出涉及的绩效目标管理。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本部门当年机关运行经费预算安排13.32万元。较上年增加1.73万元，原因是专项业务费增加。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本部门无2020年结转的财政拨款机关运行费支出。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机关运行经费:机关运行经费：指各部门的公用经费，包括办公及印刷费、邮电费、差旅费、会议费、福利费、日常维修费、专用材料及一般设备购置费、办公用房水电费、办公用房取暖费、办公用房物业管理费、公务用车运行维护费以及其他费用。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三公”经费:“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宋体" w:hAnsi="宋体" w:eastAsia="宋体" w:cs="宋体"/>
          <w:b/>
          <w:bCs/>
          <w:sz w:val="32"/>
          <w:szCs w:val="32"/>
          <w:lang w:val="en-US" w:eastAsia="zh-CN"/>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具体部门预算公开报表</w:t>
      </w:r>
      <w:r>
        <w:rPr>
          <w:rFonts w:hint="eastAsia" w:ascii="宋体" w:hAnsi="宋体" w:cs="宋体"/>
          <w:b/>
          <w:bCs/>
          <w:sz w:val="28"/>
          <w:szCs w:val="28"/>
          <w:lang w:val="en-US"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00C"/>
    <w:rsid w:val="00817C7C"/>
    <w:rsid w:val="00CE11C6"/>
    <w:rsid w:val="00E57791"/>
    <w:rsid w:val="00F13B71"/>
    <w:rsid w:val="00F86BD8"/>
    <w:rsid w:val="015358A1"/>
    <w:rsid w:val="0169037A"/>
    <w:rsid w:val="019A37DB"/>
    <w:rsid w:val="01DF2BB7"/>
    <w:rsid w:val="01ED29DF"/>
    <w:rsid w:val="0209026D"/>
    <w:rsid w:val="025830ED"/>
    <w:rsid w:val="02E940E4"/>
    <w:rsid w:val="03295794"/>
    <w:rsid w:val="03347010"/>
    <w:rsid w:val="037B747C"/>
    <w:rsid w:val="03AC5C73"/>
    <w:rsid w:val="03C51AA4"/>
    <w:rsid w:val="03F03CCE"/>
    <w:rsid w:val="042123E7"/>
    <w:rsid w:val="04671024"/>
    <w:rsid w:val="050C7A05"/>
    <w:rsid w:val="05A6512B"/>
    <w:rsid w:val="063A2179"/>
    <w:rsid w:val="06535650"/>
    <w:rsid w:val="06555A5A"/>
    <w:rsid w:val="0753082F"/>
    <w:rsid w:val="07600B39"/>
    <w:rsid w:val="07632917"/>
    <w:rsid w:val="07956EB7"/>
    <w:rsid w:val="0877497F"/>
    <w:rsid w:val="08AC10A9"/>
    <w:rsid w:val="08DA2EA3"/>
    <w:rsid w:val="092F4832"/>
    <w:rsid w:val="097F3883"/>
    <w:rsid w:val="09821A03"/>
    <w:rsid w:val="0A391333"/>
    <w:rsid w:val="0AA50E2F"/>
    <w:rsid w:val="0AA6727C"/>
    <w:rsid w:val="0AC05463"/>
    <w:rsid w:val="0AD97118"/>
    <w:rsid w:val="0AEE1997"/>
    <w:rsid w:val="0B0259FF"/>
    <w:rsid w:val="0B115838"/>
    <w:rsid w:val="0B420AEA"/>
    <w:rsid w:val="0BBF2E48"/>
    <w:rsid w:val="0BC70C0A"/>
    <w:rsid w:val="0BC817E1"/>
    <w:rsid w:val="0BCE6852"/>
    <w:rsid w:val="0BEA54A6"/>
    <w:rsid w:val="0C284A48"/>
    <w:rsid w:val="0C3D305A"/>
    <w:rsid w:val="0CB963C1"/>
    <w:rsid w:val="0D247F78"/>
    <w:rsid w:val="0D2E4E0F"/>
    <w:rsid w:val="0D3C0CD1"/>
    <w:rsid w:val="0DEB13DD"/>
    <w:rsid w:val="0E0C1122"/>
    <w:rsid w:val="0E797AC2"/>
    <w:rsid w:val="0E7B41E7"/>
    <w:rsid w:val="0EA83E98"/>
    <w:rsid w:val="0F081333"/>
    <w:rsid w:val="0F1008A4"/>
    <w:rsid w:val="0F1B056F"/>
    <w:rsid w:val="0F566B52"/>
    <w:rsid w:val="0FEC0C91"/>
    <w:rsid w:val="0FF5179F"/>
    <w:rsid w:val="10883F67"/>
    <w:rsid w:val="10946959"/>
    <w:rsid w:val="11471180"/>
    <w:rsid w:val="118A09AF"/>
    <w:rsid w:val="11B3097A"/>
    <w:rsid w:val="11C346FF"/>
    <w:rsid w:val="11F0044E"/>
    <w:rsid w:val="12082FE5"/>
    <w:rsid w:val="129E1223"/>
    <w:rsid w:val="12B7265B"/>
    <w:rsid w:val="12F8536A"/>
    <w:rsid w:val="135107D4"/>
    <w:rsid w:val="13C723C5"/>
    <w:rsid w:val="13E75309"/>
    <w:rsid w:val="1416199A"/>
    <w:rsid w:val="14A35726"/>
    <w:rsid w:val="151F6E6D"/>
    <w:rsid w:val="153935D8"/>
    <w:rsid w:val="154F1B9F"/>
    <w:rsid w:val="15B95A59"/>
    <w:rsid w:val="15C8778C"/>
    <w:rsid w:val="16150B7E"/>
    <w:rsid w:val="16264D1F"/>
    <w:rsid w:val="16BB0A11"/>
    <w:rsid w:val="171667D3"/>
    <w:rsid w:val="17424B58"/>
    <w:rsid w:val="17910A90"/>
    <w:rsid w:val="17E34984"/>
    <w:rsid w:val="181F4C6E"/>
    <w:rsid w:val="18410DA8"/>
    <w:rsid w:val="18680801"/>
    <w:rsid w:val="187C632C"/>
    <w:rsid w:val="18C97953"/>
    <w:rsid w:val="18D8782D"/>
    <w:rsid w:val="18EB2595"/>
    <w:rsid w:val="19055D69"/>
    <w:rsid w:val="19141913"/>
    <w:rsid w:val="191750EC"/>
    <w:rsid w:val="1960119B"/>
    <w:rsid w:val="19942E61"/>
    <w:rsid w:val="19B02787"/>
    <w:rsid w:val="1A2F0955"/>
    <w:rsid w:val="1A620741"/>
    <w:rsid w:val="1AE02592"/>
    <w:rsid w:val="1B0165C9"/>
    <w:rsid w:val="1B092C9F"/>
    <w:rsid w:val="1B332B6A"/>
    <w:rsid w:val="1B5A5061"/>
    <w:rsid w:val="1B8E63BA"/>
    <w:rsid w:val="1BC933DC"/>
    <w:rsid w:val="1C097D46"/>
    <w:rsid w:val="1C320E66"/>
    <w:rsid w:val="1C5A1287"/>
    <w:rsid w:val="1CB164B9"/>
    <w:rsid w:val="1D02380A"/>
    <w:rsid w:val="1E48774E"/>
    <w:rsid w:val="1E6B3FC4"/>
    <w:rsid w:val="1EA123DE"/>
    <w:rsid w:val="1EA50D3B"/>
    <w:rsid w:val="1ED0381D"/>
    <w:rsid w:val="1EDE6EF7"/>
    <w:rsid w:val="1F474DE3"/>
    <w:rsid w:val="1F59183B"/>
    <w:rsid w:val="1F72323A"/>
    <w:rsid w:val="1F9E1EE8"/>
    <w:rsid w:val="1FCD5494"/>
    <w:rsid w:val="200710B0"/>
    <w:rsid w:val="201947E5"/>
    <w:rsid w:val="20455988"/>
    <w:rsid w:val="20B42D9D"/>
    <w:rsid w:val="213925E9"/>
    <w:rsid w:val="21482EC5"/>
    <w:rsid w:val="21621941"/>
    <w:rsid w:val="21732A0C"/>
    <w:rsid w:val="21B01310"/>
    <w:rsid w:val="221D3069"/>
    <w:rsid w:val="227F4EDE"/>
    <w:rsid w:val="22AC3736"/>
    <w:rsid w:val="231E0E86"/>
    <w:rsid w:val="23773224"/>
    <w:rsid w:val="237C370A"/>
    <w:rsid w:val="23B3277C"/>
    <w:rsid w:val="23B9674A"/>
    <w:rsid w:val="242B3817"/>
    <w:rsid w:val="246D21D5"/>
    <w:rsid w:val="24733F80"/>
    <w:rsid w:val="24BD2F2C"/>
    <w:rsid w:val="251C5F5A"/>
    <w:rsid w:val="25525D80"/>
    <w:rsid w:val="25993D1B"/>
    <w:rsid w:val="25994027"/>
    <w:rsid w:val="259B2951"/>
    <w:rsid w:val="25C13345"/>
    <w:rsid w:val="26193912"/>
    <w:rsid w:val="26977E3C"/>
    <w:rsid w:val="26A3260F"/>
    <w:rsid w:val="26B16FBE"/>
    <w:rsid w:val="26CA57C0"/>
    <w:rsid w:val="26E94B19"/>
    <w:rsid w:val="27192607"/>
    <w:rsid w:val="279F1274"/>
    <w:rsid w:val="28856A2D"/>
    <w:rsid w:val="2886733F"/>
    <w:rsid w:val="28B974D7"/>
    <w:rsid w:val="28CD2EC6"/>
    <w:rsid w:val="28CE1906"/>
    <w:rsid w:val="29995172"/>
    <w:rsid w:val="29AC1283"/>
    <w:rsid w:val="29D53111"/>
    <w:rsid w:val="2AA47CD5"/>
    <w:rsid w:val="2ADC1299"/>
    <w:rsid w:val="2AE757FB"/>
    <w:rsid w:val="2BD81239"/>
    <w:rsid w:val="2BE56461"/>
    <w:rsid w:val="2BE75DCA"/>
    <w:rsid w:val="2BF85692"/>
    <w:rsid w:val="2C0256C6"/>
    <w:rsid w:val="2C522B76"/>
    <w:rsid w:val="2CF3789E"/>
    <w:rsid w:val="2D0D3281"/>
    <w:rsid w:val="2D0D5C2B"/>
    <w:rsid w:val="2D9A478D"/>
    <w:rsid w:val="2DCD77AA"/>
    <w:rsid w:val="2E0B249C"/>
    <w:rsid w:val="2E193A2F"/>
    <w:rsid w:val="2E3738D4"/>
    <w:rsid w:val="2E803BB2"/>
    <w:rsid w:val="2EF23A77"/>
    <w:rsid w:val="2F560F80"/>
    <w:rsid w:val="2F98708D"/>
    <w:rsid w:val="301F5C98"/>
    <w:rsid w:val="30AF76EF"/>
    <w:rsid w:val="30DC78E7"/>
    <w:rsid w:val="31DB385B"/>
    <w:rsid w:val="31DD756F"/>
    <w:rsid w:val="32162B6A"/>
    <w:rsid w:val="322466F2"/>
    <w:rsid w:val="322B447F"/>
    <w:rsid w:val="32A8762A"/>
    <w:rsid w:val="33011313"/>
    <w:rsid w:val="337E2856"/>
    <w:rsid w:val="33966C57"/>
    <w:rsid w:val="33D0750F"/>
    <w:rsid w:val="33EC2CEC"/>
    <w:rsid w:val="342F5C51"/>
    <w:rsid w:val="343F1D23"/>
    <w:rsid w:val="346F2A37"/>
    <w:rsid w:val="353360CA"/>
    <w:rsid w:val="35C423A1"/>
    <w:rsid w:val="35FC1049"/>
    <w:rsid w:val="36130651"/>
    <w:rsid w:val="36256A03"/>
    <w:rsid w:val="36384582"/>
    <w:rsid w:val="366D5ED8"/>
    <w:rsid w:val="37463827"/>
    <w:rsid w:val="37624231"/>
    <w:rsid w:val="37B3535F"/>
    <w:rsid w:val="37DD7F65"/>
    <w:rsid w:val="37E345F1"/>
    <w:rsid w:val="37E52450"/>
    <w:rsid w:val="3810606A"/>
    <w:rsid w:val="385B7F48"/>
    <w:rsid w:val="394360F5"/>
    <w:rsid w:val="39D36D72"/>
    <w:rsid w:val="39F23E7D"/>
    <w:rsid w:val="39F27F2D"/>
    <w:rsid w:val="3A296DB0"/>
    <w:rsid w:val="3A8C3EE7"/>
    <w:rsid w:val="3B230497"/>
    <w:rsid w:val="3B3B1B9E"/>
    <w:rsid w:val="3B3B3FFE"/>
    <w:rsid w:val="3BAB75F8"/>
    <w:rsid w:val="3C4D288E"/>
    <w:rsid w:val="3C9F3019"/>
    <w:rsid w:val="3CCF4230"/>
    <w:rsid w:val="3CD8486C"/>
    <w:rsid w:val="3D5247A3"/>
    <w:rsid w:val="3DC7716C"/>
    <w:rsid w:val="3E2D6F7B"/>
    <w:rsid w:val="3E8C59E9"/>
    <w:rsid w:val="3EA143D4"/>
    <w:rsid w:val="3EA47316"/>
    <w:rsid w:val="3EA97755"/>
    <w:rsid w:val="3F093323"/>
    <w:rsid w:val="3FAF3CF4"/>
    <w:rsid w:val="40302CD6"/>
    <w:rsid w:val="40453022"/>
    <w:rsid w:val="406D7247"/>
    <w:rsid w:val="415C72B5"/>
    <w:rsid w:val="41772DBC"/>
    <w:rsid w:val="419817D0"/>
    <w:rsid w:val="41A526D8"/>
    <w:rsid w:val="41E9687E"/>
    <w:rsid w:val="41EB27B6"/>
    <w:rsid w:val="424E670D"/>
    <w:rsid w:val="42BD2DEB"/>
    <w:rsid w:val="431C5459"/>
    <w:rsid w:val="43FE04A3"/>
    <w:rsid w:val="44541F37"/>
    <w:rsid w:val="44FC03BC"/>
    <w:rsid w:val="45036889"/>
    <w:rsid w:val="45251B69"/>
    <w:rsid w:val="45332FC5"/>
    <w:rsid w:val="456152FB"/>
    <w:rsid w:val="464C4E80"/>
    <w:rsid w:val="466C4C60"/>
    <w:rsid w:val="467E4E58"/>
    <w:rsid w:val="46EF2A42"/>
    <w:rsid w:val="477A0D44"/>
    <w:rsid w:val="482439FF"/>
    <w:rsid w:val="484E10F7"/>
    <w:rsid w:val="485A4E13"/>
    <w:rsid w:val="48915554"/>
    <w:rsid w:val="490F3BE0"/>
    <w:rsid w:val="4928263A"/>
    <w:rsid w:val="49346E1F"/>
    <w:rsid w:val="494C5C3E"/>
    <w:rsid w:val="498507CF"/>
    <w:rsid w:val="49C71BF8"/>
    <w:rsid w:val="49DB1DA7"/>
    <w:rsid w:val="49EA7890"/>
    <w:rsid w:val="4A2E50B4"/>
    <w:rsid w:val="4A737AF5"/>
    <w:rsid w:val="4AFE0340"/>
    <w:rsid w:val="4B3F51E4"/>
    <w:rsid w:val="4B657062"/>
    <w:rsid w:val="4B850273"/>
    <w:rsid w:val="4C026A6E"/>
    <w:rsid w:val="4C283ECA"/>
    <w:rsid w:val="4C6858B3"/>
    <w:rsid w:val="4CA115D6"/>
    <w:rsid w:val="4D2B0CA3"/>
    <w:rsid w:val="4D6B28A0"/>
    <w:rsid w:val="4D9A1F51"/>
    <w:rsid w:val="4DD1134A"/>
    <w:rsid w:val="4DE84C9C"/>
    <w:rsid w:val="4DFE1F86"/>
    <w:rsid w:val="4E2504EC"/>
    <w:rsid w:val="4E840476"/>
    <w:rsid w:val="4F310148"/>
    <w:rsid w:val="4F3E246B"/>
    <w:rsid w:val="4F717496"/>
    <w:rsid w:val="4FC65972"/>
    <w:rsid w:val="502C52CD"/>
    <w:rsid w:val="50946C81"/>
    <w:rsid w:val="512131A2"/>
    <w:rsid w:val="51470A03"/>
    <w:rsid w:val="516A4FB3"/>
    <w:rsid w:val="51F65B1F"/>
    <w:rsid w:val="521A4417"/>
    <w:rsid w:val="52CC56D8"/>
    <w:rsid w:val="52EA27FA"/>
    <w:rsid w:val="5311421D"/>
    <w:rsid w:val="532E19FB"/>
    <w:rsid w:val="533327CB"/>
    <w:rsid w:val="534D15B8"/>
    <w:rsid w:val="537B4E7C"/>
    <w:rsid w:val="53952C3A"/>
    <w:rsid w:val="53BC61C6"/>
    <w:rsid w:val="53DD1C7A"/>
    <w:rsid w:val="54EB503E"/>
    <w:rsid w:val="553A06B6"/>
    <w:rsid w:val="55552624"/>
    <w:rsid w:val="556671D1"/>
    <w:rsid w:val="556F3516"/>
    <w:rsid w:val="55842728"/>
    <w:rsid w:val="55AE7511"/>
    <w:rsid w:val="55C92133"/>
    <w:rsid w:val="55EE6CB4"/>
    <w:rsid w:val="562E6199"/>
    <w:rsid w:val="56623216"/>
    <w:rsid w:val="57221542"/>
    <w:rsid w:val="57654D9E"/>
    <w:rsid w:val="579A73D0"/>
    <w:rsid w:val="57DE5F38"/>
    <w:rsid w:val="582A051D"/>
    <w:rsid w:val="58365A33"/>
    <w:rsid w:val="58474568"/>
    <w:rsid w:val="58782A3A"/>
    <w:rsid w:val="58D041BE"/>
    <w:rsid w:val="58D7523F"/>
    <w:rsid w:val="59403102"/>
    <w:rsid w:val="5A2E77B0"/>
    <w:rsid w:val="5A680DB8"/>
    <w:rsid w:val="5A8F6603"/>
    <w:rsid w:val="5BA5743E"/>
    <w:rsid w:val="5C144EDC"/>
    <w:rsid w:val="5C41710B"/>
    <w:rsid w:val="5CBB387E"/>
    <w:rsid w:val="5D3A3A85"/>
    <w:rsid w:val="5DFF123C"/>
    <w:rsid w:val="5EC657DB"/>
    <w:rsid w:val="5EC76337"/>
    <w:rsid w:val="5F6647E2"/>
    <w:rsid w:val="5FA95A4A"/>
    <w:rsid w:val="60406BEA"/>
    <w:rsid w:val="60CA4AE0"/>
    <w:rsid w:val="61156B4C"/>
    <w:rsid w:val="61B34AA8"/>
    <w:rsid w:val="62086EF2"/>
    <w:rsid w:val="62115B05"/>
    <w:rsid w:val="6264243B"/>
    <w:rsid w:val="6290516E"/>
    <w:rsid w:val="62B820F9"/>
    <w:rsid w:val="631B3431"/>
    <w:rsid w:val="632E70DC"/>
    <w:rsid w:val="63BE25E3"/>
    <w:rsid w:val="64026142"/>
    <w:rsid w:val="640B356D"/>
    <w:rsid w:val="646F76DC"/>
    <w:rsid w:val="6471725A"/>
    <w:rsid w:val="64E14BAA"/>
    <w:rsid w:val="655B2797"/>
    <w:rsid w:val="65715A32"/>
    <w:rsid w:val="65965E56"/>
    <w:rsid w:val="659F6980"/>
    <w:rsid w:val="663F4DEA"/>
    <w:rsid w:val="669C57AF"/>
    <w:rsid w:val="669D4B7B"/>
    <w:rsid w:val="66C72DC6"/>
    <w:rsid w:val="66C95950"/>
    <w:rsid w:val="66DE0E97"/>
    <w:rsid w:val="674212D6"/>
    <w:rsid w:val="67456CD8"/>
    <w:rsid w:val="676D34EB"/>
    <w:rsid w:val="678B29FA"/>
    <w:rsid w:val="678D6A6D"/>
    <w:rsid w:val="67F475F0"/>
    <w:rsid w:val="682C696E"/>
    <w:rsid w:val="683C4300"/>
    <w:rsid w:val="685E2B9F"/>
    <w:rsid w:val="69381D28"/>
    <w:rsid w:val="69404562"/>
    <w:rsid w:val="694A7017"/>
    <w:rsid w:val="6959071D"/>
    <w:rsid w:val="699B7E66"/>
    <w:rsid w:val="69E353EA"/>
    <w:rsid w:val="6A280AEF"/>
    <w:rsid w:val="6A5228EE"/>
    <w:rsid w:val="6A5D4D68"/>
    <w:rsid w:val="6B0E0D59"/>
    <w:rsid w:val="6B5C3B33"/>
    <w:rsid w:val="6BE5385D"/>
    <w:rsid w:val="6BF71691"/>
    <w:rsid w:val="6C0C625C"/>
    <w:rsid w:val="6C6B29CE"/>
    <w:rsid w:val="6C944F20"/>
    <w:rsid w:val="6CC658B0"/>
    <w:rsid w:val="6D273C74"/>
    <w:rsid w:val="6D9C4121"/>
    <w:rsid w:val="6DCA4784"/>
    <w:rsid w:val="6DCB1BF8"/>
    <w:rsid w:val="6DD71A20"/>
    <w:rsid w:val="6DFF6B64"/>
    <w:rsid w:val="6E536520"/>
    <w:rsid w:val="6E770F59"/>
    <w:rsid w:val="6F137CCD"/>
    <w:rsid w:val="6F2067D0"/>
    <w:rsid w:val="6F333079"/>
    <w:rsid w:val="6F5813C5"/>
    <w:rsid w:val="6F5D54F1"/>
    <w:rsid w:val="6F883E6F"/>
    <w:rsid w:val="6FBF1A0F"/>
    <w:rsid w:val="6FDE0859"/>
    <w:rsid w:val="70717DA5"/>
    <w:rsid w:val="70E6284C"/>
    <w:rsid w:val="71381C3F"/>
    <w:rsid w:val="71501558"/>
    <w:rsid w:val="71A75E98"/>
    <w:rsid w:val="72043BFE"/>
    <w:rsid w:val="721826BF"/>
    <w:rsid w:val="729B1B20"/>
    <w:rsid w:val="72CF38C3"/>
    <w:rsid w:val="73A500E4"/>
    <w:rsid w:val="73E41056"/>
    <w:rsid w:val="742F7DF6"/>
    <w:rsid w:val="74512ED0"/>
    <w:rsid w:val="74A27CCB"/>
    <w:rsid w:val="74F00DA8"/>
    <w:rsid w:val="7511010D"/>
    <w:rsid w:val="754F73CA"/>
    <w:rsid w:val="7569055C"/>
    <w:rsid w:val="75AB0E66"/>
    <w:rsid w:val="76423651"/>
    <w:rsid w:val="765319EE"/>
    <w:rsid w:val="767D6E87"/>
    <w:rsid w:val="76CB2469"/>
    <w:rsid w:val="76E2611D"/>
    <w:rsid w:val="772B2E52"/>
    <w:rsid w:val="77D14F5D"/>
    <w:rsid w:val="77DB6EAD"/>
    <w:rsid w:val="781311E0"/>
    <w:rsid w:val="7823277B"/>
    <w:rsid w:val="786A2290"/>
    <w:rsid w:val="789720A1"/>
    <w:rsid w:val="78DF4171"/>
    <w:rsid w:val="793F1A7F"/>
    <w:rsid w:val="7A263AD8"/>
    <w:rsid w:val="7A3E4BD3"/>
    <w:rsid w:val="7A9B5F68"/>
    <w:rsid w:val="7B7E7CCE"/>
    <w:rsid w:val="7BA251B9"/>
    <w:rsid w:val="7BAC2077"/>
    <w:rsid w:val="7BC05A6B"/>
    <w:rsid w:val="7BF212CD"/>
    <w:rsid w:val="7C09730A"/>
    <w:rsid w:val="7C280D5C"/>
    <w:rsid w:val="7C2A2184"/>
    <w:rsid w:val="7C3677E7"/>
    <w:rsid w:val="7C4B10B5"/>
    <w:rsid w:val="7CD37616"/>
    <w:rsid w:val="7CDD0CEE"/>
    <w:rsid w:val="7D0D23CC"/>
    <w:rsid w:val="7D460C63"/>
    <w:rsid w:val="7D6804B0"/>
    <w:rsid w:val="7DB912A3"/>
    <w:rsid w:val="7E3967A0"/>
    <w:rsid w:val="7E3D6351"/>
    <w:rsid w:val="7EAD188A"/>
    <w:rsid w:val="7ED3567B"/>
    <w:rsid w:val="7F074E4B"/>
    <w:rsid w:val="7F1B6628"/>
    <w:rsid w:val="7F4F7C8B"/>
    <w:rsid w:val="7F6A4704"/>
    <w:rsid w:val="7F953772"/>
    <w:rsid w:val="7FAE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知足常乐</cp:lastModifiedBy>
  <dcterms:modified xsi:type="dcterms:W3CDTF">2021-04-15T08:36:40Z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7CE2437D55F34FB38FFB4D42703B11D7</vt:lpwstr>
  </property>
</Properties>
</file>