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rFonts w:ascii="黑体" w:hAnsi="黑体" w:eastAsia="黑体" w:cs="黑体"/>
          <w:b/>
          <w:bCs/>
          <w:sz w:val="36"/>
          <w:szCs w:val="36"/>
        </w:rPr>
      </w:pPr>
    </w:p>
    <w:p>
      <w:pPr>
        <w:spacing w:line="360" w:lineRule="auto"/>
        <w:ind w:firstLine="723"/>
        <w:jc w:val="center"/>
        <w:rPr>
          <w:rFonts w:ascii="黑体" w:hAnsi="黑体" w:eastAsia="黑体" w:cs="黑体"/>
          <w:b/>
          <w:bCs/>
          <w:sz w:val="36"/>
          <w:szCs w:val="36"/>
        </w:rPr>
      </w:pPr>
      <w:r>
        <w:rPr>
          <w:rFonts w:hint="eastAsia" w:ascii="黑体" w:hAnsi="黑体" w:eastAsia="黑体" w:cs="黑体"/>
          <w:b/>
          <w:bCs/>
          <w:sz w:val="36"/>
          <w:szCs w:val="36"/>
        </w:rPr>
        <w:t>中共宝鸡市渭滨区委员会组织部</w:t>
      </w:r>
    </w:p>
    <w:p>
      <w:pPr>
        <w:spacing w:line="360" w:lineRule="auto"/>
        <w:ind w:firstLine="723"/>
        <w:jc w:val="center"/>
        <w:rPr>
          <w:rFonts w:ascii="黑体" w:hAnsi="黑体" w:eastAsia="黑体" w:cs="黑体"/>
          <w:b/>
          <w:bCs/>
          <w:sz w:val="36"/>
          <w:szCs w:val="36"/>
        </w:rPr>
      </w:pPr>
      <w:r>
        <w:rPr>
          <w:rFonts w:hint="eastAsia" w:ascii="黑体" w:hAnsi="黑体" w:eastAsia="黑体" w:cs="黑体"/>
          <w:b/>
          <w:bCs/>
          <w:sz w:val="36"/>
          <w:szCs w:val="36"/>
        </w:rPr>
        <w:t>2021年部门综合预算</w:t>
      </w:r>
    </w:p>
    <w:p>
      <w:pPr>
        <w:spacing w:line="360" w:lineRule="auto"/>
        <w:ind w:firstLine="640"/>
        <w:jc w:val="center"/>
        <w:rPr>
          <w:rFonts w:ascii="黑体" w:hAnsi="黑体" w:eastAsia="黑体" w:cs="黑体"/>
          <w:sz w:val="32"/>
          <w:szCs w:val="32"/>
        </w:rPr>
      </w:pP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目  录</w:t>
      </w:r>
    </w:p>
    <w:p>
      <w:pPr>
        <w:spacing w:line="360" w:lineRule="auto"/>
        <w:ind w:firstLine="643"/>
        <w:jc w:val="center"/>
        <w:rPr>
          <w:rFonts w:ascii="仿宋" w:hAnsi="仿宋" w:eastAsia="仿宋" w:cs="仿宋"/>
          <w:b/>
          <w:bCs/>
          <w:sz w:val="32"/>
          <w:szCs w:val="32"/>
        </w:rPr>
      </w:pPr>
      <w:r>
        <w:rPr>
          <w:rFonts w:hint="eastAsia" w:ascii="黑体" w:hAnsi="黑体" w:eastAsia="黑体" w:cs="黑体"/>
          <w:b/>
          <w:bCs/>
          <w:sz w:val="32"/>
          <w:szCs w:val="32"/>
        </w:rPr>
        <w:t xml:space="preserve"> 第一部分   部门概况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一、部门主要职责及机构设置</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二、2021年年度部门工作任务</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三、部门预算单位构成</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四、部门人员情况说明</w:t>
      </w:r>
    </w:p>
    <w:p>
      <w:pPr>
        <w:spacing w:line="360" w:lineRule="auto"/>
        <w:ind w:firstLine="643"/>
        <w:jc w:val="center"/>
        <w:rPr>
          <w:rFonts w:ascii="黑体" w:hAnsi="黑体" w:eastAsia="黑体" w:cs="黑体"/>
          <w:b/>
          <w:bCs/>
          <w:sz w:val="32"/>
          <w:szCs w:val="32"/>
        </w:rPr>
      </w:pPr>
      <w:r>
        <w:rPr>
          <w:rFonts w:hint="eastAsia" w:ascii="仿宋" w:hAnsi="仿宋" w:eastAsia="仿宋" w:cs="仿宋"/>
          <w:b/>
          <w:bCs/>
          <w:sz w:val="32"/>
          <w:szCs w:val="32"/>
        </w:rPr>
        <w:t xml:space="preserve"> </w:t>
      </w:r>
      <w:r>
        <w:rPr>
          <w:rFonts w:hint="eastAsia" w:ascii="黑体" w:hAnsi="黑体" w:eastAsia="黑体" w:cs="黑体"/>
          <w:b/>
          <w:bCs/>
          <w:sz w:val="32"/>
          <w:szCs w:val="32"/>
        </w:rPr>
        <w:t>第二部分   收支情况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五、2021年部门预算收支说明</w:t>
      </w:r>
    </w:p>
    <w:p>
      <w:pPr>
        <w:spacing w:line="360" w:lineRule="auto"/>
        <w:ind w:firstLine="643"/>
        <w:jc w:val="center"/>
        <w:rPr>
          <w:rFonts w:ascii="黑体" w:hAnsi="黑体" w:eastAsia="黑体" w:cs="黑体"/>
          <w:b/>
          <w:bCs/>
          <w:sz w:val="32"/>
          <w:szCs w:val="32"/>
        </w:rPr>
      </w:pPr>
      <w:r>
        <w:rPr>
          <w:rFonts w:hint="eastAsia" w:ascii="仿宋" w:hAnsi="仿宋" w:eastAsia="仿宋" w:cs="仿宋"/>
          <w:b/>
          <w:bCs/>
          <w:sz w:val="32"/>
          <w:szCs w:val="32"/>
        </w:rPr>
        <w:t xml:space="preserve">     </w:t>
      </w:r>
      <w:r>
        <w:rPr>
          <w:rFonts w:hint="eastAsia" w:ascii="黑体" w:hAnsi="黑体" w:eastAsia="黑体" w:cs="黑体"/>
          <w:b/>
          <w:bCs/>
          <w:sz w:val="32"/>
          <w:szCs w:val="32"/>
        </w:rPr>
        <w:t>第三部分   其他说明情况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六、部门预算“三公”经费等情况说明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七、部门国有资产占有使用及资产购置情况说明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八、部门政府采购情况说明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九、部门预算绩效目标说明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十、机关运行经费安排说明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十一、专业名词解释</w:t>
      </w: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第四部分   公开报表</w:t>
      </w:r>
    </w:p>
    <w:p>
      <w:pPr>
        <w:spacing w:afterLines="1500"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0" w:firstLineChars="0"/>
        <w:jc w:val="center"/>
        <w:rPr>
          <w:rFonts w:ascii="宋体" w:hAnsi="宋体" w:cs="宋体"/>
          <w:b/>
          <w:bCs/>
          <w:sz w:val="32"/>
          <w:szCs w:val="32"/>
        </w:rPr>
      </w:pPr>
      <w:r>
        <w:rPr>
          <w:rFonts w:hint="eastAsia" w:ascii="宋体" w:hAnsi="宋体" w:cs="宋体"/>
          <w:b/>
          <w:bCs/>
          <w:sz w:val="32"/>
          <w:szCs w:val="32"/>
        </w:rPr>
        <w:t>第一部分  部门概况</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（一）贯彻落实党的组织工作路线、方针、政策，制定或参与制定干部人事工作有关规定和干部人事制度改革建议方案；研究制定选拔、考核干部的具体规定和程序；负责全区干部工作的宏观管理。</w:t>
      </w:r>
      <w:r>
        <w:rPr>
          <w:rFonts w:hint="eastAsia" w:ascii="仿宋" w:hAnsi="仿宋" w:eastAsia="仿宋" w:cs="仿宋"/>
          <w:sz w:val="32"/>
          <w:szCs w:val="32"/>
        </w:rPr>
        <w:br w:type="textWrapping"/>
      </w:r>
      <w:r>
        <w:rPr>
          <w:rFonts w:hint="eastAsia" w:ascii="仿宋" w:hAnsi="仿宋" w:eastAsia="仿宋" w:cs="仿宋"/>
          <w:sz w:val="32"/>
          <w:szCs w:val="32"/>
        </w:rPr>
        <w:t xml:space="preserve">    （二）负责对区委管理的领导班子和领导干部进行考察了解，并向区委提出调整配备的意见和建议；抓好领导班子的思想政治和作风建设；负责办理区委向区人大、区政府、区政协推荐提名干部；负责区委管理的干部的考察、任免、工资、待遇、出国（境）、退（离）休审批手续办理和党群口一般干部的调动、考核、工资审批；负责离退休干部工作的宏观指导，督促落实老干部政治待遇、生活待遇。</w:t>
      </w:r>
      <w:r>
        <w:rPr>
          <w:rFonts w:hint="eastAsia" w:ascii="仿宋" w:hAnsi="仿宋" w:eastAsia="仿宋" w:cs="仿宋"/>
          <w:sz w:val="32"/>
          <w:szCs w:val="32"/>
        </w:rPr>
        <w:br w:type="textWrapping"/>
      </w:r>
      <w:r>
        <w:rPr>
          <w:rFonts w:hint="eastAsia" w:ascii="仿宋" w:hAnsi="仿宋" w:eastAsia="仿宋" w:cs="仿宋"/>
          <w:sz w:val="32"/>
          <w:szCs w:val="32"/>
        </w:rPr>
        <w:t xml:space="preserve">    （三）配合市委组织部做好区委、区人大、区政府、区政协换届有关人事工作，负责组织换届选举工作；负责区党代会的组织筹备工作；负责镇党委、人大、政府换届人事安排及换届选举指导。</w:t>
      </w:r>
      <w:r>
        <w:rPr>
          <w:rFonts w:hint="eastAsia" w:ascii="仿宋" w:hAnsi="仿宋" w:eastAsia="仿宋" w:cs="仿宋"/>
          <w:sz w:val="32"/>
          <w:szCs w:val="32"/>
        </w:rPr>
        <w:br w:type="textWrapping"/>
      </w:r>
      <w:r>
        <w:rPr>
          <w:rFonts w:hint="eastAsia" w:ascii="仿宋" w:hAnsi="仿宋" w:eastAsia="仿宋" w:cs="仿宋"/>
          <w:sz w:val="32"/>
          <w:szCs w:val="32"/>
        </w:rPr>
        <w:t xml:space="preserve">    （四）负责干部队伍建设规划和指导工作；负责后备干部队伍建设和培养选拔年轻干部的指导、管理工作；负责全区党委、人大、政协机关和人民团体、民主党派机关参照国家公务员制度管理工作；负责全区法院机关、检察机关干部人事有关管理工作；负责全区国家行政机关执行国家公务员制度的宏观指导。</w:t>
      </w:r>
      <w:r>
        <w:rPr>
          <w:rFonts w:hint="eastAsia" w:ascii="仿宋" w:hAnsi="仿宋" w:eastAsia="仿宋" w:cs="仿宋"/>
          <w:sz w:val="32"/>
          <w:szCs w:val="32"/>
        </w:rPr>
        <w:br w:type="textWrapping"/>
      </w:r>
      <w:r>
        <w:rPr>
          <w:rFonts w:hint="eastAsia" w:ascii="仿宋" w:hAnsi="仿宋" w:eastAsia="仿宋" w:cs="仿宋"/>
          <w:sz w:val="32"/>
          <w:szCs w:val="32"/>
        </w:rPr>
        <w:t xml:space="preserve">    （五）负责区委管理的事业单位领导班子建设和领导人员管理工作，对全区事业单位领导班子及领导干部进行宏观管理；协助管理党的组织关系在区委的驻区单位领导班子和领导干部；会同相关部门做好军队转业干部安置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（六）对全区干部培训教育工作进行规划指导、组织协调、督促和检查。</w:t>
      </w:r>
      <w:r>
        <w:rPr>
          <w:rFonts w:hint="eastAsia" w:ascii="仿宋" w:hAnsi="仿宋" w:eastAsia="仿宋" w:cs="仿宋"/>
          <w:sz w:val="32"/>
          <w:szCs w:val="32"/>
        </w:rPr>
        <w:br w:type="textWrapping"/>
      </w:r>
      <w:r>
        <w:rPr>
          <w:rFonts w:hint="eastAsia" w:ascii="仿宋" w:hAnsi="仿宋" w:eastAsia="仿宋" w:cs="仿宋"/>
          <w:sz w:val="32"/>
          <w:szCs w:val="32"/>
        </w:rPr>
        <w:t xml:space="preserve">    （七）负责指导、管理全区干部监督工作，审理区委管理的领导干部的有关问题；负责党员、干部来信来访工作。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（八）负责全区人才工作的宏观指导、组织协调和督促检查，负责校地合作的组织实施和拔尖人才的选拔和管理工作。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（九）负责对全区党的组织建设进行调查研究、宏观指导、监督检查；负责全区党员的管理、教育和发展工作以及党费收缴、管理工作；负责全区非公有制经济组织和社会组织党建工作的统筹规划和指导协调。</w:t>
      </w:r>
      <w:r>
        <w:rPr>
          <w:rFonts w:hint="eastAsia" w:ascii="仿宋" w:hAnsi="仿宋" w:eastAsia="仿宋" w:cs="仿宋"/>
          <w:sz w:val="32"/>
          <w:szCs w:val="32"/>
        </w:rPr>
        <w:br w:type="textWrapping"/>
      </w:r>
      <w:r>
        <w:rPr>
          <w:rFonts w:hint="eastAsia" w:ascii="仿宋" w:hAnsi="仿宋" w:eastAsia="仿宋" w:cs="仿宋"/>
          <w:sz w:val="32"/>
          <w:szCs w:val="32"/>
        </w:rPr>
        <w:t xml:space="preserve">    （十）负责全区党员、干部和人才的统计工作；负责管理区委管理干部的档案，并指导全区干部档案管理工作；负责全区组织史资料征集和编写工作。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一）负责区党代表的联络和服务工作。负责我区出席全国、全省、全市党代会代表的推选；负责镇、区直机关工委党代会（党代表会议）的审批、指导工作，负责党内先进典型推荐、审查和表彰工作，负责党代表大会常任制和代表任期制有关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（十二）指导协调全区组织系统信息化建设，承担“渭滨党建”网站管理维护，负责党组织和党员信息库的建立、维护，负责全区党员干部远程（电化）教育工作组织实施和协调管理。</w:t>
      </w:r>
      <w:r>
        <w:rPr>
          <w:rFonts w:hint="eastAsia" w:ascii="仿宋" w:hAnsi="仿宋" w:eastAsia="仿宋" w:cs="仿宋"/>
          <w:sz w:val="32"/>
          <w:szCs w:val="32"/>
        </w:rPr>
        <w:br w:type="textWrapping"/>
      </w:r>
      <w:r>
        <w:rPr>
          <w:rFonts w:hint="eastAsia" w:ascii="仿宋" w:hAnsi="仿宋" w:eastAsia="仿宋" w:cs="仿宋"/>
          <w:sz w:val="32"/>
          <w:szCs w:val="32"/>
        </w:rPr>
        <w:t xml:space="preserve">    （十三）负责全区目标责任考核工作的组织实施，对各镇街、各部门目标任务完成情况进行督促检查，协调有关部门定期召开联席会议，研究解决目标责任考核中的具体问题，对考核结果的运用提出建议，做好市对区目标责任考核有关具体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（十四）完成区委和市委组织部交办的其他任务。</w:t>
      </w:r>
      <w:r>
        <w:rPr>
          <w:rFonts w:hint="eastAsia" w:ascii="仿宋" w:hAnsi="仿宋" w:eastAsia="仿宋" w:cs="仿宋"/>
          <w:sz w:val="32"/>
          <w:szCs w:val="32"/>
        </w:rPr>
        <w:br w:type="textWrapping"/>
      </w:r>
      <w:r>
        <w:rPr>
          <w:rFonts w:hint="eastAsia" w:ascii="仿宋" w:hAnsi="仿宋" w:eastAsia="仿宋" w:cs="仿宋"/>
          <w:sz w:val="32"/>
          <w:szCs w:val="32"/>
        </w:rPr>
        <w:t xml:space="preserve">    机构设置:依据本部门三定方案，区委组织部设9个内设机构（办公室、公务员组、干部组、组织一组、组织二组、组织三组、人才组、考核组、老干部工作组）；</w:t>
      </w:r>
      <w:r>
        <w:rPr>
          <w:rFonts w:hint="eastAsia" w:ascii="仿宋" w:hAnsi="仿宋" w:eastAsia="仿宋" w:cs="仿宋"/>
          <w:sz w:val="32"/>
          <w:szCs w:val="32"/>
          <w:lang w:eastAsia="zh-CN"/>
        </w:rPr>
        <w:t>下属事业单位</w:t>
      </w:r>
      <w:r>
        <w:rPr>
          <w:rFonts w:hint="eastAsia" w:ascii="仿宋" w:hAnsi="仿宋" w:eastAsia="仿宋" w:cs="仿宋"/>
          <w:sz w:val="32"/>
          <w:szCs w:val="32"/>
        </w:rPr>
        <w:t>为中共宝鸡市渭滨区委组织部党员教育中心。</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二、2021年度部门工作任务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年，组织部重点抓好以下几方面工作：一是</w:t>
      </w:r>
      <w:r>
        <w:rPr>
          <w:rFonts w:hint="eastAsia" w:ascii="仿宋" w:hAnsi="仿宋" w:eastAsia="仿宋" w:cs="仿宋"/>
          <w:sz w:val="32"/>
          <w:szCs w:val="32"/>
          <w:lang w:eastAsia="zh-CN"/>
        </w:rPr>
        <w:t>在</w:t>
      </w:r>
      <w:r>
        <w:rPr>
          <w:rFonts w:hint="eastAsia" w:ascii="仿宋" w:hAnsi="仿宋" w:eastAsia="仿宋" w:cs="仿宋"/>
          <w:sz w:val="32"/>
          <w:szCs w:val="32"/>
        </w:rPr>
        <w:t>全区组织专题教育；二是做好</w:t>
      </w:r>
      <w:r>
        <w:rPr>
          <w:rFonts w:hint="eastAsia" w:ascii="仿宋" w:hAnsi="仿宋" w:eastAsia="仿宋" w:cs="仿宋"/>
          <w:sz w:val="32"/>
          <w:szCs w:val="32"/>
          <w:lang w:eastAsia="zh-CN"/>
        </w:rPr>
        <w:t>镇街换届和</w:t>
      </w:r>
      <w:r>
        <w:rPr>
          <w:rFonts w:hint="eastAsia" w:ascii="仿宋" w:hAnsi="仿宋" w:eastAsia="仿宋" w:cs="仿宋"/>
          <w:sz w:val="32"/>
          <w:szCs w:val="32"/>
        </w:rPr>
        <w:t>科级领导班子调整工作；三是抓好全区公务员管理工作；四是抓好干部教育培训工作；五是从严执行干部管理监督制度；六是创新机制提升人才工作水平；七是切实加强基层党组织建设；八是加强党员队伍建设；九是抓好党员干部教育工作；十是</w:t>
      </w:r>
      <w:r>
        <w:rPr>
          <w:rFonts w:hint="eastAsia" w:ascii="仿宋" w:hAnsi="仿宋" w:eastAsia="仿宋" w:cs="仿宋"/>
          <w:sz w:val="32"/>
          <w:szCs w:val="32"/>
          <w:lang w:eastAsia="zh-CN"/>
        </w:rPr>
        <w:t>开展</w:t>
      </w:r>
      <w:r>
        <w:rPr>
          <w:rFonts w:hint="eastAsia" w:ascii="仿宋" w:hAnsi="仿宋" w:eastAsia="仿宋" w:cs="仿宋"/>
          <w:sz w:val="32"/>
          <w:szCs w:val="32"/>
        </w:rPr>
        <w:t>年度目标考核</w:t>
      </w:r>
      <w:r>
        <w:rPr>
          <w:rFonts w:hint="eastAsia" w:ascii="仿宋" w:hAnsi="仿宋" w:eastAsia="仿宋" w:cs="仿宋"/>
          <w:sz w:val="32"/>
          <w:szCs w:val="32"/>
          <w:lang w:eastAsia="zh-CN"/>
        </w:rPr>
        <w:t>工作</w:t>
      </w:r>
      <w:r>
        <w:rPr>
          <w:rFonts w:hint="eastAsia" w:ascii="仿宋" w:hAnsi="仿宋" w:eastAsia="仿宋" w:cs="仿宋"/>
          <w:sz w:val="32"/>
          <w:szCs w:val="32"/>
        </w:rPr>
        <w:t>；十一是做好老干部工作；十二是加强组织部门自身建设。</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三、部门预算单位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从预算单位构成看，本部门的预算包括本级机关预算。</w:t>
      </w:r>
    </w:p>
    <w:tbl>
      <w:tblPr>
        <w:tblStyle w:val="6"/>
        <w:tblW w:w="12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4"/>
        <w:gridCol w:w="3686"/>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34" w:type="dxa"/>
          </w:tcPr>
          <w:p>
            <w:pPr>
              <w:ind w:firstLine="640"/>
              <w:rPr>
                <w:rFonts w:ascii="仿宋" w:hAnsi="仿宋" w:eastAsia="仿宋" w:cs="仿宋"/>
                <w:sz w:val="32"/>
                <w:szCs w:val="32"/>
              </w:rPr>
            </w:pPr>
            <w:r>
              <w:rPr>
                <w:rFonts w:hint="eastAsia" w:ascii="仿宋" w:hAnsi="仿宋" w:eastAsia="仿宋" w:cs="仿宋"/>
                <w:sz w:val="32"/>
                <w:szCs w:val="32"/>
              </w:rPr>
              <w:t>序号</w:t>
            </w:r>
          </w:p>
        </w:tc>
        <w:tc>
          <w:tcPr>
            <w:tcW w:w="3686" w:type="dxa"/>
          </w:tcPr>
          <w:p>
            <w:pPr>
              <w:ind w:firstLine="640"/>
              <w:rPr>
                <w:rFonts w:ascii="仿宋" w:hAnsi="仿宋" w:eastAsia="仿宋" w:cs="仿宋"/>
                <w:sz w:val="32"/>
                <w:szCs w:val="32"/>
              </w:rPr>
            </w:pPr>
            <w:r>
              <w:rPr>
                <w:rFonts w:hint="eastAsia" w:ascii="仿宋" w:hAnsi="仿宋" w:eastAsia="仿宋" w:cs="仿宋"/>
                <w:sz w:val="32"/>
                <w:szCs w:val="32"/>
              </w:rPr>
              <w:t>单位名称</w:t>
            </w:r>
          </w:p>
        </w:tc>
        <w:tc>
          <w:tcPr>
            <w:tcW w:w="6780" w:type="dxa"/>
          </w:tcPr>
          <w:p>
            <w:pPr>
              <w:ind w:firstLine="640"/>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34" w:type="dxa"/>
          </w:tcPr>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3686" w:type="dxa"/>
          </w:tcPr>
          <w:p>
            <w:pPr>
              <w:ind w:firstLine="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中共宝鸡市渭滨区委员会组织部</w:t>
            </w:r>
          </w:p>
        </w:tc>
        <w:tc>
          <w:tcPr>
            <w:tcW w:w="6780" w:type="dxa"/>
          </w:tcPr>
          <w:p>
            <w:pPr>
              <w:ind w:firstLine="640"/>
              <w:rPr>
                <w:rFonts w:ascii="仿宋" w:hAnsi="仿宋" w:eastAsia="仿宋" w:cs="仿宋"/>
                <w:sz w:val="32"/>
                <w:szCs w:val="32"/>
              </w:rPr>
            </w:pPr>
          </w:p>
        </w:tc>
      </w:tr>
    </w:tbl>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四、部门人员情况说明</w:t>
      </w:r>
    </w:p>
    <w:p>
      <w:pPr>
        <w:tabs>
          <w:tab w:val="left" w:pos="6643"/>
        </w:tabs>
        <w:spacing w:line="360" w:lineRule="auto"/>
        <w:ind w:firstLine="640"/>
        <w:rPr>
          <w:rFonts w:ascii="仿宋" w:hAnsi="仿宋" w:eastAsia="仿宋" w:cs="仿宋"/>
          <w:sz w:val="32"/>
          <w:szCs w:val="32"/>
        </w:rPr>
      </w:pPr>
      <w:r>
        <w:rPr>
          <w:rFonts w:hint="eastAsia" w:ascii="仿宋" w:hAnsi="仿宋" w:eastAsia="仿宋" w:cs="仿宋"/>
          <w:sz w:val="32"/>
          <w:szCs w:val="32"/>
        </w:rPr>
        <w:t>截止2020年底，本部门人员编制34人，其中行政编制24人、事业编制10人；实有人员30人，其中行政18人、事业5人</w:t>
      </w:r>
      <w:r>
        <w:rPr>
          <w:rFonts w:hint="eastAsia" w:ascii="仿宋" w:hAnsi="仿宋" w:eastAsia="仿宋" w:cs="仿宋"/>
          <w:sz w:val="32"/>
          <w:szCs w:val="32"/>
          <w:lang w:val="en-US" w:eastAsia="zh-CN"/>
        </w:rPr>
        <w:t>,工勤2人</w:t>
      </w:r>
      <w:r>
        <w:rPr>
          <w:rFonts w:hint="eastAsia" w:ascii="仿宋" w:hAnsi="仿宋" w:eastAsia="仿宋" w:cs="仿宋"/>
          <w:sz w:val="32"/>
          <w:szCs w:val="32"/>
        </w:rPr>
        <w:t>。单位管理的离退休人员5人。</w:t>
      </w:r>
      <w:r>
        <w:rPr>
          <w:rFonts w:hint="eastAsia" w:ascii="仿宋" w:hAnsi="仿宋" w:eastAsia="仿宋" w:cs="仿宋"/>
          <w:sz w:val="32"/>
          <w:szCs w:val="32"/>
        </w:rPr>
        <w:tab/>
      </w:r>
    </w:p>
    <w:p>
      <w:pPr>
        <w:spacing w:line="360" w:lineRule="auto"/>
        <w:ind w:firstLine="480"/>
        <w:jc w:val="center"/>
        <w:rPr>
          <w:rFonts w:ascii="仿宋" w:hAnsi="仿宋" w:eastAsia="仿宋" w:cs="仿宋"/>
          <w:sz w:val="32"/>
          <w:szCs w:val="32"/>
        </w:rPr>
      </w:pPr>
      <w:r>
        <w:drawing>
          <wp:inline distT="0" distB="0" distL="0" distR="0">
            <wp:extent cx="6581775" cy="3333750"/>
            <wp:effectExtent l="0" t="0" r="0" b="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12" cstate="print"/>
                    <a:stretch>
                      <a:fillRect/>
                    </a:stretch>
                  </pic:blipFill>
                  <pic:spPr>
                    <a:xfrm>
                      <a:off x="0" y="0"/>
                      <a:ext cx="6581775" cy="3333750"/>
                    </a:xfrm>
                    <a:prstGeom prst="rect">
                      <a:avLst/>
                    </a:prstGeom>
                  </pic:spPr>
                </pic:pic>
              </a:graphicData>
            </a:graphic>
          </wp:inline>
        </w:drawing>
      </w:r>
    </w:p>
    <w:p>
      <w:pPr>
        <w:spacing w:line="360" w:lineRule="auto"/>
        <w:ind w:firstLine="643"/>
        <w:jc w:val="center"/>
        <w:rPr>
          <w:rFonts w:ascii="宋体" w:hAnsi="宋体" w:cs="宋体"/>
          <w:b/>
          <w:bCs/>
          <w:sz w:val="32"/>
          <w:szCs w:val="32"/>
        </w:rPr>
      </w:pPr>
      <w:r>
        <w:rPr>
          <w:rFonts w:hint="eastAsia" w:ascii="宋体" w:hAnsi="宋体" w:cs="宋体"/>
          <w:b/>
          <w:bCs/>
          <w:sz w:val="32"/>
          <w:szCs w:val="32"/>
        </w:rPr>
        <w:t>第二部分  收支情况</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五、2021年部门预算收支说明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按照综合预算的原则，本部门所有收入和支出均纳入部门预算管理。2021年本部门预算收入520.94万元，其中一般公共预算拨款收入520.94万元、政府性基金拨款收入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万元、事业单位经营收入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万元、对附属单位上缴收入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元、用事业基金弥补收支差额</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万元、上年实户资金余额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万元，2021年本部门预算收入较上年增加</w:t>
      </w:r>
      <w:r>
        <w:rPr>
          <w:rFonts w:hint="eastAsia" w:ascii="仿宋" w:hAnsi="仿宋" w:eastAsia="仿宋" w:cs="仿宋"/>
          <w:sz w:val="32"/>
          <w:szCs w:val="32"/>
          <w:lang w:val="en-US" w:eastAsia="zh-CN"/>
        </w:rPr>
        <w:t>116.51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人员增加；项目预算较往年增加。</w:t>
      </w:r>
      <w:r>
        <w:rPr>
          <w:rFonts w:hint="eastAsia" w:ascii="仿宋" w:hAnsi="仿宋" w:eastAsia="仿宋" w:cs="仿宋"/>
          <w:sz w:val="32"/>
          <w:szCs w:val="32"/>
        </w:rPr>
        <w:t>2021年本部门预算支出520.94万元，其中一般公共预算拨款支出520.94万元、政府性基金拨款支出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万元、事业单位经营收入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万元、对附属单位上缴收入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万元、上年实户资金余额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万元、上年结转0万元，2021年本部门预算支出较上年增加</w:t>
      </w:r>
      <w:r>
        <w:rPr>
          <w:rFonts w:hint="eastAsia" w:ascii="仿宋" w:hAnsi="仿宋" w:eastAsia="仿宋" w:cs="仿宋"/>
          <w:sz w:val="32"/>
          <w:szCs w:val="32"/>
          <w:lang w:val="en-US" w:eastAsia="zh-CN"/>
        </w:rPr>
        <w:t>116.51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人员增加；项目预算较往年增加</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2021年本部门财政拨款收入520.94万元，其中一般公共预算拨款收入520.94万元、政府性基金拨款收入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万元，2021年本部门财政拨款收入较上年增加</w:t>
      </w:r>
      <w:r>
        <w:rPr>
          <w:rFonts w:hint="eastAsia" w:ascii="仿宋" w:hAnsi="仿宋" w:eastAsia="仿宋" w:cs="仿宋"/>
          <w:sz w:val="32"/>
          <w:szCs w:val="32"/>
          <w:lang w:val="en-US" w:eastAsia="zh-CN"/>
        </w:rPr>
        <w:t>116.51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人员增加；项目预算较往年增加</w:t>
      </w:r>
      <w:r>
        <w:rPr>
          <w:rFonts w:hint="eastAsia" w:ascii="仿宋" w:hAnsi="仿宋" w:eastAsia="仿宋" w:cs="仿宋"/>
          <w:sz w:val="32"/>
          <w:szCs w:val="32"/>
        </w:rPr>
        <w:t>。2021年本部门财政拨款支出520.94万元，其中一般公共预算拨款支出520.94万元、政府性基金拨款支出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万元，2021年本部门财政拨款支出较上年增加</w:t>
      </w:r>
      <w:r>
        <w:rPr>
          <w:rFonts w:hint="eastAsia" w:ascii="仿宋" w:hAnsi="仿宋" w:eastAsia="仿宋" w:cs="仿宋"/>
          <w:sz w:val="32"/>
          <w:szCs w:val="32"/>
          <w:lang w:val="en-US" w:eastAsia="zh-CN"/>
        </w:rPr>
        <w:t>116.51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人员增加；项目预算较往年增加</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rPr>
          <w:rFonts w:hint="eastAsia" w:ascii="仿宋" w:hAnsi="仿宋" w:eastAsia="仿宋" w:cs="仿宋"/>
          <w:sz w:val="32"/>
          <w:szCs w:val="32"/>
        </w:rPr>
      </w:pPr>
      <w:r>
        <w:rPr>
          <w:rFonts w:hint="eastAsia" w:ascii="仿宋" w:hAnsi="仿宋" w:eastAsia="仿宋" w:cs="仿宋"/>
          <w:sz w:val="32"/>
          <w:szCs w:val="32"/>
        </w:rPr>
        <w:t>1、一般公共预算当年拨款规模变化情况。</w:t>
      </w:r>
    </w:p>
    <w:p>
      <w:pPr>
        <w:spacing w:line="360" w:lineRule="auto"/>
        <w:rPr>
          <w:rFonts w:ascii="仿宋" w:hAnsi="仿宋" w:eastAsia="仿宋" w:cs="仿宋"/>
          <w:sz w:val="32"/>
          <w:szCs w:val="32"/>
        </w:rPr>
      </w:pPr>
      <w:r>
        <w:rPr>
          <w:rFonts w:hint="eastAsia" w:ascii="仿宋" w:hAnsi="仿宋" w:eastAsia="仿宋" w:cs="仿宋"/>
          <w:sz w:val="32"/>
          <w:szCs w:val="32"/>
        </w:rPr>
        <w:t>2021年本部门当年一般公共预算拨款支出520.94万元，较上年增加</w:t>
      </w:r>
      <w:r>
        <w:rPr>
          <w:rFonts w:hint="eastAsia" w:ascii="仿宋" w:hAnsi="仿宋" w:eastAsia="仿宋" w:cs="仿宋"/>
          <w:sz w:val="32"/>
          <w:szCs w:val="32"/>
          <w:lang w:val="en-US" w:eastAsia="zh-CN"/>
        </w:rPr>
        <w:t>116.51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人员增加；项目预算较往年增加</w:t>
      </w:r>
      <w:r>
        <w:rPr>
          <w:rFonts w:hint="eastAsia" w:ascii="仿宋" w:hAnsi="仿宋" w:eastAsia="仿宋" w:cs="仿宋"/>
          <w:sz w:val="32"/>
          <w:szCs w:val="32"/>
        </w:rPr>
        <w:t>。</w:t>
      </w:r>
    </w:p>
    <w:p>
      <w:pPr>
        <w:numPr>
          <w:ilvl w:val="0"/>
          <w:numId w:val="1"/>
        </w:numPr>
        <w:spacing w:line="360" w:lineRule="auto"/>
        <w:ind w:left="638" w:leftChars="266" w:firstLine="0" w:firstLineChars="0"/>
        <w:rPr>
          <w:rFonts w:hint="eastAsia" w:ascii="仿宋" w:hAnsi="仿宋" w:eastAsia="仿宋" w:cs="仿宋"/>
          <w:sz w:val="32"/>
          <w:szCs w:val="32"/>
        </w:rPr>
      </w:pPr>
      <w:r>
        <w:rPr>
          <w:rFonts w:hint="eastAsia" w:ascii="仿宋" w:hAnsi="仿宋" w:eastAsia="仿宋" w:cs="仿宋"/>
          <w:sz w:val="32"/>
          <w:szCs w:val="32"/>
        </w:rPr>
        <w:t>支出按功能科目分类的明细情况。</w:t>
      </w:r>
      <w:r>
        <w:rPr>
          <w:rFonts w:hint="eastAsia" w:ascii="仿宋" w:hAnsi="仿宋" w:eastAsia="仿宋" w:cs="仿宋"/>
          <w:sz w:val="32"/>
          <w:szCs w:val="32"/>
        </w:rPr>
        <w:br w:type="textWrapping"/>
      </w:r>
      <w:r>
        <w:rPr>
          <w:rFonts w:hint="eastAsia" w:ascii="仿宋" w:hAnsi="仿宋" w:eastAsia="仿宋" w:cs="仿宋"/>
          <w:sz w:val="32"/>
          <w:szCs w:val="32"/>
        </w:rPr>
        <w:t>2021年本部门当年一般公共预算支出520.94万元，其中：</w:t>
      </w:r>
    </w:p>
    <w:p>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(1)行政运行（2013201）315.94万元，较上年减少</w:t>
      </w:r>
      <w:r>
        <w:rPr>
          <w:rFonts w:hint="eastAsia" w:ascii="仿宋" w:hAnsi="仿宋" w:eastAsia="仿宋" w:cs="仿宋"/>
          <w:sz w:val="32"/>
          <w:szCs w:val="32"/>
          <w:lang w:val="en-US" w:eastAsia="zh-CN"/>
        </w:rPr>
        <w:t>2.29</w:t>
      </w:r>
      <w:r>
        <w:rPr>
          <w:rFonts w:hint="eastAsia" w:ascii="仿宋" w:hAnsi="仿宋" w:eastAsia="仿宋" w:cs="仿宋"/>
          <w:sz w:val="32"/>
          <w:szCs w:val="32"/>
        </w:rPr>
        <w:t>万元，原因是</w:t>
      </w:r>
      <w:r>
        <w:rPr>
          <w:rFonts w:hint="eastAsia" w:ascii="仿宋" w:hAnsi="仿宋" w:eastAsia="仿宋" w:cs="仿宋"/>
          <w:sz w:val="32"/>
          <w:szCs w:val="32"/>
          <w:lang w:eastAsia="zh-CN"/>
        </w:rPr>
        <w:t>严格执行中央八项规定，压减经费开支，老干局专项业务费及组织部专项业务费列入一般行政管理事务（</w:t>
      </w:r>
      <w:r>
        <w:rPr>
          <w:rFonts w:hint="eastAsia" w:ascii="仿宋" w:hAnsi="仿宋" w:eastAsia="仿宋" w:cs="仿宋"/>
          <w:sz w:val="32"/>
          <w:szCs w:val="32"/>
          <w:lang w:val="en-US" w:eastAsia="zh-CN"/>
        </w:rPr>
        <w:t>2013202</w:t>
      </w:r>
      <w:r>
        <w:rPr>
          <w:rFonts w:hint="eastAsia" w:ascii="仿宋" w:hAnsi="仿宋" w:eastAsia="仿宋" w:cs="仿宋"/>
          <w:sz w:val="32"/>
          <w:szCs w:val="32"/>
          <w:lang w:eastAsia="zh-CN"/>
        </w:rPr>
        <w:t>）核算</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(2)一般行政管理事务（2013202）122.20万元，较上年增加</w:t>
      </w:r>
      <w:r>
        <w:rPr>
          <w:rFonts w:hint="eastAsia" w:ascii="仿宋" w:hAnsi="仿宋" w:eastAsia="仿宋" w:cs="仿宋"/>
          <w:sz w:val="32"/>
          <w:szCs w:val="32"/>
          <w:lang w:val="en-US" w:eastAsia="zh-CN"/>
        </w:rPr>
        <w:t>109.3</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上年度老干局专项业务费及组织部专项业务费列入一般行政管理事务（</w:t>
      </w:r>
      <w:r>
        <w:rPr>
          <w:rFonts w:hint="eastAsia" w:ascii="仿宋" w:hAnsi="仿宋" w:eastAsia="仿宋" w:cs="仿宋"/>
          <w:sz w:val="32"/>
          <w:szCs w:val="32"/>
          <w:lang w:val="en-US" w:eastAsia="zh-CN"/>
        </w:rPr>
        <w:t>2013201</w:t>
      </w:r>
      <w:r>
        <w:rPr>
          <w:rFonts w:hint="eastAsia" w:ascii="仿宋" w:hAnsi="仿宋" w:eastAsia="仿宋" w:cs="仿宋"/>
          <w:sz w:val="32"/>
          <w:szCs w:val="32"/>
          <w:lang w:eastAsia="zh-CN"/>
        </w:rPr>
        <w:t>）核算，为基本支出，本年度列入一般行政管理事务（</w:t>
      </w:r>
      <w:r>
        <w:rPr>
          <w:rFonts w:hint="eastAsia" w:ascii="仿宋" w:hAnsi="仿宋" w:eastAsia="仿宋" w:cs="仿宋"/>
          <w:sz w:val="32"/>
          <w:szCs w:val="32"/>
          <w:lang w:val="en-US" w:eastAsia="zh-CN"/>
        </w:rPr>
        <w:t>2113202</w:t>
      </w:r>
      <w:r>
        <w:rPr>
          <w:rFonts w:hint="eastAsia" w:ascii="仿宋" w:hAnsi="仿宋" w:eastAsia="仿宋" w:cs="仿宋"/>
          <w:sz w:val="32"/>
          <w:szCs w:val="32"/>
          <w:lang w:eastAsia="zh-CN"/>
        </w:rPr>
        <w:t>），为项目支出</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(3)培训支出（2050803）10万元，较上年减少</w:t>
      </w:r>
      <w:r>
        <w:rPr>
          <w:rFonts w:hint="eastAsia" w:ascii="仿宋" w:hAnsi="仿宋" w:eastAsia="仿宋" w:cs="仿宋"/>
          <w:sz w:val="32"/>
          <w:szCs w:val="32"/>
          <w:lang w:val="en-US" w:eastAsia="zh-CN"/>
        </w:rPr>
        <w:t>23</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上年度因疫情影响未开展培训扶贫干部培训，</w:t>
      </w:r>
      <w:r>
        <w:rPr>
          <w:rFonts w:hint="eastAsia" w:ascii="仿宋" w:hAnsi="仿宋" w:eastAsia="仿宋" w:cs="仿宋"/>
          <w:sz w:val="32"/>
          <w:szCs w:val="32"/>
          <w:lang w:val="en-US" w:eastAsia="zh-CN"/>
        </w:rPr>
        <w:t>20万元培训费</w:t>
      </w:r>
      <w:r>
        <w:rPr>
          <w:rFonts w:hint="eastAsia" w:ascii="仿宋" w:hAnsi="仿宋" w:eastAsia="仿宋" w:cs="仿宋"/>
          <w:sz w:val="32"/>
          <w:szCs w:val="32"/>
          <w:lang w:eastAsia="zh-CN"/>
        </w:rPr>
        <w:t>经费结转至本年度继续使用，本年度未新增预算</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(4)机关事业单位基本养老保险缴费支出（2080505）27.5万元，较上年增加</w:t>
      </w:r>
      <w:r>
        <w:rPr>
          <w:rFonts w:hint="eastAsia" w:ascii="仿宋" w:hAnsi="仿宋" w:eastAsia="仿宋" w:cs="仿宋"/>
          <w:sz w:val="32"/>
          <w:szCs w:val="32"/>
          <w:lang w:val="en-US" w:eastAsia="zh-CN"/>
        </w:rPr>
        <w:t>3.3</w:t>
      </w:r>
      <w:r>
        <w:rPr>
          <w:rFonts w:hint="eastAsia" w:ascii="仿宋" w:hAnsi="仿宋" w:eastAsia="仿宋" w:cs="仿宋"/>
          <w:sz w:val="32"/>
          <w:szCs w:val="32"/>
        </w:rPr>
        <w:t>万元，原因是</w:t>
      </w:r>
      <w:r>
        <w:rPr>
          <w:rFonts w:hint="eastAsia" w:ascii="仿宋" w:hAnsi="仿宋" w:eastAsia="仿宋" w:cs="仿宋"/>
          <w:sz w:val="32"/>
          <w:szCs w:val="32"/>
          <w:lang w:eastAsia="zh-CN"/>
        </w:rPr>
        <w:t>新招录公务员及事业人员，人员增加，经费预算增加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(5)行政单位医疗（2101101）17.</w:t>
      </w:r>
      <w:r>
        <w:rPr>
          <w:rFonts w:hint="eastAsia" w:ascii="仿宋" w:hAnsi="仿宋" w:eastAsia="仿宋" w:cs="仿宋"/>
          <w:sz w:val="32"/>
          <w:szCs w:val="32"/>
          <w:lang w:val="en-US" w:eastAsia="zh-CN"/>
        </w:rPr>
        <w:t>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2.1</w:t>
      </w:r>
      <w:r>
        <w:rPr>
          <w:rFonts w:hint="eastAsia" w:ascii="仿宋" w:hAnsi="仿宋" w:eastAsia="仿宋" w:cs="仿宋"/>
          <w:sz w:val="32"/>
          <w:szCs w:val="32"/>
        </w:rPr>
        <w:t>万元，原因是</w:t>
      </w:r>
      <w:r>
        <w:rPr>
          <w:rFonts w:hint="eastAsia" w:ascii="仿宋" w:hAnsi="仿宋" w:eastAsia="仿宋" w:cs="仿宋"/>
          <w:sz w:val="32"/>
          <w:szCs w:val="32"/>
          <w:lang w:eastAsia="zh-CN"/>
        </w:rPr>
        <w:t>新招录公务员及事业人员，人员增加，经费预算增加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(6)对高校毕业生到基层任职补助（2130152）4.8万元，较上年增加</w:t>
      </w:r>
      <w:r>
        <w:rPr>
          <w:rFonts w:hint="eastAsia" w:ascii="仿宋" w:hAnsi="仿宋" w:eastAsia="仿宋" w:cs="仿宋"/>
          <w:sz w:val="32"/>
          <w:szCs w:val="32"/>
          <w:lang w:val="en-US" w:eastAsia="zh-CN"/>
        </w:rPr>
        <w:t>4.1</w:t>
      </w:r>
      <w:r>
        <w:rPr>
          <w:rFonts w:hint="eastAsia" w:ascii="仿宋" w:hAnsi="仿宋" w:eastAsia="仿宋" w:cs="仿宋"/>
          <w:sz w:val="32"/>
          <w:szCs w:val="32"/>
        </w:rPr>
        <w:t>万元，原因是</w:t>
      </w:r>
      <w:r>
        <w:rPr>
          <w:rFonts w:hint="eastAsia" w:ascii="仿宋" w:hAnsi="仿宋" w:eastAsia="仿宋" w:cs="仿宋"/>
          <w:sz w:val="32"/>
          <w:szCs w:val="32"/>
          <w:lang w:eastAsia="zh-CN"/>
        </w:rPr>
        <w:t>本年度新增按照省委组织部、省财政厅《关于选调生到村任职工作补助资金有关事项的通知》（陕组通字</w:t>
      </w:r>
      <w:r>
        <w:rPr>
          <w:rFonts w:hint="eastAsia" w:ascii="仿宋" w:hAnsi="仿宋" w:eastAsia="仿宋" w:cs="仿宋"/>
          <w:sz w:val="32"/>
          <w:szCs w:val="32"/>
          <w:lang w:val="en-US" w:eastAsia="zh-CN"/>
        </w:rPr>
        <w:t>[2020]102号</w:t>
      </w:r>
      <w:r>
        <w:rPr>
          <w:rFonts w:hint="eastAsia" w:ascii="仿宋" w:hAnsi="仿宋" w:eastAsia="仿宋" w:cs="仿宋"/>
          <w:sz w:val="32"/>
          <w:szCs w:val="32"/>
          <w:lang w:eastAsia="zh-CN"/>
        </w:rPr>
        <w:t>）之有关规定，此经费作为</w:t>
      </w:r>
      <w:r>
        <w:rPr>
          <w:rFonts w:hint="eastAsia" w:ascii="仿宋" w:hAnsi="仿宋" w:eastAsia="仿宋" w:cs="仿宋"/>
          <w:sz w:val="32"/>
          <w:szCs w:val="32"/>
          <w:lang w:val="en-US" w:eastAsia="zh-CN"/>
        </w:rPr>
        <w:t>2021年度8名选调生</w:t>
      </w:r>
      <w:r>
        <w:rPr>
          <w:rFonts w:hint="eastAsia" w:ascii="仿宋" w:hAnsi="仿宋" w:eastAsia="仿宋" w:cs="仿宋"/>
          <w:sz w:val="32"/>
          <w:szCs w:val="32"/>
          <w:lang w:eastAsia="zh-CN"/>
        </w:rPr>
        <w:t>工作补助</w:t>
      </w:r>
      <w:r>
        <w:rPr>
          <w:rFonts w:hint="eastAsia" w:ascii="仿宋" w:hAnsi="仿宋" w:eastAsia="仿宋" w:cs="仿宋"/>
          <w:sz w:val="32"/>
          <w:szCs w:val="32"/>
          <w:lang w:val="en-US" w:eastAsia="zh-CN"/>
        </w:rPr>
        <w:t>资金</w:t>
      </w:r>
      <w:r>
        <w:rPr>
          <w:rFonts w:hint="eastAsia" w:ascii="仿宋" w:hAnsi="仿宋" w:eastAsia="仿宋" w:cs="仿宋"/>
          <w:sz w:val="32"/>
          <w:szCs w:val="32"/>
        </w:rPr>
        <w:t>。</w:t>
      </w:r>
      <w:r>
        <w:rPr>
          <w:rFonts w:hint="eastAsia" w:ascii="仿宋" w:hAnsi="仿宋" w:eastAsia="仿宋" w:cs="仿宋"/>
          <w:sz w:val="32"/>
          <w:szCs w:val="32"/>
          <w:lang w:eastAsia="zh-CN"/>
        </w:rPr>
        <w:t>此经费由区委组织部结合农村基层党建工作任务统筹使用，每人每年补助</w:t>
      </w:r>
      <w:r>
        <w:rPr>
          <w:rFonts w:hint="eastAsia" w:ascii="仿宋" w:hAnsi="仿宋" w:eastAsia="仿宋" w:cs="仿宋"/>
          <w:sz w:val="32"/>
          <w:szCs w:val="32"/>
          <w:lang w:val="en-US" w:eastAsia="zh-CN"/>
        </w:rPr>
        <w:t>2.2万元，其中中央每人每年补助1.6万元，剩余短缺经费在选调生到村任职后由所在县（市、区）补足。该项目从2020年起执行，试行3年。</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(7)其他扶贫支出（2130599）23万元，</w:t>
      </w:r>
      <w:r>
        <w:rPr>
          <w:rFonts w:hint="eastAsia" w:ascii="仿宋" w:hAnsi="仿宋" w:eastAsia="仿宋" w:cs="仿宋"/>
          <w:sz w:val="32"/>
          <w:szCs w:val="32"/>
          <w:lang w:eastAsia="zh-CN"/>
        </w:rPr>
        <w:t>与上年度持平</w:t>
      </w:r>
      <w:r>
        <w:rPr>
          <w:rFonts w:hint="eastAsia" w:ascii="仿宋" w:hAnsi="仿宋" w:eastAsia="仿宋" w:cs="仿宋"/>
          <w:sz w:val="32"/>
          <w:szCs w:val="32"/>
        </w:rPr>
        <w:t>，原因是</w:t>
      </w:r>
      <w:r>
        <w:rPr>
          <w:rFonts w:hint="eastAsia" w:ascii="仿宋" w:hAnsi="仿宋" w:eastAsia="仿宋" w:cs="仿宋"/>
          <w:sz w:val="32"/>
          <w:szCs w:val="32"/>
          <w:lang w:val="en-US" w:eastAsia="zh-CN"/>
        </w:rPr>
        <w:t>23个村社区书记及驻村工作队经费维持不变，每个村下拨1万元</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3、支出按经济科目分类的明细情况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（1）按照部门预算支出经济分类的类级科目说明。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2021年本部门当年一般公共预算支出520.94万元，其中：</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工资福利支出（301）321.95万元，较上年增加</w:t>
      </w:r>
      <w:r>
        <w:rPr>
          <w:rFonts w:hint="eastAsia" w:ascii="仿宋" w:hAnsi="仿宋" w:eastAsia="仿宋" w:cs="仿宋"/>
          <w:sz w:val="32"/>
          <w:szCs w:val="32"/>
          <w:lang w:val="en-US" w:eastAsia="zh-CN"/>
        </w:rPr>
        <w:t>79.62</w:t>
      </w:r>
      <w:r>
        <w:rPr>
          <w:rFonts w:hint="eastAsia" w:ascii="仿宋" w:hAnsi="仿宋" w:eastAsia="仿宋" w:cs="仿宋"/>
          <w:sz w:val="32"/>
          <w:szCs w:val="32"/>
        </w:rPr>
        <w:t>万元，原因是</w:t>
      </w:r>
      <w:r>
        <w:rPr>
          <w:rFonts w:hint="eastAsia" w:ascii="仿宋" w:hAnsi="仿宋" w:eastAsia="仿宋" w:cs="仿宋"/>
          <w:sz w:val="32"/>
          <w:szCs w:val="32"/>
          <w:lang w:eastAsia="zh-CN"/>
        </w:rPr>
        <w:t>公务员职务与职级并行政策出台后，公务员工资普遍提高，加之今年较往年人数增加，故工资福利支出增加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商品和服务支出（302）184.10万元，较上年增加</w:t>
      </w:r>
      <w:r>
        <w:rPr>
          <w:rFonts w:hint="eastAsia" w:ascii="仿宋" w:hAnsi="仿宋" w:eastAsia="仿宋" w:cs="仿宋"/>
          <w:sz w:val="32"/>
          <w:szCs w:val="32"/>
          <w:lang w:val="en-US" w:eastAsia="zh-CN"/>
        </w:rPr>
        <w:t>23.69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人员增加，日常公用经费预算增加；项目增加，商品服务支出增加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对个人和家庭的补助（303）14.8</w:t>
      </w:r>
      <w:r>
        <w:rPr>
          <w:rFonts w:hint="eastAsia" w:ascii="仿宋" w:hAnsi="仿宋" w:eastAsia="仿宋" w:cs="仿宋"/>
          <w:sz w:val="32"/>
          <w:szCs w:val="32"/>
          <w:lang w:val="en-US" w:eastAsia="zh-CN"/>
        </w:rPr>
        <w:t>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13.86</w:t>
      </w:r>
      <w:r>
        <w:rPr>
          <w:rFonts w:hint="eastAsia" w:ascii="仿宋" w:hAnsi="仿宋" w:eastAsia="仿宋" w:cs="仿宋"/>
          <w:sz w:val="32"/>
          <w:szCs w:val="32"/>
        </w:rPr>
        <w:t>万元，原因是</w:t>
      </w:r>
      <w:r>
        <w:rPr>
          <w:rFonts w:hint="eastAsia" w:ascii="仿宋" w:hAnsi="仿宋" w:eastAsia="仿宋" w:cs="仿宋"/>
          <w:sz w:val="32"/>
          <w:szCs w:val="32"/>
          <w:lang w:eastAsia="zh-CN"/>
        </w:rPr>
        <w:t>选调生工作补助经费增加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（2）按照政府预算支出经济分类的类级科目说明。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2021年本部门当年一般公共预算支出520.94万元，其中：</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机关工资福利支出（501）321.95万元，较上年增加</w:t>
      </w:r>
      <w:r>
        <w:rPr>
          <w:rFonts w:hint="eastAsia" w:ascii="仿宋" w:hAnsi="仿宋" w:eastAsia="仿宋" w:cs="仿宋"/>
          <w:sz w:val="32"/>
          <w:szCs w:val="32"/>
          <w:lang w:val="en-US" w:eastAsia="zh-CN"/>
        </w:rPr>
        <w:t>79.62</w:t>
      </w:r>
      <w:r>
        <w:rPr>
          <w:rFonts w:hint="eastAsia" w:ascii="仿宋" w:hAnsi="仿宋" w:eastAsia="仿宋" w:cs="仿宋"/>
          <w:sz w:val="32"/>
          <w:szCs w:val="32"/>
        </w:rPr>
        <w:t>万元，原因是</w:t>
      </w:r>
      <w:r>
        <w:rPr>
          <w:rFonts w:hint="eastAsia" w:ascii="仿宋" w:hAnsi="仿宋" w:eastAsia="仿宋" w:cs="仿宋"/>
          <w:sz w:val="32"/>
          <w:szCs w:val="32"/>
          <w:lang w:eastAsia="zh-CN"/>
        </w:rPr>
        <w:t>公务员职务与职级并行政策出台后，公务员工资普遍提高，加之今年较往年人数增加，故工资福利支出增加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机关商品和服务支出（502）184.1万元，较上年增加</w:t>
      </w:r>
      <w:r>
        <w:rPr>
          <w:rFonts w:hint="eastAsia" w:ascii="仿宋" w:hAnsi="仿宋" w:eastAsia="仿宋" w:cs="仿宋"/>
          <w:sz w:val="32"/>
          <w:szCs w:val="32"/>
          <w:lang w:val="en-US" w:eastAsia="zh-CN"/>
        </w:rPr>
        <w:t>23.69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人员增加，日常公用经费预算增加；项目增加，商品服务支出增加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对个人和家庭的补助（509）14.8</w:t>
      </w:r>
      <w:r>
        <w:rPr>
          <w:rFonts w:hint="eastAsia" w:ascii="仿宋" w:hAnsi="仿宋" w:eastAsia="仿宋" w:cs="仿宋"/>
          <w:sz w:val="32"/>
          <w:szCs w:val="32"/>
          <w:lang w:val="en-US" w:eastAsia="zh-CN"/>
        </w:rPr>
        <w:t>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13.86</w:t>
      </w:r>
      <w:r>
        <w:rPr>
          <w:rFonts w:hint="eastAsia" w:ascii="仿宋" w:hAnsi="仿宋" w:eastAsia="仿宋" w:cs="仿宋"/>
          <w:sz w:val="32"/>
          <w:szCs w:val="32"/>
        </w:rPr>
        <w:t>万元，原因是</w:t>
      </w:r>
      <w:r>
        <w:rPr>
          <w:rFonts w:hint="eastAsia" w:ascii="仿宋" w:hAnsi="仿宋" w:eastAsia="仿宋" w:cs="仿宋"/>
          <w:sz w:val="32"/>
          <w:szCs w:val="32"/>
          <w:lang w:eastAsia="zh-CN"/>
        </w:rPr>
        <w:t>选调生工作补助经费增加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4、上年结转财政资金一般公共预算拨款支出情况。</w:t>
      </w:r>
      <w:r>
        <w:rPr>
          <w:rFonts w:hint="eastAsia" w:ascii="仿宋" w:hAnsi="仿宋" w:eastAsia="仿宋" w:cs="仿宋"/>
          <w:sz w:val="32"/>
          <w:szCs w:val="32"/>
        </w:rPr>
        <w:br w:type="textWrapping"/>
      </w:r>
      <w:r>
        <w:rPr>
          <w:rFonts w:hint="eastAsia" w:ascii="仿宋" w:hAnsi="仿宋" w:eastAsia="仿宋" w:cs="仿宋"/>
          <w:sz w:val="32"/>
          <w:szCs w:val="32"/>
        </w:rPr>
        <w:t xml:space="preserve">    （1）按功能支出分类。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本部门无2020年结转的一般公共预算拨款资金支出</w:t>
      </w:r>
      <w:r>
        <w:rPr>
          <w:rFonts w:hint="eastAsia" w:ascii="仿宋" w:hAnsi="仿宋" w:eastAsia="仿宋" w:cs="仿宋"/>
          <w:sz w:val="32"/>
          <w:szCs w:val="32"/>
          <w:lang w:val="en-US"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（2）按部门预算支出经济分类。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本部门无2020年结转的一般公共预算拨款资金支出</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（3）按政府预算支出经济分类。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本部门无2020年结转的一般公共预算拨款资金支出</w:t>
      </w:r>
      <w:r>
        <w:rPr>
          <w:rFonts w:hint="eastAsia" w:ascii="仿宋" w:hAnsi="仿宋" w:eastAsia="仿宋" w:cs="仿宋"/>
          <w:sz w:val="32"/>
          <w:szCs w:val="32"/>
          <w:lang w:eastAsia="zh-CN"/>
        </w:rPr>
        <w:t>。</w:t>
      </w:r>
    </w:p>
    <w:p>
      <w:pPr>
        <w:spacing w:line="360" w:lineRule="auto"/>
        <w:ind w:left="0" w:leftChars="0" w:firstLine="643" w:firstLineChars="200"/>
        <w:rPr>
          <w:rFonts w:ascii="仿宋" w:hAnsi="仿宋" w:eastAsia="仿宋" w:cs="仿宋"/>
          <w:b/>
          <w:bCs/>
          <w:sz w:val="32"/>
          <w:szCs w:val="32"/>
        </w:rPr>
      </w:pPr>
      <w:r>
        <w:rPr>
          <w:rFonts w:hint="eastAsia" w:ascii="仿宋" w:hAnsi="仿宋" w:eastAsia="仿宋" w:cs="仿宋"/>
          <w:b/>
          <w:bCs/>
          <w:sz w:val="32"/>
          <w:szCs w:val="32"/>
        </w:rPr>
        <w:t>（四）政府性基金预算支出情况。</w:t>
      </w:r>
    </w:p>
    <w:p>
      <w:pPr>
        <w:spacing w:line="360" w:lineRule="auto"/>
        <w:rPr>
          <w:rFonts w:hint="eastAsia"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0" w:afterAutospacing="0" w:line="370" w:lineRule="atLeast"/>
        <w:ind w:right="0"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rPr>
        <w:t>本部门无2020年结转的政府性基金预算拨款支出</w:t>
      </w:r>
      <w:r>
        <w:rPr>
          <w:rFonts w:hint="eastAsia" w:ascii="仿宋" w:hAnsi="仿宋" w:eastAsia="仿宋" w:cs="仿宋"/>
          <w:i w:val="0"/>
          <w:caps w:val="0"/>
          <w:color w:val="333333"/>
          <w:spacing w:val="0"/>
          <w:sz w:val="32"/>
          <w:szCs w:val="32"/>
          <w:shd w:val="clear" w:fill="FFFFFF"/>
          <w:lang w:eastAsia="zh-CN"/>
        </w:rPr>
        <w:t>。</w:t>
      </w:r>
    </w:p>
    <w:p>
      <w:pPr>
        <w:spacing w:line="360" w:lineRule="auto"/>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bookmarkStart w:id="0" w:name="_GoBack"/>
      <w:bookmarkEnd w:id="0"/>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val="en-US"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本部门无2020年结转的</w:t>
      </w:r>
      <w:r>
        <w:rPr>
          <w:rFonts w:hint="eastAsia" w:ascii="仿宋" w:hAnsi="仿宋" w:eastAsia="仿宋" w:cs="仿宋"/>
          <w:sz w:val="32"/>
          <w:szCs w:val="32"/>
          <w:lang w:eastAsia="zh-CN"/>
        </w:rPr>
        <w:t>国有资本经营</w:t>
      </w:r>
      <w:r>
        <w:rPr>
          <w:rFonts w:hint="eastAsia" w:ascii="仿宋" w:hAnsi="仿宋" w:eastAsia="仿宋" w:cs="仿宋"/>
          <w:sz w:val="32"/>
          <w:szCs w:val="32"/>
        </w:rPr>
        <w:t>预算拨款支出</w:t>
      </w:r>
      <w:r>
        <w:rPr>
          <w:rFonts w:hint="eastAsia" w:ascii="仿宋" w:hAnsi="仿宋" w:eastAsia="仿宋" w:cs="仿宋"/>
          <w:sz w:val="32"/>
          <w:szCs w:val="32"/>
          <w:lang w:eastAsia="zh-CN"/>
        </w:rPr>
        <w:t>。</w:t>
      </w:r>
    </w:p>
    <w:p>
      <w:pPr>
        <w:spacing w:line="360" w:lineRule="auto"/>
        <w:ind w:firstLine="643"/>
        <w:jc w:val="center"/>
        <w:rPr>
          <w:rFonts w:ascii="宋体" w:hAnsi="宋体" w:cs="宋体"/>
          <w:b/>
          <w:bCs/>
          <w:sz w:val="32"/>
          <w:szCs w:val="32"/>
        </w:rPr>
      </w:pPr>
      <w:r>
        <w:rPr>
          <w:rFonts w:hint="eastAsia" w:ascii="宋体" w:hAnsi="宋体" w:cs="宋体"/>
          <w:b/>
          <w:bCs/>
          <w:sz w:val="32"/>
          <w:szCs w:val="32"/>
        </w:rPr>
        <w:t>第三部分  其他说明情况</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2021年本部门当年一般公共预算“三公”经费预算支出7.5万元，</w:t>
      </w:r>
      <w:r>
        <w:rPr>
          <w:rFonts w:hint="eastAsia" w:ascii="仿宋" w:hAnsi="仿宋" w:eastAsia="仿宋" w:cs="仿宋"/>
          <w:sz w:val="32"/>
          <w:szCs w:val="32"/>
          <w:lang w:eastAsia="zh-CN"/>
        </w:rPr>
        <w:t>与上年持平，主要为公务用车运行维护费</w:t>
      </w:r>
      <w:r>
        <w:rPr>
          <w:rFonts w:hint="eastAsia" w:ascii="仿宋" w:hAnsi="仿宋" w:eastAsia="仿宋" w:cs="仿宋"/>
          <w:sz w:val="32"/>
          <w:szCs w:val="32"/>
          <w:lang w:val="en-US" w:eastAsia="zh-CN"/>
        </w:rPr>
        <w:t>3万元，公务接待费4.5万元</w:t>
      </w:r>
      <w:r>
        <w:rPr>
          <w:rFonts w:hint="eastAsia" w:ascii="仿宋" w:hAnsi="仿宋" w:eastAsia="仿宋" w:cs="仿宋"/>
          <w:sz w:val="32"/>
          <w:szCs w:val="32"/>
        </w:rPr>
        <w:t>。其中：因公出国（境）经费万元，较上年增加（减少）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%）；公务接待费费4.5万元，</w:t>
      </w:r>
      <w:r>
        <w:rPr>
          <w:rFonts w:hint="eastAsia" w:ascii="仿宋" w:hAnsi="仿宋" w:eastAsia="仿宋" w:cs="仿宋"/>
          <w:sz w:val="32"/>
          <w:szCs w:val="32"/>
          <w:lang w:eastAsia="zh-CN"/>
        </w:rPr>
        <w:t>与上年持平无增减</w:t>
      </w:r>
      <w:r>
        <w:rPr>
          <w:rFonts w:hint="eastAsia" w:ascii="仿宋" w:hAnsi="仿宋" w:eastAsia="仿宋" w:cs="仿宋"/>
          <w:sz w:val="32"/>
          <w:szCs w:val="32"/>
        </w:rPr>
        <w:t>；公务用车运行维护费3万元，</w:t>
      </w:r>
      <w:r>
        <w:rPr>
          <w:rFonts w:hint="eastAsia" w:ascii="仿宋" w:hAnsi="仿宋" w:eastAsia="仿宋" w:cs="仿宋"/>
          <w:sz w:val="32"/>
          <w:szCs w:val="32"/>
          <w:lang w:eastAsia="zh-CN"/>
        </w:rPr>
        <w:t>与上年持平无增减</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与上年预算持平。</w:t>
      </w:r>
    </w:p>
    <w:p>
      <w:pPr>
        <w:spacing w:line="360" w:lineRule="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年本部门当年一般公共预算培训费预算支出</w:t>
      </w:r>
      <w:r>
        <w:rPr>
          <w:rFonts w:hint="eastAsia" w:ascii="仿宋" w:hAnsi="仿宋" w:eastAsia="仿宋" w:cs="仿宋"/>
          <w:sz w:val="32"/>
          <w:szCs w:val="32"/>
          <w:lang w:val="en-US" w:eastAsia="zh-CN"/>
        </w:rPr>
        <w:t>10</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zCs w:val="32"/>
        </w:rPr>
        <w:t>原因是</w:t>
      </w:r>
      <w:r>
        <w:rPr>
          <w:rFonts w:hint="eastAsia" w:ascii="仿宋" w:hAnsi="仿宋" w:eastAsia="仿宋" w:cs="仿宋"/>
          <w:sz w:val="32"/>
          <w:szCs w:val="32"/>
          <w:lang w:eastAsia="zh-CN"/>
        </w:rPr>
        <w:t>上年度因疫情影响未开展培训扶贫干部培训，</w:t>
      </w:r>
      <w:r>
        <w:rPr>
          <w:rFonts w:hint="eastAsia" w:ascii="仿宋" w:hAnsi="仿宋" w:eastAsia="仿宋" w:cs="仿宋"/>
          <w:sz w:val="32"/>
          <w:szCs w:val="32"/>
          <w:lang w:val="en-US" w:eastAsia="zh-CN"/>
        </w:rPr>
        <w:t>20万元培训费</w:t>
      </w:r>
      <w:r>
        <w:rPr>
          <w:rFonts w:hint="eastAsia" w:ascii="仿宋" w:hAnsi="仿宋" w:eastAsia="仿宋" w:cs="仿宋"/>
          <w:sz w:val="32"/>
          <w:szCs w:val="32"/>
          <w:lang w:eastAsia="zh-CN"/>
        </w:rPr>
        <w:t>经费结转至本年度继续使用，本年度未新增预算</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年本部门当年一般公共预算会议费预算支出0万元，主要原因是本年度未列支会议费。</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本部门无2020年结转的</w:t>
      </w:r>
      <w:r>
        <w:rPr>
          <w:rFonts w:hint="eastAsia" w:ascii="仿宋" w:hAnsi="仿宋" w:eastAsia="仿宋" w:cs="仿宋"/>
          <w:sz w:val="32"/>
          <w:szCs w:val="32"/>
          <w:lang w:eastAsia="zh-CN"/>
        </w:rPr>
        <w:t>“</w:t>
      </w:r>
      <w:r>
        <w:rPr>
          <w:rFonts w:hint="eastAsia" w:ascii="仿宋" w:hAnsi="仿宋" w:eastAsia="仿宋" w:cs="仿宋"/>
          <w:sz w:val="32"/>
          <w:szCs w:val="32"/>
        </w:rPr>
        <w:t>三公</w:t>
      </w:r>
      <w:r>
        <w:rPr>
          <w:rFonts w:hint="eastAsia" w:ascii="仿宋" w:hAnsi="仿宋" w:eastAsia="仿宋" w:cs="仿宋"/>
          <w:sz w:val="32"/>
          <w:szCs w:val="32"/>
          <w:lang w:eastAsia="zh-CN"/>
        </w:rPr>
        <w:t>”</w:t>
      </w:r>
      <w:r>
        <w:rPr>
          <w:rFonts w:hint="eastAsia" w:ascii="仿宋" w:hAnsi="仿宋" w:eastAsia="仿宋" w:cs="仿宋"/>
          <w:sz w:val="32"/>
          <w:szCs w:val="32"/>
        </w:rPr>
        <w:t>经费支出</w:t>
      </w:r>
      <w:r>
        <w:rPr>
          <w:rFonts w:hint="eastAsia" w:ascii="仿宋" w:hAnsi="仿宋" w:eastAsia="仿宋" w:cs="仿宋"/>
          <w:sz w:val="32"/>
          <w:szCs w:val="32"/>
          <w:lang w:eastAsia="zh-CN"/>
        </w:rPr>
        <w:t>。</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rPr>
          <w:rFonts w:hint="eastAsia" w:ascii="仿宋" w:hAnsi="仿宋" w:eastAsia="仿宋" w:cs="仿宋"/>
          <w:sz w:val="32"/>
          <w:szCs w:val="32"/>
        </w:rPr>
      </w:pPr>
      <w:r>
        <w:rPr>
          <w:rFonts w:hint="eastAsia" w:ascii="仿宋" w:hAnsi="仿宋" w:eastAsia="仿宋" w:cs="仿宋"/>
          <w:sz w:val="32"/>
          <w:szCs w:val="32"/>
        </w:rPr>
        <w:t>截止2020年底，本部门所属预算单位共有车辆1辆，单价20万元以上的设备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台（套）。2021年当年部门预算安排购置车辆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本部门无2020年结转的财政拨款支出资产购置</w:t>
      </w:r>
      <w:r>
        <w:rPr>
          <w:rFonts w:hint="eastAsia" w:ascii="仿宋" w:hAnsi="仿宋" w:eastAsia="仿宋" w:cs="仿宋"/>
          <w:sz w:val="32"/>
          <w:szCs w:val="32"/>
          <w:lang w:val="en-US" w:eastAsia="zh-CN"/>
        </w:rPr>
        <w:t>。</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八、部门政府采购情况说明</w:t>
      </w:r>
    </w:p>
    <w:p>
      <w:pPr>
        <w:spacing w:line="360" w:lineRule="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val="en-US" w:eastAsia="zh-CN"/>
        </w:rPr>
        <w:t>2021年无</w:t>
      </w:r>
      <w:r>
        <w:rPr>
          <w:rFonts w:hint="eastAsia" w:ascii="仿宋" w:hAnsi="仿宋" w:eastAsia="仿宋" w:cs="仿宋"/>
          <w:sz w:val="32"/>
          <w:szCs w:val="32"/>
        </w:rPr>
        <w:t>政府采购预算</w:t>
      </w:r>
      <w:r>
        <w:rPr>
          <w:rFonts w:hint="eastAsia" w:ascii="仿宋" w:hAnsi="仿宋" w:eastAsia="仿宋" w:cs="仿宋"/>
          <w:sz w:val="32"/>
          <w:szCs w:val="32"/>
          <w:lang w:eastAsia="zh-CN"/>
        </w:rPr>
        <w:t>，并已公开空表</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本部门无20</w:t>
      </w:r>
      <w:r>
        <w:rPr>
          <w:rFonts w:hint="eastAsia" w:ascii="仿宋" w:hAnsi="仿宋" w:eastAsia="仿宋" w:cs="仿宋"/>
          <w:sz w:val="32"/>
          <w:szCs w:val="32"/>
          <w:lang w:val="en-US" w:eastAsia="zh-CN"/>
        </w:rPr>
        <w:t>20</w:t>
      </w:r>
      <w:r>
        <w:rPr>
          <w:rFonts w:hint="eastAsia" w:ascii="仿宋" w:hAnsi="仿宋" w:eastAsia="仿宋" w:cs="仿宋"/>
          <w:sz w:val="32"/>
          <w:szCs w:val="32"/>
        </w:rPr>
        <w:t>年结转的政府采购资金支出。</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年本部门绩效目标管理全覆盖，涉及当年一般公共预算拨款</w:t>
      </w:r>
      <w:r>
        <w:rPr>
          <w:rFonts w:hint="eastAsia" w:ascii="仿宋" w:hAnsi="仿宋" w:eastAsia="仿宋" w:cs="仿宋"/>
          <w:sz w:val="32"/>
          <w:szCs w:val="32"/>
          <w:lang w:val="en-US" w:eastAsia="zh-CN"/>
        </w:rPr>
        <w:t>520.94</w:t>
      </w:r>
      <w:r>
        <w:rPr>
          <w:rFonts w:hint="eastAsia" w:ascii="仿宋" w:hAnsi="仿宋" w:eastAsia="仿宋" w:cs="仿宋"/>
          <w:sz w:val="32"/>
          <w:szCs w:val="32"/>
        </w:rPr>
        <w:t>万元（详见公开报表中的绩效目标表）。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0" w:afterAutospacing="0" w:line="270" w:lineRule="atLeast"/>
        <w:ind w:right="0" w:firstLine="640" w:firstLineChars="20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本部门</w:t>
      </w:r>
      <w:r>
        <w:rPr>
          <w:rFonts w:hint="eastAsia" w:ascii="仿宋" w:hAnsi="仿宋" w:eastAsia="仿宋" w:cs="仿宋"/>
          <w:i w:val="0"/>
          <w:caps w:val="0"/>
          <w:color w:val="333333"/>
          <w:spacing w:val="0"/>
          <w:sz w:val="32"/>
          <w:szCs w:val="32"/>
          <w:shd w:val="clear" w:fill="FFFFFF"/>
          <w:lang w:eastAsia="zh-CN"/>
        </w:rPr>
        <w:t>无</w:t>
      </w:r>
      <w:r>
        <w:rPr>
          <w:rFonts w:hint="eastAsia" w:ascii="仿宋" w:hAnsi="仿宋" w:eastAsia="仿宋" w:cs="仿宋"/>
          <w:i w:val="0"/>
          <w:caps w:val="0"/>
          <w:color w:val="333333"/>
          <w:spacing w:val="0"/>
          <w:sz w:val="32"/>
          <w:szCs w:val="32"/>
          <w:shd w:val="clear" w:fill="FFFFFF"/>
        </w:rPr>
        <w:t>20</w:t>
      </w:r>
      <w:r>
        <w:rPr>
          <w:rFonts w:hint="eastAsia" w:ascii="仿宋" w:hAnsi="仿宋" w:eastAsia="仿宋" w:cs="仿宋"/>
          <w:i w:val="0"/>
          <w:caps w:val="0"/>
          <w:color w:val="333333"/>
          <w:spacing w:val="0"/>
          <w:sz w:val="32"/>
          <w:szCs w:val="32"/>
          <w:shd w:val="clear" w:fill="FFFFFF"/>
          <w:lang w:val="en-US" w:eastAsia="zh-CN"/>
        </w:rPr>
        <w:t>20</w:t>
      </w:r>
      <w:r>
        <w:rPr>
          <w:rFonts w:hint="eastAsia" w:ascii="仿宋" w:hAnsi="仿宋" w:eastAsia="仿宋" w:cs="仿宋"/>
          <w:i w:val="0"/>
          <w:caps w:val="0"/>
          <w:color w:val="333333"/>
          <w:spacing w:val="0"/>
          <w:sz w:val="32"/>
          <w:szCs w:val="32"/>
          <w:shd w:val="clear" w:fill="FFFFFF"/>
        </w:rPr>
        <w:t>年结转的财政拨款支出涉及的绩效目标管理。</w:t>
      </w:r>
    </w:p>
    <w:p>
      <w:pPr>
        <w:spacing w:line="360" w:lineRule="auto"/>
        <w:ind w:firstLine="643"/>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本部门当年机关运行经费预算安排87.31万元，较上年减少</w:t>
      </w:r>
      <w:r>
        <w:rPr>
          <w:rFonts w:hint="eastAsia" w:ascii="仿宋" w:hAnsi="仿宋" w:eastAsia="仿宋" w:cs="仿宋"/>
          <w:sz w:val="32"/>
          <w:szCs w:val="32"/>
          <w:lang w:val="en-US" w:eastAsia="zh-CN"/>
        </w:rPr>
        <w:t>73.09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去年结转资金</w:t>
      </w:r>
      <w:r>
        <w:rPr>
          <w:rFonts w:hint="eastAsia" w:ascii="仿宋" w:hAnsi="仿宋" w:eastAsia="仿宋" w:cs="仿宋"/>
          <w:sz w:val="32"/>
          <w:szCs w:val="32"/>
          <w:lang w:val="en-US" w:eastAsia="zh-CN"/>
        </w:rPr>
        <w:t>145.08万元用于本年度支出</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本部门无2020年结转的财政拨款机关运行费支出</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十一、专业名词解释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0" w:afterAutospacing="0" w:line="370" w:lineRule="atLeast"/>
        <w:ind w:right="0" w:firstLine="640" w:firstLineChars="20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0" w:afterAutospacing="0" w:line="370" w:lineRule="atLeast"/>
        <w:ind w:right="0" w:firstLine="640" w:firstLineChars="20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spacing w:line="360" w:lineRule="auto"/>
        <w:ind w:firstLine="643"/>
        <w:jc w:val="center"/>
        <w:rPr>
          <w:rFonts w:ascii="宋体" w:hAnsi="宋体" w:cs="宋体"/>
          <w:b/>
          <w:bCs/>
          <w:sz w:val="32"/>
          <w:szCs w:val="32"/>
        </w:rPr>
      </w:pPr>
      <w:r>
        <w:rPr>
          <w:rFonts w:hint="eastAsia" w:ascii="黑体" w:hAnsi="黑体" w:eastAsia="黑体" w:cs="黑体"/>
          <w:b/>
          <w:bCs/>
          <w:sz w:val="32"/>
          <w:szCs w:val="32"/>
        </w:rPr>
        <w:t xml:space="preserve">  </w:t>
      </w:r>
      <w:r>
        <w:rPr>
          <w:rFonts w:hint="eastAsia" w:ascii="宋体" w:hAnsi="宋体" w:cs="宋体"/>
          <w:b/>
          <w:bCs/>
          <w:sz w:val="32"/>
          <w:szCs w:val="32"/>
        </w:rPr>
        <w:t>第四部分  公开报表</w:t>
      </w:r>
    </w:p>
    <w:p>
      <w:pPr>
        <w:spacing w:line="360" w:lineRule="auto"/>
        <w:ind w:firstLine="562"/>
        <w:jc w:val="center"/>
        <w:rPr>
          <w:rFonts w:hint="eastAsia" w:ascii="宋体" w:hAnsi="宋体" w:cs="宋体"/>
          <w:b/>
          <w:bCs/>
          <w:sz w:val="28"/>
          <w:szCs w:val="28"/>
        </w:rPr>
      </w:pPr>
      <w:r>
        <w:rPr>
          <w:rFonts w:hint="eastAsia" w:ascii="宋体" w:hAnsi="宋体" w:cs="宋体"/>
          <w:b/>
          <w:bCs/>
          <w:sz w:val="28"/>
          <w:szCs w:val="28"/>
        </w:rPr>
        <w:t xml:space="preserve">   (具体部门预算公开报表)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0" w:afterAutospacing="0" w:line="370" w:lineRule="atLeast"/>
        <w:ind w:left="0" w:right="0" w:firstLine="43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shd w:val="clear" w:fill="FFFFFF"/>
        </w:rPr>
        <w:t>以上公开内容，均已通过保密审查及本部门主要负责人审签。</w:t>
      </w:r>
    </w:p>
    <w:p>
      <w:pPr>
        <w:spacing w:line="360" w:lineRule="auto"/>
        <w:ind w:firstLine="562"/>
        <w:jc w:val="center"/>
        <w:rPr>
          <w:rFonts w:hint="eastAsia" w:ascii="宋体" w:hAnsi="宋体" w:cs="宋体"/>
          <w:b/>
          <w:bCs/>
          <w:sz w:val="28"/>
          <w:szCs w:val="28"/>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E1E02"/>
    <w:multiLevelType w:val="singleLevel"/>
    <w:tmpl w:val="16CE1E0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00C"/>
    <w:rsid w:val="00172A27"/>
    <w:rsid w:val="002D3A31"/>
    <w:rsid w:val="002F6D6B"/>
    <w:rsid w:val="00817C7C"/>
    <w:rsid w:val="00CE11C6"/>
    <w:rsid w:val="00E57791"/>
    <w:rsid w:val="00F13B71"/>
    <w:rsid w:val="00F86BD8"/>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600B39"/>
    <w:rsid w:val="07632917"/>
    <w:rsid w:val="07956EB7"/>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A35726"/>
    <w:rsid w:val="151F6E6D"/>
    <w:rsid w:val="153935D8"/>
    <w:rsid w:val="154F1B9F"/>
    <w:rsid w:val="15B95A59"/>
    <w:rsid w:val="15C8778C"/>
    <w:rsid w:val="16150B7E"/>
    <w:rsid w:val="16264D1F"/>
    <w:rsid w:val="16BB0A11"/>
    <w:rsid w:val="171667D3"/>
    <w:rsid w:val="17424B58"/>
    <w:rsid w:val="17910A90"/>
    <w:rsid w:val="17E34984"/>
    <w:rsid w:val="181F4C6E"/>
    <w:rsid w:val="18361D5B"/>
    <w:rsid w:val="18410DA8"/>
    <w:rsid w:val="18680801"/>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066EAC"/>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F23A77"/>
    <w:rsid w:val="2F560F80"/>
    <w:rsid w:val="2F98708D"/>
    <w:rsid w:val="301F5C98"/>
    <w:rsid w:val="30AF76EF"/>
    <w:rsid w:val="30DC78E7"/>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475320"/>
    <w:rsid w:val="35C423A1"/>
    <w:rsid w:val="35FC1049"/>
    <w:rsid w:val="36130651"/>
    <w:rsid w:val="36256A03"/>
    <w:rsid w:val="36384582"/>
    <w:rsid w:val="366D5ED8"/>
    <w:rsid w:val="37463827"/>
    <w:rsid w:val="37624231"/>
    <w:rsid w:val="37B3535F"/>
    <w:rsid w:val="37DD7F65"/>
    <w:rsid w:val="37E345F1"/>
    <w:rsid w:val="37E52450"/>
    <w:rsid w:val="3810606A"/>
    <w:rsid w:val="385B7F48"/>
    <w:rsid w:val="394360F5"/>
    <w:rsid w:val="39D36D72"/>
    <w:rsid w:val="39F23E7D"/>
    <w:rsid w:val="39F27F2D"/>
    <w:rsid w:val="3A296DB0"/>
    <w:rsid w:val="3A8C3EE7"/>
    <w:rsid w:val="3B230497"/>
    <w:rsid w:val="3B3B1B9E"/>
    <w:rsid w:val="3B3B3FFE"/>
    <w:rsid w:val="3BAB75F8"/>
    <w:rsid w:val="3C4D288E"/>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82542C"/>
    <w:rsid w:val="42BD2DEB"/>
    <w:rsid w:val="431C5459"/>
    <w:rsid w:val="43FE04A3"/>
    <w:rsid w:val="44541F37"/>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B3419E"/>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112E36"/>
    <w:rsid w:val="57221542"/>
    <w:rsid w:val="57654D9E"/>
    <w:rsid w:val="579A73D0"/>
    <w:rsid w:val="57DE5F38"/>
    <w:rsid w:val="582A051D"/>
    <w:rsid w:val="58365A33"/>
    <w:rsid w:val="58474568"/>
    <w:rsid w:val="58782A3A"/>
    <w:rsid w:val="58D041BE"/>
    <w:rsid w:val="58D7523F"/>
    <w:rsid w:val="59403102"/>
    <w:rsid w:val="5A2E77B0"/>
    <w:rsid w:val="5A680DB8"/>
    <w:rsid w:val="5A8F6603"/>
    <w:rsid w:val="5BA5743E"/>
    <w:rsid w:val="5C144EDC"/>
    <w:rsid w:val="5C41710B"/>
    <w:rsid w:val="5CBB387E"/>
    <w:rsid w:val="5D3A3A85"/>
    <w:rsid w:val="5DFF123C"/>
    <w:rsid w:val="5E405FE6"/>
    <w:rsid w:val="5EC657DB"/>
    <w:rsid w:val="5EC76337"/>
    <w:rsid w:val="5F6647E2"/>
    <w:rsid w:val="5FA95A4A"/>
    <w:rsid w:val="60406BEA"/>
    <w:rsid w:val="60CA4AE0"/>
    <w:rsid w:val="61156B4C"/>
    <w:rsid w:val="61B34AA8"/>
    <w:rsid w:val="62086EF2"/>
    <w:rsid w:val="62115B05"/>
    <w:rsid w:val="6264243B"/>
    <w:rsid w:val="6290516E"/>
    <w:rsid w:val="62B820F9"/>
    <w:rsid w:val="631B3431"/>
    <w:rsid w:val="632E70DC"/>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796D05"/>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717DA5"/>
    <w:rsid w:val="70E6284C"/>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pPr>
      <w:spacing w:line="240" w:lineRule="auto"/>
    </w:pPr>
    <w:rPr>
      <w:sz w:val="18"/>
      <w:szCs w:val="18"/>
    </w:rPr>
  </w:style>
  <w:style w:type="paragraph" w:styleId="3">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uiPriority w:val="0"/>
    <w:rPr>
      <w:kern w:val="2"/>
      <w:sz w:val="18"/>
      <w:szCs w:val="18"/>
    </w:rPr>
  </w:style>
  <w:style w:type="character" w:customStyle="1" w:styleId="11">
    <w:name w:val="批注框文本 Char"/>
    <w:basedOn w:val="8"/>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3777</Words>
  <Characters>758</Characters>
  <Lines>6</Lines>
  <Paragraphs>9</Paragraphs>
  <TotalTime>84</TotalTime>
  <ScaleCrop>false</ScaleCrop>
  <LinksUpToDate>false</LinksUpToDate>
  <CharactersWithSpaces>4526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2021-04-13T03:34:00Z</dcterms:created>
  <dc:creator>郭超(拟稿)</dc:creator>
  <cp:lastModifiedBy>Administrator</cp:lastModifiedBy>
  <cp:lastPrinted>2021-04-14T03:54:00Z</cp:lastPrinted>
  <dcterms:modified xsi:type="dcterms:W3CDTF">2021-04-14T09:10:21Z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7CE2437D55F34FB38FFB4D42703B11D7</vt:lpwstr>
  </property>
</Properties>
</file>