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渭滨区人大常委会办公室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21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年部门综合预算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部门主要职责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年年度部门工作任务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三、部门预算单位构成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四、部门人员情况说明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五、202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年部门预算收支说明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 xml:space="preserve">  其他说明情况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、部门预算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“三公”经费等情况说明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、部门国有资产占有使用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八、部门政府采购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九、部门预算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绩效目标说明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十一、专业名词解释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（具体部门预算公开报表）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一、部门主要职责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（一）部门主要职责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渭滨区人大办公室是区人大常委会综合性办事机构，在区人大常委会领导下开展工作，负责管理常委会机关的各项事务。主要职责是：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1、负责人代会、常委会议、主任会议、党组会议等有关会议的会务工作及会议决议、决定的落实及督察工作；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2、组织、协调、服务人大常委会各办事机构开展相对应的工作；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3、负责人代会、常委会议、主任会议、党组会议等有关会议文稿的起草、打印、报送、分发工作。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4、为人大常委会开展的各项视察、调查活动做好协调、服务工作，起草有关的视察、调查报告；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5、负责编发人大常委会《会刊》和《渭滨人大》，做好文件的收发、登记、传阅、归档、保密及印章的管理使用。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6、为人大代表及其他常委会办事机构依法履职做好协调、服务工作；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7、负责机关人事、考勤、老干部、档案管理、财务管理、车辆管理、资产管理和调配，精神文明建设、环境卫生等行政事务工作；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8、组织人大常委会机关干部、职工的政治、业务学习，负责机关目标责任制管理、考核、机关党风廉政建设及社会治安综合治理等工作；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9、加强与其他区级部门的联系，参加有关会议，接待人大代表及群众的来信来访；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10、完成常委会领导交办的其他工作。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我办设有秘书组和综合组。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年度部门工作任务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1、认真筹备年度区人大党组会、常委会、主任会议，做好各项服务工作；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2、围绕全年议题安排，协调组织好常委会各项视察调研活动,做好审议监督落实工作；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3、做好省、市人大代表执法检查、视察调研的各项服务工作；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4、组织开展“代表访民日”和“五个一”活动，丰富代表闭会期间的活动，拓宽代表履职渠道；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5、加强与“一府一委两院”及相关部门的协调联系，提升代表建议、意见督办的质量和效果；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6、规范镇街和部分社区、村“人大代表工作室”运行，筹备召开镇街人大工作座谈会；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7、做好区十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届人大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次会议的筹备及召开工作；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8、编辑 《会刊》6期和《渭滨人大》8期；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9、做好人大信访工作。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</w:rPr>
              <w:t>宝鸡市渭滨区人民代表大会常务委员会办公室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64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无变动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四、部门人员情况说明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9年底，本部门人员编制数14人，其中行政编制14人；实有人员2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人、机关工勤1人。单位管理的离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</w:t>
      </w:r>
      <w:r>
        <w:rPr>
          <w:rFonts w:hint="eastAsia" w:ascii="仿宋_GB2312" w:hAnsi="仿宋_GB2312" w:eastAsia="仿宋_GB2312" w:cs="仿宋_GB2312"/>
          <w:sz w:val="32"/>
          <w:szCs w:val="32"/>
        </w:rPr>
        <w:t>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离休人员1人，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人员退休</w:t>
      </w:r>
      <w:r>
        <w:rPr>
          <w:rFonts w:hint="eastAsia" w:ascii="仿宋_GB2312" w:hAnsi="仿宋_GB2312" w:eastAsia="仿宋_GB2312" w:cs="仿宋_GB2312"/>
          <w:sz w:val="32"/>
          <w:szCs w:val="32"/>
        </w:rPr>
        <w:t>费由养老保险中心发放。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080000" cy="3124200"/>
            <wp:effectExtent l="4445" t="4445" r="2095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年部门预算收支说明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年本部门预算收入45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7.75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7.75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年本部门预算收入较上年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增加7.12</w:t>
      </w:r>
      <w:r>
        <w:rPr>
          <w:rFonts w:hint="eastAsia" w:ascii="仿宋" w:hAnsi="仿宋" w:eastAsia="仿宋" w:cs="仿宋"/>
          <w:sz w:val="32"/>
          <w:szCs w:val="32"/>
        </w:rPr>
        <w:t>万元，主要原因是人员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工资增加</w:t>
      </w:r>
      <w:r>
        <w:rPr>
          <w:rFonts w:hint="eastAsia" w:ascii="仿宋" w:hAnsi="仿宋" w:eastAsia="仿宋" w:cs="仿宋"/>
          <w:sz w:val="32"/>
          <w:szCs w:val="32"/>
        </w:rPr>
        <w:t>等方面；202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年本部门预算支出45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7.75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万元，其中一般公共预算拨款支出45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7.75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年本部门预算支出较上年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增加7.12</w:t>
      </w:r>
      <w:r>
        <w:rPr>
          <w:rFonts w:hint="eastAsia" w:ascii="仿宋" w:hAnsi="仿宋" w:eastAsia="仿宋" w:cs="仿宋"/>
          <w:sz w:val="32"/>
          <w:szCs w:val="32"/>
        </w:rPr>
        <w:t>万元，主要原因同上。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（二）财政拨款收支情况。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年本部门财政拨款收入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457.75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457.75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年本部门财政拨款收入较上年增加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工资增加</w:t>
      </w:r>
      <w:r>
        <w:rPr>
          <w:rFonts w:hint="eastAsia" w:ascii="仿宋" w:hAnsi="仿宋" w:eastAsia="仿宋" w:cs="仿宋"/>
          <w:sz w:val="32"/>
          <w:szCs w:val="32"/>
        </w:rPr>
        <w:t>等方面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年本部门财政拨款支出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457.75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457.75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年本部门财政拨款支出较上年增加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公共预算拨款支出明细情况。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457.75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人员工资增加等方面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当年一般公共预算支出457.75万元，其中：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294.48万元，较上年减少54.23万元，主要原因是专项业务费调整科目。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一般行政管理事务（2010102）107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增加71万元</w:t>
      </w:r>
      <w:r>
        <w:rPr>
          <w:rFonts w:hint="eastAsia" w:ascii="仿宋" w:hAnsi="仿宋" w:eastAsia="仿宋" w:cs="仿宋"/>
          <w:sz w:val="32"/>
          <w:szCs w:val="32"/>
        </w:rPr>
        <w:t>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人大专项业务费及人代会会议费开支调整至此科目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（3）培训支出（2080503）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减少3</w:t>
      </w:r>
      <w:r>
        <w:rPr>
          <w:rFonts w:hint="eastAsia" w:ascii="仿宋" w:hAnsi="仿宋" w:eastAsia="仿宋" w:cs="仿宋"/>
          <w:sz w:val="32"/>
          <w:szCs w:val="32"/>
        </w:rPr>
        <w:t>万元，原因是培训人数及批次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（4）行政单位离休（2080501）1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0.56</w:t>
      </w:r>
      <w:r>
        <w:rPr>
          <w:rFonts w:hint="eastAsia" w:ascii="仿宋" w:hAnsi="仿宋" w:eastAsia="仿宋" w:cs="仿宋"/>
          <w:sz w:val="32"/>
          <w:szCs w:val="32"/>
        </w:rPr>
        <w:t>万元，原因是离休费提高标准；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（5）养老保险缴费（2080505）2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4.4</w:t>
      </w:r>
      <w:r>
        <w:rPr>
          <w:rFonts w:hint="eastAsia" w:ascii="仿宋" w:hAnsi="仿宋" w:eastAsia="仿宋" w:cs="仿宋"/>
          <w:sz w:val="32"/>
          <w:szCs w:val="32"/>
        </w:rPr>
        <w:t>万元，原因是养老保险单位缴费比例下调；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（6）行政单位医疗（2101101）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减少2.8万元</w:t>
      </w:r>
      <w:r>
        <w:rPr>
          <w:rFonts w:hint="eastAsia" w:ascii="仿宋" w:hAnsi="仿宋" w:eastAsia="仿宋" w:cs="仿宋"/>
          <w:sz w:val="32"/>
          <w:szCs w:val="32"/>
        </w:rPr>
        <w:t>，原因是缴费基数变化。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41340" cy="3810000"/>
            <wp:effectExtent l="4445" t="4445" r="12065" b="14605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2021年本部门当年一般公共预算支出457.75万元，其中：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288.04万元，较上年增加5.09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部分人员工资调标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150.9万元，较上年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厉行节约，压缩一般性开支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对个人和家庭的补助支出（303）18.82万元，较上年增加7.24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医疗费补助增加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说明。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2021年本部门当年一般公共预算支出457.75万元，其中：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288.04万元，较上年增加5.09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部分人员工资调标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150.9万元，较上年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厉行节约，压缩一般性开支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对个人和家庭的补助支出（503）18.82万元，较上年增加7.24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医疗费补助增加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4、上年结转财政资金一般公共预算拨款支出情况。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（1）按功能支出分类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（2）按部门预算支出经济分类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（3）按政府预算支出经济分类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本部门无2020年结转的一般公共预算拨款资金支出。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2、上年结转政府性基金预算支出情况。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本部门无2020年结转的政府性基金预算拨款支出。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国有资本经营预算拨款收支情况。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国有资本经营预算拨款收支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，并在财政拨款收支总体情况表中列示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本部门无2020年结转的国有资本经营预算拨款支出。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 xml:space="preserve">  其他说明情况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部门预算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“三公”经费等预算情况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本部门当年一般公共预算“三公”经费预算支出7.5万元，较上年增加1.15万元（15%），增加的主要原因是公务接待人数及批次的增多。其中：因公出国（境）经费0万元，和上年持平；公务接待费费1.5万元，较上年增加1.15万元（76%），增加的主要原因是公务接待人数和批次的增多；公务用车运行维护费6万元，和上年持平；公务用车购置费0万元，和上年持平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2020年会议费预算4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万元（含人代会36万元），较上年减少2.3%，主要原因是严格执行会议费管理办法。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2020年培训费预算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年内培训批次减少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年结转的财政拨款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经费支出。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部门国有资产占有使用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2020年底，本部门所属预算单位共有车辆2辆，单价20万元以上的设备2台（套）。2021年当年部门预算安排购置车辆0辆；安排购置单价20万元以上的设备0台（套）。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本部门无20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年结转的财政拨款支出资产购置。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2021年当年本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部门政府采购预算共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18.9万元，其中政府采购服务类预算18.9万元（详见公开报表中的政府采购表）。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本部门无2020年结转的政府采购资金支出。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部门预算绩效目标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2021年本部门绩效目标管理全覆盖，涉及当年一般公共预算当年拨款116万元,当年政府性基金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本部门无20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年结转的财政拨款支出涉及的绩效目标管理。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当年机关运行经费预算安排150.9万元，较上年减少5.1万元，主要原因是</w:t>
      </w:r>
      <w:r>
        <w:rPr>
          <w:rFonts w:hint="eastAsia" w:ascii="仿宋" w:hAnsi="仿宋" w:eastAsia="仿宋" w:cs="仿宋"/>
          <w:sz w:val="32"/>
          <w:szCs w:val="32"/>
        </w:rPr>
        <w:t>从严控制公用经费管理，提高资金使用效益。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本部门无2020年结转的财政拨款机关运行费支出。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Style w:val="3"/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“三公”经费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全奖励费用等支出；公务接待费反映单位按规定开支的各类公务接待支出。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</w:t>
      </w:r>
      <w:r>
        <w:rPr>
          <w:rFonts w:hint="eastAsia" w:ascii="仿宋" w:hAnsi="仿宋" w:eastAsia="仿宋" w:cs="仿宋"/>
          <w:sz w:val="32"/>
          <w:szCs w:val="32"/>
        </w:rPr>
        <w:t>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部门预算公开报表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以上公开内容，均已通过保密审查及本部门主要负责人审签</w:t>
      </w: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F745F"/>
    <w:rsid w:val="00C00F40"/>
    <w:rsid w:val="044538BC"/>
    <w:rsid w:val="04A805C4"/>
    <w:rsid w:val="059F2A0D"/>
    <w:rsid w:val="06736A16"/>
    <w:rsid w:val="07ED767B"/>
    <w:rsid w:val="08867E9A"/>
    <w:rsid w:val="08D035D1"/>
    <w:rsid w:val="09FD68C4"/>
    <w:rsid w:val="0DCB4BB8"/>
    <w:rsid w:val="14C1360F"/>
    <w:rsid w:val="169C65B3"/>
    <w:rsid w:val="17C870C9"/>
    <w:rsid w:val="19F24C5F"/>
    <w:rsid w:val="1A25019A"/>
    <w:rsid w:val="1A6F701C"/>
    <w:rsid w:val="1DC31186"/>
    <w:rsid w:val="24E73B22"/>
    <w:rsid w:val="251554EC"/>
    <w:rsid w:val="2A452C34"/>
    <w:rsid w:val="2D3E4FD2"/>
    <w:rsid w:val="35A427DE"/>
    <w:rsid w:val="35A46EDD"/>
    <w:rsid w:val="3B785FC5"/>
    <w:rsid w:val="3E2A25EB"/>
    <w:rsid w:val="3F632AA1"/>
    <w:rsid w:val="45E5510A"/>
    <w:rsid w:val="460E1C13"/>
    <w:rsid w:val="4A076BC2"/>
    <w:rsid w:val="4F932280"/>
    <w:rsid w:val="514C1BF3"/>
    <w:rsid w:val="521A35B4"/>
    <w:rsid w:val="56067571"/>
    <w:rsid w:val="562F2C38"/>
    <w:rsid w:val="589F30C4"/>
    <w:rsid w:val="5E1E048F"/>
    <w:rsid w:val="66A210E1"/>
    <w:rsid w:val="6A753CD8"/>
    <w:rsid w:val="7A7B1A42"/>
    <w:rsid w:val="7A7F745F"/>
    <w:rsid w:val="7E953FD1"/>
    <w:rsid w:val="7FF8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人数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Sheet1!$A$1:$C$1</c:f>
              <c:strCache>
                <c:ptCount val="3"/>
                <c:pt idx="0">
                  <c:v>编制数</c:v>
                </c:pt>
                <c:pt idx="1">
                  <c:v>实有人数</c:v>
                </c:pt>
                <c:pt idx="2">
                  <c:v>离退休人员数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14</c:v>
                </c:pt>
                <c:pt idx="1">
                  <c:v>19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3725683"/>
        <c:axId val="191518114"/>
      </c:barChart>
      <c:catAx>
        <c:axId val="89372568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1518114"/>
        <c:crosses val="autoZero"/>
        <c:auto val="1"/>
        <c:lblAlgn val="ctr"/>
        <c:lblOffset val="100"/>
        <c:noMultiLvlLbl val="0"/>
      </c:catAx>
      <c:valAx>
        <c:axId val="19151811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937256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一般公共预算支出按功能科目分类明细情况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行政运行</c:v>
                </c:pt>
                <c:pt idx="1">
                  <c:v>一般行政管理事务</c:v>
                </c:pt>
                <c:pt idx="2">
                  <c:v>培训支出</c:v>
                </c:pt>
                <c:pt idx="3">
                  <c:v>行政单位离休</c:v>
                </c:pt>
                <c:pt idx="4">
                  <c:v>养老保险缴费</c:v>
                </c:pt>
                <c:pt idx="5">
                  <c:v>行政单位医疗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294.48</c:v>
                </c:pt>
                <c:pt idx="1">
                  <c:v>107</c:v>
                </c:pt>
                <c:pt idx="2">
                  <c:v>9</c:v>
                </c:pt>
                <c:pt idx="3">
                  <c:v>11.28</c:v>
                </c:pt>
                <c:pt idx="4">
                  <c:v>22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83656010805943"/>
          <c:y val="0.186166666666667"/>
          <c:w val="0.212629446195407"/>
          <c:h val="0.5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按照部门预算支出经济分类科目明细情况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工资福利支出  62.93%</c:v>
                </c:pt>
                <c:pt idx="1">
                  <c:v>商品和服务支出  32.97%</c:v>
                </c:pt>
                <c:pt idx="2">
                  <c:v>对个人和家庭的补助  4.11%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288.04</c:v>
                </c:pt>
                <c:pt idx="1">
                  <c:v>150.9</c:v>
                </c:pt>
                <c:pt idx="2">
                  <c:v>18.82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按照政府预算支出经济分类科目明细情况</a:t>
            </a:r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Sheet1!$A$2:$A$4</c:f>
              <c:strCache>
                <c:ptCount val="3"/>
                <c:pt idx="0">
                  <c:v>工资福利支出  62.93%</c:v>
                </c:pt>
                <c:pt idx="1">
                  <c:v>商品和服务支出  32.97%</c:v>
                </c:pt>
                <c:pt idx="2">
                  <c:v>对个人和家庭的补助  4.11%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288.04</c:v>
                </c:pt>
                <c:pt idx="1">
                  <c:v>150.9</c:v>
                </c:pt>
                <c:pt idx="2">
                  <c:v>18.82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2019-10-12T01:15:00Z</dcterms:created>
  <dc:creator>郭超(退回修改.)</dc:creator>
  <cp:lastModifiedBy>Administrator</cp:lastModifiedBy>
  <dcterms:modified xsi:type="dcterms:W3CDTF">2021-04-14T09:27:46Z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