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宝鸡市渭滨区桥南街道办事处</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1</w:t>
      </w:r>
      <w:r>
        <w:rPr>
          <w:rFonts w:hint="eastAsia" w:ascii="黑体" w:hAnsi="黑体" w:eastAsia="黑体" w:cs="黑体"/>
          <w:sz w:val="32"/>
          <w:szCs w:val="32"/>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二、202</w:t>
      </w:r>
      <w:r>
        <w:rPr>
          <w:rFonts w:hint="eastAsia" w:ascii="仿宋" w:hAnsi="仿宋" w:eastAsia="仿宋" w:cs="仿宋"/>
          <w:sz w:val="32"/>
          <w:szCs w:val="32"/>
          <w:lang w:val="en-US" w:eastAsia="zh-CN"/>
        </w:rPr>
        <w:t>1</w:t>
      </w:r>
      <w:r>
        <w:rPr>
          <w:rFonts w:hint="eastAsia" w:ascii="仿宋" w:hAnsi="仿宋" w:eastAsia="仿宋" w:cs="仿宋"/>
          <w:sz w:val="32"/>
          <w:szCs w:val="32"/>
        </w:rPr>
        <w:t>年年度部门工作任务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桥南街道办事处是区人民政府的派出机关，受区人民政府领导，依据法律、法规规定，在本辖区内行使区人民政府赋予的职权。其主要职责是：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强化公共服务，着力改善民生。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参与城市管理，提升文明水平。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创新社会管理，维护辖区稳定。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优化发展环境，促进经济发展。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加强组织建设，构建和谐社区。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完成区委、区政府交办的其他工作。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桥南街道办事处内设党政综合办（党办、行政办、精神文明、宣传、工会、妇联、团委、关工委等），经济发展办（财政所、劳动保障所、统计办）、社会事务办（计生办、综治司法办、民政办、卫生办、城管办）等10个办公室。</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2021</w:t>
      </w:r>
      <w:r>
        <w:rPr>
          <w:rFonts w:hint="eastAsia" w:ascii="仿宋" w:hAnsi="仿宋" w:eastAsia="仿宋" w:cs="仿宋"/>
          <w:b w:val="0"/>
          <w:bCs w:val="0"/>
          <w:sz w:val="32"/>
          <w:szCs w:val="32"/>
        </w:rPr>
        <w:t>年，桥南街道办事处</w:t>
      </w:r>
      <w:r>
        <w:rPr>
          <w:rFonts w:hint="eastAsia" w:ascii="仿宋" w:hAnsi="仿宋" w:eastAsia="仿宋" w:cs="仿宋"/>
          <w:b w:val="0"/>
          <w:bCs w:val="0"/>
          <w:sz w:val="32"/>
          <w:szCs w:val="32"/>
          <w:lang w:eastAsia="zh-CN"/>
        </w:rPr>
        <w:t>继续</w:t>
      </w:r>
      <w:r>
        <w:rPr>
          <w:rFonts w:hint="eastAsia" w:ascii="仿宋" w:hAnsi="仿宋" w:eastAsia="仿宋" w:cs="仿宋"/>
          <w:b w:val="0"/>
          <w:bCs w:val="0"/>
          <w:sz w:val="32"/>
          <w:szCs w:val="32"/>
        </w:rPr>
        <w:t xml:space="preserve">积极落实党中央、市、区委全会精神，围绕全区稳中求进总基调，以全区争第一、全市争位次、全省创一流的目标，维护稳定、管好城市、服务民生、创新管理、从严管党治党，努力开创和谐、务实、创新、争先的全新局面。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工作重点：</w:t>
      </w:r>
      <w:r>
        <w:rPr>
          <w:rFonts w:hint="eastAsia" w:ascii="仿宋" w:hAnsi="仿宋" w:eastAsia="仿宋" w:cs="仿宋"/>
          <w:b w:val="0"/>
          <w:bCs w:val="0"/>
          <w:sz w:val="32"/>
          <w:szCs w:val="32"/>
          <w:lang w:eastAsia="zh-CN"/>
        </w:rPr>
        <w:t>一是</w:t>
      </w:r>
      <w:r>
        <w:rPr>
          <w:rFonts w:hint="eastAsia" w:ascii="仿宋" w:hAnsi="仿宋" w:eastAsia="仿宋" w:cs="仿宋"/>
          <w:b w:val="0"/>
          <w:bCs w:val="0"/>
          <w:sz w:val="32"/>
          <w:szCs w:val="32"/>
        </w:rPr>
        <w:t xml:space="preserve">以中省市区系列会议精神为重点，明晰思想抓落实。 </w:t>
      </w:r>
      <w:r>
        <w:rPr>
          <w:rFonts w:hint="eastAsia" w:ascii="仿宋" w:hAnsi="仿宋" w:eastAsia="仿宋" w:cs="仿宋"/>
          <w:b w:val="0"/>
          <w:bCs w:val="0"/>
          <w:sz w:val="32"/>
          <w:szCs w:val="32"/>
          <w:lang w:eastAsia="zh-CN"/>
        </w:rPr>
        <w:t>二是</w:t>
      </w:r>
      <w:r>
        <w:rPr>
          <w:rFonts w:hint="eastAsia" w:ascii="仿宋" w:hAnsi="仿宋" w:eastAsia="仿宋" w:cs="仿宋"/>
          <w:b w:val="0"/>
          <w:bCs w:val="0"/>
          <w:sz w:val="32"/>
          <w:szCs w:val="32"/>
        </w:rPr>
        <w:t>以项目建设为抓手，推动街道经济持续快速健康发展。</w:t>
      </w:r>
      <w:r>
        <w:rPr>
          <w:rFonts w:hint="eastAsia" w:ascii="仿宋" w:hAnsi="仿宋" w:eastAsia="仿宋" w:cs="仿宋"/>
          <w:b w:val="0"/>
          <w:bCs w:val="0"/>
          <w:sz w:val="32"/>
          <w:szCs w:val="32"/>
          <w:lang w:eastAsia="zh-CN"/>
        </w:rPr>
        <w:t>三是</w:t>
      </w:r>
      <w:r>
        <w:rPr>
          <w:rFonts w:hint="eastAsia" w:ascii="仿宋" w:hAnsi="仿宋" w:eastAsia="仿宋" w:cs="仿宋"/>
          <w:b w:val="0"/>
          <w:bCs w:val="0"/>
          <w:sz w:val="32"/>
          <w:szCs w:val="32"/>
        </w:rPr>
        <w:t>以管好城市为支撑，提升城市管理水平。</w:t>
      </w:r>
      <w:r>
        <w:rPr>
          <w:rFonts w:hint="eastAsia" w:ascii="仿宋" w:hAnsi="仿宋" w:eastAsia="仿宋" w:cs="仿宋"/>
          <w:b w:val="0"/>
          <w:bCs w:val="0"/>
          <w:sz w:val="32"/>
          <w:szCs w:val="32"/>
          <w:lang w:eastAsia="zh-CN"/>
        </w:rPr>
        <w:t>四是</w:t>
      </w:r>
      <w:r>
        <w:rPr>
          <w:rFonts w:hint="eastAsia" w:ascii="仿宋" w:hAnsi="仿宋" w:eastAsia="仿宋" w:cs="仿宋"/>
          <w:b w:val="0"/>
          <w:bCs w:val="0"/>
          <w:sz w:val="32"/>
          <w:szCs w:val="32"/>
        </w:rPr>
        <w:t>以服务民生为主旨，进一步提升居民群众幸福指数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以管理创新为重点，促进社会大局和谐稳定</w:t>
      </w:r>
      <w:r>
        <w:rPr>
          <w:rFonts w:hint="eastAsia" w:ascii="仿宋" w:hAnsi="仿宋" w:eastAsia="仿宋" w:cs="仿宋"/>
          <w:b w:val="0"/>
          <w:bCs w:val="0"/>
          <w:sz w:val="32"/>
          <w:szCs w:val="32"/>
          <w:lang w:eastAsia="zh-CN"/>
        </w:rPr>
        <w:t>。五是</w:t>
      </w:r>
      <w:r>
        <w:rPr>
          <w:rFonts w:hint="eastAsia" w:ascii="仿宋" w:hAnsi="仿宋" w:eastAsia="仿宋" w:cs="仿宋"/>
          <w:b w:val="0"/>
          <w:bCs w:val="0"/>
          <w:sz w:val="32"/>
          <w:szCs w:val="32"/>
        </w:rPr>
        <w:t>以队伍建设为保障，形成创新实干的工作合力。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从预算单位构成看，本部门的部门预算</w:t>
      </w:r>
      <w:r>
        <w:rPr>
          <w:rFonts w:hint="eastAsia" w:ascii="仿宋" w:hAnsi="仿宋" w:eastAsia="仿宋" w:cs="仿宋"/>
          <w:sz w:val="32"/>
          <w:szCs w:val="32"/>
          <w:lang w:val="en-US" w:eastAsia="zh-CN"/>
        </w:rPr>
        <w:t>包括部门本级（机关）。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纳入本部门</w:t>
      </w:r>
      <w:r>
        <w:rPr>
          <w:rFonts w:hint="eastAsia" w:ascii="仿宋" w:hAnsi="仿宋" w:eastAsia="仿宋" w:cs="仿宋"/>
          <w:sz w:val="32"/>
          <w:szCs w:val="32"/>
          <w:lang w:val="en-US" w:eastAsia="zh-CN"/>
        </w:rPr>
        <w:t>2021年部门预算编制范围的单位</w:t>
      </w:r>
      <w:r>
        <w:rPr>
          <w:rFonts w:hint="eastAsia" w:ascii="仿宋" w:hAnsi="仿宋" w:eastAsia="仿宋" w:cs="仿宋"/>
          <w:sz w:val="32"/>
          <w:szCs w:val="32"/>
          <w:lang w:eastAsia="zh-CN"/>
        </w:rPr>
        <w:t>共有</w:t>
      </w:r>
      <w:r>
        <w:rPr>
          <w:rFonts w:hint="eastAsia" w:ascii="仿宋" w:hAnsi="仿宋" w:eastAsia="仿宋" w:cs="仿宋"/>
          <w:sz w:val="32"/>
          <w:szCs w:val="32"/>
          <w:lang w:val="en-US" w:eastAsia="zh-CN"/>
        </w:rPr>
        <w:t>1个，包括：</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序号</w:t>
            </w:r>
          </w:p>
        </w:tc>
        <w:tc>
          <w:tcPr>
            <w:tcW w:w="4912" w:type="dxa"/>
            <w:vAlign w:val="top"/>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单位名称</w:t>
            </w:r>
          </w:p>
        </w:tc>
        <w:tc>
          <w:tcPr>
            <w:tcW w:w="2011" w:type="dxa"/>
            <w:vAlign w:val="top"/>
          </w:tcPr>
          <w:p>
            <w:pPr>
              <w:ind w:left="0" w:leftChars="0" w:firstLine="0" w:firstLineChars="0"/>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4912" w:type="dxa"/>
            <w:vAlign w:val="top"/>
          </w:tcPr>
          <w:p>
            <w:pPr>
              <w:ind w:left="0" w:leftChars="0" w:firstLine="0" w:firstLineChars="0"/>
              <w:jc w:val="center"/>
              <w:rPr>
                <w:rFonts w:hint="eastAsia" w:ascii="仿宋_GB2312" w:hAnsi="仿宋_GB2312" w:eastAsia="仿宋_GB2312" w:cs="仿宋_GB2312"/>
                <w:sz w:val="32"/>
                <w:szCs w:val="32"/>
                <w:highlight w:val="none"/>
                <w:vertAlign w:val="baseline"/>
                <w:lang w:val="en-US" w:eastAsia="zh-CN"/>
              </w:rPr>
            </w:pPr>
            <w:r>
              <w:rPr>
                <w:rFonts w:hint="default" w:ascii="仿宋_GB2312" w:hAnsi="宋体" w:eastAsia="仿宋_GB2312" w:cs="仿宋_GB2312"/>
                <w:color w:val="333333"/>
                <w:sz w:val="25"/>
                <w:szCs w:val="25"/>
              </w:rPr>
              <w:t>宝鸡市渭滨区桥南街道办事处（行政）</w:t>
            </w:r>
          </w:p>
        </w:tc>
        <w:tc>
          <w:tcPr>
            <w:tcW w:w="2011" w:type="dxa"/>
            <w:vAlign w:val="top"/>
          </w:tcPr>
          <w:p>
            <w:pPr>
              <w:jc w:val="center"/>
              <w:rPr>
                <w:rFonts w:hint="eastAsia" w:ascii="仿宋_GB2312" w:hAnsi="仿宋_GB2312" w:eastAsia="仿宋_GB2312" w:cs="仿宋_GB2312"/>
                <w:sz w:val="32"/>
                <w:szCs w:val="32"/>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截止20</w:t>
      </w:r>
      <w:r>
        <w:rPr>
          <w:rFonts w:hint="eastAsia" w:ascii="仿宋" w:hAnsi="仿宋" w:eastAsia="仿宋" w:cs="仿宋"/>
          <w:sz w:val="32"/>
          <w:szCs w:val="32"/>
          <w:lang w:val="en-US" w:eastAsia="zh-CN"/>
        </w:rPr>
        <w:t>20</w:t>
      </w:r>
      <w:r>
        <w:rPr>
          <w:rFonts w:hint="eastAsia" w:ascii="仿宋" w:hAnsi="仿宋" w:eastAsia="仿宋" w:cs="仿宋"/>
          <w:sz w:val="32"/>
          <w:szCs w:val="32"/>
        </w:rPr>
        <w:t>年底，本部门人员编制</w:t>
      </w:r>
      <w:r>
        <w:rPr>
          <w:rFonts w:hint="eastAsia" w:ascii="仿宋" w:hAnsi="仿宋" w:eastAsia="仿宋" w:cs="仿宋"/>
          <w:sz w:val="32"/>
          <w:szCs w:val="32"/>
          <w:lang w:val="en-US" w:eastAsia="zh-CN"/>
        </w:rPr>
        <w:t>28</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14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14</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29</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14</w:t>
      </w:r>
      <w:r>
        <w:rPr>
          <w:rFonts w:hint="eastAsia" w:ascii="仿宋" w:hAnsi="仿宋" w:eastAsia="仿宋" w:cs="仿宋"/>
          <w:sz w:val="32"/>
          <w:szCs w:val="32"/>
        </w:rPr>
        <w:t>人、事业</w:t>
      </w:r>
      <w:r>
        <w:rPr>
          <w:rFonts w:hint="eastAsia" w:ascii="仿宋" w:hAnsi="仿宋" w:eastAsia="仿宋" w:cs="仿宋"/>
          <w:sz w:val="32"/>
          <w:szCs w:val="32"/>
          <w:lang w:val="en-US" w:eastAsia="zh-CN"/>
        </w:rPr>
        <w:t>15</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20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704215</wp:posOffset>
            </wp:positionH>
            <wp:positionV relativeFrom="paragraph">
              <wp:posOffset>100965</wp:posOffset>
            </wp:positionV>
            <wp:extent cx="3998595" cy="2613660"/>
            <wp:effectExtent l="4445" t="4445" r="16510" b="107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ind w:firstLine="640"/>
        <w:jc w:val="center"/>
        <w:rPr>
          <w:rFonts w:hint="eastAsia" w:ascii="仿宋_GB2312" w:hAnsi="仿宋_GB2312" w:eastAsia="仿宋_GB2312" w:cs="仿宋_GB2312"/>
          <w:b/>
          <w:bCs/>
          <w:sz w:val="32"/>
          <w:szCs w:val="32"/>
          <w:highlight w:val="none"/>
          <w:lang w:eastAsia="zh-CN"/>
        </w:rPr>
      </w:pP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五、20</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所有收入和支出均纳入部门预算管理。20</w:t>
      </w:r>
      <w:r>
        <w:rPr>
          <w:rFonts w:hint="eastAsia" w:ascii="仿宋" w:hAnsi="仿宋" w:eastAsia="仿宋" w:cs="仿宋"/>
          <w:sz w:val="32"/>
          <w:szCs w:val="32"/>
          <w:lang w:val="en-US" w:eastAsia="zh-CN"/>
        </w:rPr>
        <w:t>21</w:t>
      </w:r>
      <w:r>
        <w:rPr>
          <w:rFonts w:hint="eastAsia" w:ascii="仿宋" w:hAnsi="仿宋" w:eastAsia="仿宋" w:cs="仿宋"/>
          <w:sz w:val="32"/>
          <w:szCs w:val="32"/>
        </w:rPr>
        <w:t>年本部门预算收入</w:t>
      </w:r>
      <w:r>
        <w:rPr>
          <w:rFonts w:hint="eastAsia" w:ascii="仿宋" w:hAnsi="仿宋" w:eastAsia="仿宋" w:cs="仿宋"/>
          <w:sz w:val="32"/>
          <w:szCs w:val="32"/>
          <w:lang w:val="en-US" w:eastAsia="zh-CN"/>
        </w:rPr>
        <w:t>408.22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408.22</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362.06万元</w:t>
      </w:r>
      <w:r>
        <w:rPr>
          <w:rFonts w:hint="eastAsia" w:ascii="仿宋" w:hAnsi="仿宋" w:eastAsia="仿宋" w:cs="仿宋"/>
          <w:sz w:val="32"/>
          <w:szCs w:val="32"/>
        </w:rPr>
        <w:t>和公用经费</w:t>
      </w:r>
      <w:r>
        <w:rPr>
          <w:rFonts w:hint="eastAsia" w:ascii="仿宋" w:hAnsi="仿宋" w:eastAsia="仿宋" w:cs="仿宋"/>
          <w:sz w:val="32"/>
          <w:szCs w:val="32"/>
          <w:lang w:val="en-US" w:eastAsia="zh-CN"/>
        </w:rPr>
        <w:t>44.31万</w:t>
      </w:r>
      <w:r>
        <w:rPr>
          <w:rFonts w:hint="eastAsia" w:ascii="仿宋" w:hAnsi="仿宋" w:eastAsia="仿宋" w:cs="仿宋"/>
          <w:sz w:val="32"/>
          <w:szCs w:val="32"/>
        </w:rPr>
        <w:t>元全部为一般公共预算拨款支出</w:t>
      </w:r>
      <w:r>
        <w:rPr>
          <w:rFonts w:hint="eastAsia" w:ascii="仿宋" w:hAnsi="仿宋" w:eastAsia="仿宋" w:cs="仿宋"/>
          <w:sz w:val="32"/>
          <w:szCs w:val="32"/>
          <w:lang w:eastAsia="zh-CN"/>
        </w:rPr>
        <w:t>，较上年</w:t>
      </w:r>
      <w:r>
        <w:rPr>
          <w:rFonts w:hint="eastAsia" w:ascii="仿宋" w:hAnsi="仿宋" w:eastAsia="仿宋" w:cs="仿宋"/>
          <w:sz w:val="32"/>
          <w:szCs w:val="32"/>
          <w:lang w:val="en-US" w:eastAsia="zh-CN"/>
        </w:rPr>
        <w:t>410.04万元减少了1.82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人员、工资变动以及预算中增加了奖金并按照上级要求缩减了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年本部门预算支出</w:t>
      </w:r>
      <w:r>
        <w:rPr>
          <w:rFonts w:hint="eastAsia" w:ascii="仿宋" w:hAnsi="仿宋" w:eastAsia="仿宋" w:cs="仿宋"/>
          <w:sz w:val="32"/>
          <w:szCs w:val="32"/>
          <w:lang w:val="en-US" w:eastAsia="zh-CN"/>
        </w:rPr>
        <w:t>408.22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408.22</w:t>
      </w:r>
      <w:r>
        <w:rPr>
          <w:rFonts w:hint="eastAsia" w:ascii="仿宋" w:hAnsi="仿宋" w:eastAsia="仿宋" w:cs="仿宋"/>
          <w:sz w:val="32"/>
          <w:szCs w:val="32"/>
        </w:rPr>
        <w:t>万元，202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年本部门预算支出较上年</w:t>
      </w:r>
      <w:r>
        <w:rPr>
          <w:rFonts w:hint="eastAsia" w:ascii="仿宋" w:hAnsi="仿宋" w:eastAsia="仿宋" w:cs="仿宋"/>
          <w:sz w:val="32"/>
          <w:szCs w:val="32"/>
          <w:lang w:val="en-US" w:eastAsia="zh-CN"/>
        </w:rPr>
        <w:t>减少1.82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人员、工资变动以及预算中增加了奖金并按照上级要求缩减了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年本部门预算收入</w:t>
      </w:r>
      <w:r>
        <w:rPr>
          <w:rFonts w:hint="eastAsia" w:ascii="仿宋" w:hAnsi="仿宋" w:eastAsia="仿宋" w:cs="仿宋"/>
          <w:sz w:val="32"/>
          <w:szCs w:val="32"/>
          <w:lang w:val="en-US" w:eastAsia="zh-CN"/>
        </w:rPr>
        <w:t>408.22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408.22</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362.06万元</w:t>
      </w:r>
      <w:r>
        <w:rPr>
          <w:rFonts w:hint="eastAsia" w:ascii="仿宋" w:hAnsi="仿宋" w:eastAsia="仿宋" w:cs="仿宋"/>
          <w:sz w:val="32"/>
          <w:szCs w:val="32"/>
        </w:rPr>
        <w:t>和公用经费</w:t>
      </w:r>
      <w:r>
        <w:rPr>
          <w:rFonts w:hint="eastAsia" w:ascii="仿宋" w:hAnsi="仿宋" w:eastAsia="仿宋" w:cs="仿宋"/>
          <w:sz w:val="32"/>
          <w:szCs w:val="32"/>
          <w:lang w:val="en-US" w:eastAsia="zh-CN"/>
        </w:rPr>
        <w:t>44.31万</w:t>
      </w:r>
      <w:r>
        <w:rPr>
          <w:rFonts w:hint="eastAsia" w:ascii="仿宋" w:hAnsi="仿宋" w:eastAsia="仿宋" w:cs="仿宋"/>
          <w:sz w:val="32"/>
          <w:szCs w:val="32"/>
        </w:rPr>
        <w:t>元全部为一般公共预算拨款支出</w:t>
      </w:r>
      <w:r>
        <w:rPr>
          <w:rFonts w:hint="eastAsia" w:ascii="仿宋" w:hAnsi="仿宋" w:eastAsia="仿宋" w:cs="仿宋"/>
          <w:sz w:val="32"/>
          <w:szCs w:val="32"/>
          <w:lang w:eastAsia="zh-CN"/>
        </w:rPr>
        <w:t>，较上年</w:t>
      </w:r>
      <w:r>
        <w:rPr>
          <w:rFonts w:hint="eastAsia" w:ascii="仿宋" w:hAnsi="仿宋" w:eastAsia="仿宋" w:cs="仿宋"/>
          <w:sz w:val="32"/>
          <w:szCs w:val="32"/>
          <w:lang w:val="en-US" w:eastAsia="zh-CN"/>
        </w:rPr>
        <w:t>410.04万元减少1.82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人员、工资变动以及预算中增加了奖金并按照上级要求缩减了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年本部门预算支出</w:t>
      </w:r>
      <w:r>
        <w:rPr>
          <w:rFonts w:hint="eastAsia" w:ascii="仿宋" w:hAnsi="仿宋" w:eastAsia="仿宋" w:cs="仿宋"/>
          <w:sz w:val="32"/>
          <w:szCs w:val="32"/>
          <w:lang w:val="en-US" w:eastAsia="zh-CN"/>
        </w:rPr>
        <w:t>408.22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408.22</w:t>
      </w:r>
      <w:r>
        <w:rPr>
          <w:rFonts w:hint="eastAsia" w:ascii="仿宋" w:hAnsi="仿宋" w:eastAsia="仿宋" w:cs="仿宋"/>
          <w:sz w:val="32"/>
          <w:szCs w:val="32"/>
        </w:rPr>
        <w:t>万元，202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年本部门预算支出较上年</w:t>
      </w:r>
      <w:r>
        <w:rPr>
          <w:rFonts w:hint="eastAsia" w:ascii="仿宋" w:hAnsi="仿宋" w:eastAsia="仿宋" w:cs="仿宋"/>
          <w:sz w:val="32"/>
          <w:szCs w:val="32"/>
          <w:lang w:val="en-US" w:eastAsia="zh-CN"/>
        </w:rPr>
        <w:t>减少1.82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人员、工资变动以及预算中增加了奖金并按照上级要求缩减了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年本部门预算收入</w:t>
      </w:r>
      <w:r>
        <w:rPr>
          <w:rFonts w:hint="eastAsia" w:ascii="仿宋" w:hAnsi="仿宋" w:eastAsia="仿宋" w:cs="仿宋"/>
          <w:sz w:val="32"/>
          <w:szCs w:val="32"/>
          <w:lang w:val="en-US" w:eastAsia="zh-CN"/>
        </w:rPr>
        <w:t>408.22</w:t>
      </w:r>
      <w:r>
        <w:rPr>
          <w:rFonts w:hint="eastAsia" w:ascii="仿宋" w:hAnsi="仿宋" w:eastAsia="仿宋" w:cs="仿宋"/>
          <w:sz w:val="32"/>
          <w:szCs w:val="32"/>
        </w:rPr>
        <w:t>万元</w:t>
      </w:r>
      <w:r>
        <w:rPr>
          <w:rFonts w:hint="eastAsia" w:ascii="仿宋" w:hAnsi="仿宋" w:eastAsia="仿宋" w:cs="仿宋"/>
          <w:sz w:val="32"/>
          <w:szCs w:val="32"/>
          <w:lang w:eastAsia="zh-CN"/>
        </w:rPr>
        <w:t>，较上年</w:t>
      </w:r>
      <w:r>
        <w:rPr>
          <w:rFonts w:hint="eastAsia" w:ascii="仿宋" w:hAnsi="仿宋" w:eastAsia="仿宋" w:cs="仿宋"/>
          <w:sz w:val="32"/>
          <w:szCs w:val="32"/>
          <w:lang w:val="en-US" w:eastAsia="zh-CN"/>
        </w:rPr>
        <w:t>410.04万元减少1.82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人员、工资变动以及预算中增加了奖金并按照上级要求缩减了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342765" cy="1867535"/>
            <wp:effectExtent l="4445" t="4445" r="1524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年本部门当年一般公共预算支出</w:t>
      </w:r>
      <w:r>
        <w:rPr>
          <w:rFonts w:hint="eastAsia" w:ascii="仿宋" w:hAnsi="仿宋" w:eastAsia="仿宋" w:cs="仿宋"/>
          <w:sz w:val="32"/>
          <w:szCs w:val="32"/>
          <w:lang w:val="en-US" w:eastAsia="zh-CN"/>
        </w:rPr>
        <w:t>408.22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（1）行政运行（2010</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01）</w:t>
      </w:r>
      <w:r>
        <w:rPr>
          <w:rFonts w:hint="eastAsia" w:ascii="仿宋" w:hAnsi="仿宋" w:eastAsia="仿宋" w:cs="仿宋"/>
          <w:sz w:val="32"/>
          <w:szCs w:val="32"/>
          <w:lang w:val="en-US" w:eastAsia="zh-CN"/>
        </w:rPr>
        <w:t>354.22万元较上年增加8.98万元</w:t>
      </w:r>
      <w:r>
        <w:rPr>
          <w:rFonts w:hint="eastAsia" w:ascii="仿宋" w:hAnsi="仿宋" w:eastAsia="仿宋" w:cs="仿宋"/>
          <w:sz w:val="32"/>
          <w:szCs w:val="32"/>
          <w:lang w:eastAsia="zh-CN"/>
        </w:rPr>
        <w:t>，原因是人员、工资变动以及预算中增加了奖金并按照上级要求缩减了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lang w:eastAsia="zh-CN"/>
        </w:rPr>
        <w:t>。</w:t>
      </w:r>
    </w:p>
    <w:p>
      <w:pPr>
        <w:widowControl/>
        <w:spacing w:before="100" w:beforeAutospacing="1" w:after="100" w:afterAutospacing="1" w:line="420" w:lineRule="atLeast"/>
        <w:ind w:firstLine="48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）基本养老保险缴费（</w:t>
      </w:r>
      <w:r>
        <w:rPr>
          <w:rFonts w:hint="eastAsia" w:ascii="仿宋" w:hAnsi="仿宋" w:eastAsia="仿宋" w:cs="仿宋"/>
          <w:sz w:val="32"/>
          <w:szCs w:val="32"/>
          <w:lang w:val="en-US" w:eastAsia="zh-CN"/>
        </w:rPr>
        <w:t>2080505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31.09万元</w:t>
      </w:r>
      <w:r>
        <w:rPr>
          <w:rFonts w:hint="eastAsia" w:ascii="仿宋" w:hAnsi="仿宋" w:eastAsia="仿宋" w:cs="仿宋"/>
          <w:sz w:val="32"/>
          <w:szCs w:val="32"/>
          <w:lang w:eastAsia="zh-CN"/>
        </w:rPr>
        <w:t>较上年减少</w:t>
      </w:r>
      <w:r>
        <w:rPr>
          <w:rFonts w:hint="eastAsia" w:ascii="仿宋" w:hAnsi="仿宋" w:eastAsia="仿宋" w:cs="仿宋"/>
          <w:sz w:val="32"/>
          <w:szCs w:val="32"/>
          <w:lang w:val="en-US" w:eastAsia="zh-CN"/>
        </w:rPr>
        <w:t>8.51万元</w:t>
      </w:r>
      <w:r>
        <w:rPr>
          <w:rFonts w:hint="eastAsia" w:ascii="仿宋" w:hAnsi="仿宋" w:eastAsia="仿宋" w:cs="仿宋"/>
          <w:sz w:val="32"/>
          <w:szCs w:val="32"/>
          <w:lang w:eastAsia="zh-CN"/>
        </w:rPr>
        <w:t>原因是单位人员及工资变动带来的缴费基数变化。</w:t>
      </w:r>
    </w:p>
    <w:p>
      <w:pPr>
        <w:widowControl/>
        <w:spacing w:before="100" w:beforeAutospacing="1" w:after="100" w:afterAutospacing="1" w:line="420" w:lineRule="atLeast"/>
        <w:ind w:firstLine="48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）行政单位医疗（</w:t>
      </w:r>
      <w:r>
        <w:rPr>
          <w:rFonts w:hint="eastAsia" w:ascii="仿宋" w:hAnsi="仿宋" w:eastAsia="仿宋" w:cs="仿宋"/>
          <w:sz w:val="32"/>
          <w:szCs w:val="32"/>
          <w:lang w:val="en-US" w:eastAsia="zh-CN"/>
        </w:rPr>
        <w:t>2101101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20.3万元</w:t>
      </w:r>
      <w:r>
        <w:rPr>
          <w:rFonts w:hint="eastAsia" w:ascii="仿宋" w:hAnsi="仿宋" w:eastAsia="仿宋" w:cs="仿宋"/>
          <w:sz w:val="32"/>
          <w:szCs w:val="32"/>
          <w:lang w:eastAsia="zh-CN"/>
        </w:rPr>
        <w:t>较上年减少</w:t>
      </w:r>
      <w:r>
        <w:rPr>
          <w:rFonts w:hint="eastAsia" w:ascii="仿宋" w:hAnsi="仿宋" w:eastAsia="仿宋" w:cs="仿宋"/>
          <w:sz w:val="32"/>
          <w:szCs w:val="32"/>
          <w:lang w:val="en-US" w:eastAsia="zh-CN"/>
        </w:rPr>
        <w:t>4.9万元原因是人员变化以及缴费基数变更</w:t>
      </w:r>
      <w:r>
        <w:rPr>
          <w:rFonts w:hint="eastAsia" w:ascii="仿宋" w:hAnsi="仿宋" w:eastAsia="仿宋" w:cs="仿宋"/>
          <w:sz w:val="32"/>
          <w:szCs w:val="32"/>
          <w:lang w:eastAsia="zh-CN"/>
        </w:rPr>
        <w:t>。</w:t>
      </w:r>
    </w:p>
    <w:p>
      <w:pPr>
        <w:widowControl/>
        <w:spacing w:before="100" w:beforeAutospacing="1" w:after="100" w:afterAutospacing="1" w:line="420" w:lineRule="atLeast"/>
        <w:ind w:firstLine="48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962525" cy="2652395"/>
            <wp:effectExtent l="4445" t="4445" r="5080" b="101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按照部门预算支出经济分类的明细情况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年本部门当年一般公共预算支出</w:t>
      </w:r>
      <w:r>
        <w:rPr>
          <w:rFonts w:hint="eastAsia" w:ascii="仿宋" w:hAnsi="仿宋" w:eastAsia="仿宋" w:cs="仿宋"/>
          <w:sz w:val="32"/>
          <w:szCs w:val="32"/>
          <w:lang w:val="en-US" w:eastAsia="zh-CN"/>
        </w:rPr>
        <w:t>408.22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353.75</w:t>
      </w:r>
      <w:r>
        <w:rPr>
          <w:rFonts w:hint="eastAsia" w:ascii="仿宋" w:hAnsi="仿宋" w:eastAsia="仿宋" w:cs="仿宋"/>
          <w:sz w:val="32"/>
          <w:szCs w:val="32"/>
        </w:rPr>
        <w:t>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6.07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人员减少、工资变动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44.36</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人员变化及缩减办公经费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8.31</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7.6</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人员变化及医疗补助预算科目变更。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资本性支出（</w:t>
      </w:r>
      <w:r>
        <w:rPr>
          <w:rFonts w:hint="eastAsia" w:ascii="仿宋" w:hAnsi="仿宋" w:eastAsia="仿宋" w:cs="仿宋"/>
          <w:sz w:val="32"/>
          <w:szCs w:val="32"/>
          <w:lang w:val="en-US" w:eastAsia="zh-CN"/>
        </w:rPr>
        <w:t>310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1.8万元，较上年减少1.65万元，原因是缩减办公经费。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962525" cy="2652395"/>
            <wp:effectExtent l="4445" t="4445" r="5080" b="1016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年本部门当年一般公共预算支出</w:t>
      </w:r>
      <w:r>
        <w:rPr>
          <w:rFonts w:hint="eastAsia" w:ascii="仿宋" w:hAnsi="仿宋" w:eastAsia="仿宋" w:cs="仿宋"/>
          <w:sz w:val="32"/>
          <w:szCs w:val="32"/>
          <w:lang w:val="en-US" w:eastAsia="zh-CN"/>
        </w:rPr>
        <w:t>408.22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工资奖金津补贴（50101）234.18</w:t>
      </w:r>
      <w:r>
        <w:rPr>
          <w:rFonts w:hint="eastAsia" w:ascii="仿宋" w:hAnsi="仿宋" w:eastAsia="仿宋" w:cs="仿宋"/>
          <w:sz w:val="32"/>
          <w:szCs w:val="32"/>
        </w:rPr>
        <w:t>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6.37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人员、工资变动增加，增加了奖金预算以及医疗补助预算科目变更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社会保障缴费</w:t>
      </w:r>
      <w:r>
        <w:rPr>
          <w:rFonts w:hint="eastAsia" w:ascii="仿宋" w:hAnsi="仿宋" w:eastAsia="仿宋" w:cs="仿宋"/>
          <w:sz w:val="32"/>
          <w:szCs w:val="32"/>
        </w:rPr>
        <w:t>（</w:t>
      </w:r>
      <w:r>
        <w:rPr>
          <w:rFonts w:hint="eastAsia" w:ascii="仿宋" w:hAnsi="仿宋" w:eastAsia="仿宋" w:cs="仿宋"/>
          <w:sz w:val="32"/>
          <w:szCs w:val="32"/>
          <w:lang w:val="en-US" w:eastAsia="zh-CN"/>
        </w:rPr>
        <w:t>50102</w:t>
      </w:r>
      <w:r>
        <w:rPr>
          <w:rFonts w:hint="eastAsia" w:ascii="仿宋" w:hAnsi="仿宋" w:eastAsia="仿宋" w:cs="仿宋"/>
          <w:sz w:val="32"/>
          <w:szCs w:val="32"/>
        </w:rPr>
        <w:t>）</w:t>
      </w:r>
      <w:r>
        <w:rPr>
          <w:rFonts w:hint="eastAsia" w:ascii="仿宋" w:hAnsi="仿宋" w:eastAsia="仿宋" w:cs="仿宋"/>
          <w:sz w:val="32"/>
          <w:szCs w:val="32"/>
          <w:lang w:val="en-US" w:eastAsia="zh-CN"/>
        </w:rPr>
        <w:t>52.78</w:t>
      </w:r>
      <w:r>
        <w:rPr>
          <w:rFonts w:hint="eastAsia" w:ascii="仿宋" w:hAnsi="仿宋" w:eastAsia="仿宋" w:cs="仿宋"/>
          <w:sz w:val="32"/>
          <w:szCs w:val="32"/>
        </w:rPr>
        <w:t>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20.99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人员工资变动导致各类保险缴费基数变化以及医疗补助预算科目变更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住房公积金（</w:t>
      </w:r>
      <w:r>
        <w:rPr>
          <w:rFonts w:hint="eastAsia" w:ascii="仿宋" w:hAnsi="仿宋" w:eastAsia="仿宋" w:cs="仿宋"/>
          <w:sz w:val="32"/>
          <w:szCs w:val="32"/>
          <w:lang w:val="en-US" w:eastAsia="zh-CN"/>
        </w:rPr>
        <w:t>50103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22.75万元，较上年减少3.29万元，原因是人员变动及工资变动带来的影响；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其他工资福利支出（50199）44.04万元，较上年增加0.05万元，主要原因是事业人员改革性补贴预算科目变更；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办公经费（50201）44.36万元，较上年减少35.34万元，主要原因是其他交通费用科目由50299变为50201及人员减少。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社会福利和救助（50901）8.31万元，较上年增加7.6万元</w:t>
      </w:r>
      <w:r>
        <w:rPr>
          <w:rFonts w:hint="eastAsia" w:ascii="仿宋" w:hAnsi="仿宋" w:eastAsia="仿宋" w:cs="仿宋"/>
          <w:sz w:val="32"/>
          <w:szCs w:val="32"/>
        </w:rPr>
        <w:t>原因是</w:t>
      </w:r>
      <w:r>
        <w:rPr>
          <w:rFonts w:hint="eastAsia" w:ascii="仿宋" w:hAnsi="仿宋" w:eastAsia="仿宋" w:cs="仿宋"/>
          <w:sz w:val="32"/>
          <w:szCs w:val="32"/>
          <w:lang w:eastAsia="zh-CN"/>
        </w:rPr>
        <w:t>人员变化及医疗补助预算科目变更。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874260" cy="3605530"/>
            <wp:effectExtent l="4445" t="5080" r="17145"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（四）政府性基金预算支出情况。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本部门无当年政府性基金预算收支并已公开空表。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本部门无2020年结转的政府性基金预算拨款支出。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（五）国有资本经营预算拨款收支情况。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本部门无当年国有资本经营预算拨款收支，并在财政拨款收支总体情况表中列示。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本部门无2020年结转的国有资本经营预算拨款支出。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2020年和2021年，本部门无</w:t>
      </w:r>
      <w:r>
        <w:rPr>
          <w:rFonts w:hint="eastAsia" w:ascii="仿宋" w:hAnsi="仿宋" w:eastAsia="仿宋" w:cs="仿宋"/>
          <w:b w:val="0"/>
          <w:bCs w:val="0"/>
          <w:sz w:val="32"/>
          <w:szCs w:val="32"/>
        </w:rPr>
        <w:t>“三公”</w:t>
      </w:r>
      <w:r>
        <w:rPr>
          <w:rFonts w:hint="eastAsia" w:ascii="仿宋_GB2312" w:hAnsi="仿宋_GB2312" w:eastAsia="仿宋_GB2312" w:cs="仿宋_GB2312"/>
          <w:sz w:val="32"/>
          <w:szCs w:val="32"/>
          <w:highlight w:val="none"/>
          <w:lang w:val="en-US" w:eastAsia="zh-CN"/>
        </w:rPr>
        <w:t>经费预算。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本部门无2020年结转的</w:t>
      </w:r>
      <w:r>
        <w:rPr>
          <w:rFonts w:hint="eastAsia" w:ascii="仿宋" w:hAnsi="仿宋" w:eastAsia="仿宋" w:cs="仿宋"/>
          <w:b w:val="0"/>
          <w:bCs w:val="0"/>
          <w:sz w:val="32"/>
          <w:szCs w:val="32"/>
        </w:rPr>
        <w:t>“三公”</w:t>
      </w:r>
      <w:r>
        <w:rPr>
          <w:rFonts w:hint="eastAsia" w:ascii="仿宋_GB2312" w:hAnsi="仿宋_GB2312" w:eastAsia="仿宋_GB2312" w:cs="仿宋_GB2312"/>
          <w:sz w:val="32"/>
          <w:szCs w:val="32"/>
          <w:highlight w:val="none"/>
          <w:lang w:val="en-US" w:eastAsia="zh-CN"/>
        </w:rPr>
        <w:t>经费支出。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截止</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年底，本部门共有车辆</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辆，单价20万元以上的设备</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台（套）。202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年当年部门预算安排购置车辆</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辆；安排购置单价20</w:t>
      </w:r>
      <w:bookmarkStart w:id="0" w:name="_GoBack"/>
      <w:bookmarkEnd w:id="0"/>
      <w:r>
        <w:rPr>
          <w:rFonts w:hint="eastAsia" w:ascii="仿宋" w:hAnsi="仿宋" w:eastAsia="仿宋" w:cs="仿宋"/>
          <w:b w:val="0"/>
          <w:bCs w:val="0"/>
          <w:sz w:val="32"/>
          <w:szCs w:val="32"/>
        </w:rPr>
        <w:t>万元以上的设备</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val="0"/>
          <w:bCs w:val="0"/>
          <w:sz w:val="32"/>
          <w:szCs w:val="32"/>
        </w:rPr>
        <w:t>本部门无</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年结转的财政拨款支出资产购置</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八、部门政府采购情况说明</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2021</w:t>
      </w:r>
      <w:r>
        <w:rPr>
          <w:rFonts w:hint="eastAsia" w:ascii="仿宋" w:hAnsi="仿宋" w:eastAsia="仿宋" w:cs="仿宋"/>
          <w:b w:val="0"/>
          <w:bCs w:val="0"/>
          <w:sz w:val="32"/>
          <w:szCs w:val="32"/>
        </w:rPr>
        <w:t>年本部门政府采购预算共</w:t>
      </w:r>
      <w:r>
        <w:rPr>
          <w:rFonts w:hint="eastAsia" w:ascii="仿宋" w:hAnsi="仿宋" w:eastAsia="仿宋" w:cs="仿宋"/>
          <w:b w:val="0"/>
          <w:bCs w:val="0"/>
          <w:sz w:val="32"/>
          <w:szCs w:val="32"/>
          <w:lang w:val="en-US" w:eastAsia="zh-CN"/>
        </w:rPr>
        <w:t>1.8万</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用于政府采购货物类预算</w:t>
      </w:r>
      <w:r>
        <w:rPr>
          <w:rFonts w:hint="eastAsia" w:ascii="仿宋" w:hAnsi="仿宋" w:eastAsia="仿宋" w:cs="仿宋"/>
          <w:b w:val="0"/>
          <w:bCs w:val="0"/>
          <w:sz w:val="32"/>
          <w:szCs w:val="32"/>
          <w:lang w:val="en-US" w:eastAsia="zh-CN"/>
        </w:rPr>
        <w:t>1.8万</w:t>
      </w:r>
      <w:r>
        <w:rPr>
          <w:rFonts w:hint="eastAsia" w:ascii="仿宋" w:hAnsi="仿宋" w:eastAsia="仿宋" w:cs="仿宋"/>
          <w:b w:val="0"/>
          <w:bCs w:val="0"/>
          <w:sz w:val="32"/>
          <w:szCs w:val="32"/>
        </w:rPr>
        <w:t>元、政府采购服务类预算0元、政府采购工程类预算0元。</w:t>
      </w:r>
    </w:p>
    <w:p>
      <w:pPr>
        <w:spacing w:line="36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本部门无</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年结转的政府采购</w:t>
      </w:r>
      <w:r>
        <w:rPr>
          <w:rFonts w:hint="eastAsia" w:ascii="仿宋" w:hAnsi="仿宋" w:eastAsia="仿宋" w:cs="仿宋"/>
          <w:b w:val="0"/>
          <w:bCs w:val="0"/>
          <w:sz w:val="32"/>
          <w:szCs w:val="32"/>
          <w:lang w:eastAsia="zh-CN"/>
        </w:rPr>
        <w:t>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年本部门绩效目标管理全覆盖，涉及当年一般公共预算拨款</w:t>
      </w:r>
      <w:r>
        <w:rPr>
          <w:rFonts w:hint="eastAsia" w:ascii="仿宋" w:hAnsi="仿宋" w:eastAsia="仿宋" w:cs="仿宋"/>
          <w:sz w:val="32"/>
          <w:szCs w:val="32"/>
          <w:lang w:val="en-US" w:eastAsia="zh-CN"/>
        </w:rPr>
        <w:t>408.22</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本部门20</w:t>
      </w:r>
      <w:r>
        <w:rPr>
          <w:rFonts w:hint="eastAsia" w:ascii="仿宋" w:hAnsi="仿宋" w:eastAsia="仿宋" w:cs="仿宋"/>
          <w:sz w:val="32"/>
          <w:szCs w:val="32"/>
          <w:lang w:val="en-US" w:eastAsia="zh-CN"/>
        </w:rPr>
        <w:t>20</w:t>
      </w:r>
      <w:r>
        <w:rPr>
          <w:rFonts w:hint="eastAsia" w:ascii="仿宋" w:hAnsi="仿宋" w:eastAsia="仿宋" w:cs="仿宋"/>
          <w:sz w:val="32"/>
          <w:szCs w:val="32"/>
        </w:rPr>
        <w:t>年结转的财政拨款支出涉及的绩效目标管理</w:t>
      </w:r>
      <w:r>
        <w:rPr>
          <w:rFonts w:hint="eastAsia" w:ascii="仿宋" w:hAnsi="仿宋" w:eastAsia="仿宋" w:cs="仿宋"/>
          <w:sz w:val="32"/>
          <w:szCs w:val="32"/>
          <w:lang w:eastAsia="zh-CN"/>
        </w:rPr>
        <w:t>拨款</w:t>
      </w:r>
      <w:r>
        <w:rPr>
          <w:rFonts w:hint="eastAsia" w:ascii="仿宋" w:hAnsi="仿宋" w:eastAsia="仿宋" w:cs="仿宋"/>
          <w:sz w:val="32"/>
          <w:szCs w:val="32"/>
          <w:lang w:val="en-US" w:eastAsia="zh-CN"/>
        </w:rPr>
        <w:t>15万元</w:t>
      </w:r>
      <w:r>
        <w:rPr>
          <w:rFonts w:hint="eastAsia" w:ascii="仿宋" w:hAnsi="仿宋" w:eastAsia="仿宋" w:cs="仿宋"/>
          <w:sz w:val="32"/>
          <w:szCs w:val="32"/>
        </w:rPr>
        <w:t>（详见公开报表中的绩效目标表）。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44.36</w:t>
      </w:r>
      <w:r>
        <w:rPr>
          <w:rFonts w:hint="eastAsia" w:ascii="仿宋" w:hAnsi="仿宋" w:eastAsia="仿宋" w:cs="仿宋"/>
          <w:sz w:val="32"/>
          <w:szCs w:val="32"/>
        </w:rPr>
        <w:t>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人员变化及缩减办公经费。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本部门无20</w:t>
      </w:r>
      <w:r>
        <w:rPr>
          <w:rFonts w:hint="eastAsia" w:ascii="仿宋" w:hAnsi="仿宋" w:eastAsia="仿宋" w:cs="仿宋"/>
          <w:sz w:val="32"/>
          <w:szCs w:val="32"/>
          <w:lang w:val="en-US" w:eastAsia="zh-CN"/>
        </w:rPr>
        <w:t>20</w:t>
      </w:r>
      <w:r>
        <w:rPr>
          <w:rFonts w:hint="eastAsia" w:ascii="仿宋" w:hAnsi="仿宋" w:eastAsia="仿宋" w:cs="仿宋"/>
          <w:sz w:val="32"/>
          <w:szCs w:val="32"/>
        </w:rPr>
        <w:t>年结转的财政拨款机关运行经费支出。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以上公开内容，均已通过保密审查及本部门主要负责人审签。</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（见附件2内容）</w:t>
      </w:r>
      <w:r>
        <w:rPr>
          <w:rFonts w:hint="eastAsia" w:ascii="仿宋" w:hAnsi="仿宋" w:eastAsia="仿宋" w:cs="仿宋"/>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0B1F4"/>
    <w:multiLevelType w:val="singleLevel"/>
    <w:tmpl w:val="9720B1F4"/>
    <w:lvl w:ilvl="0" w:tentative="0">
      <w:start w:val="1"/>
      <w:numFmt w:val="decimal"/>
      <w:lvlText w:val="%1."/>
      <w:lvlJc w:val="left"/>
      <w:pPr>
        <w:ind w:left="425" w:hanging="425"/>
      </w:pPr>
      <w:rPr>
        <w:rFonts w:hint="default"/>
      </w:rPr>
    </w:lvl>
  </w:abstractNum>
  <w:abstractNum w:abstractNumId="1">
    <w:nsid w:val="67727948"/>
    <w:multiLevelType w:val="singleLevel"/>
    <w:tmpl w:val="6772794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0381D"/>
    <w:rsid w:val="052B64E2"/>
    <w:rsid w:val="09522F6B"/>
    <w:rsid w:val="0B261C02"/>
    <w:rsid w:val="0C8A073A"/>
    <w:rsid w:val="10BD3DE2"/>
    <w:rsid w:val="1E301255"/>
    <w:rsid w:val="1ED0381D"/>
    <w:rsid w:val="25A66740"/>
    <w:rsid w:val="272828C0"/>
    <w:rsid w:val="2EC02C31"/>
    <w:rsid w:val="34C42859"/>
    <w:rsid w:val="38050FF2"/>
    <w:rsid w:val="3EC119DA"/>
    <w:rsid w:val="3FFD74EF"/>
    <w:rsid w:val="41683945"/>
    <w:rsid w:val="42DE1278"/>
    <w:rsid w:val="461D5D42"/>
    <w:rsid w:val="5AE459B3"/>
    <w:rsid w:val="5AFA4545"/>
    <w:rsid w:val="5E513ACB"/>
    <w:rsid w:val="6838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rFonts w:hint="eastAsia" w:ascii="微软雅黑" w:hAnsi="微软雅黑" w:eastAsia="微软雅黑" w:cs="微软雅黑"/>
      <w:color w:val="222222"/>
      <w:u w:val="none"/>
    </w:rPr>
  </w:style>
  <w:style w:type="character" w:styleId="6">
    <w:name w:val="Emphasis"/>
    <w:basedOn w:val="4"/>
    <w:qFormat/>
    <w:uiPriority w:val="0"/>
  </w:style>
  <w:style w:type="character" w:styleId="7">
    <w:name w:val="Hyperlink"/>
    <w:basedOn w:val="4"/>
    <w:qFormat/>
    <w:uiPriority w:val="0"/>
    <w:rPr>
      <w:rFonts w:ascii="微软雅黑" w:hAnsi="微软雅黑" w:eastAsia="微软雅黑" w:cs="微软雅黑"/>
      <w:color w:val="222222"/>
      <w:u w:val="none"/>
    </w:rPr>
  </w:style>
  <w:style w:type="character" w:styleId="8">
    <w:name w:val="HTML Code"/>
    <w:basedOn w:val="4"/>
    <w:qFormat/>
    <w:uiPriority w:val="0"/>
    <w:rPr>
      <w:rFonts w:ascii="Courier New" w:hAnsi="Courier New"/>
      <w:sz w:val="20"/>
    </w:rPr>
  </w:style>
  <w:style w:type="character" w:customStyle="1" w:styleId="9">
    <w:name w:val="zwxxgk_bnt6"/>
    <w:basedOn w:val="4"/>
    <w:uiPriority w:val="0"/>
  </w:style>
  <w:style w:type="character" w:customStyle="1" w:styleId="10">
    <w:name w:val="zwxxgk_bnt61"/>
    <w:basedOn w:val="4"/>
    <w:uiPriority w:val="0"/>
  </w:style>
  <w:style w:type="character" w:customStyle="1" w:styleId="11">
    <w:name w:val="zwxxgk_bnt62"/>
    <w:basedOn w:val="4"/>
    <w:uiPriority w:val="0"/>
  </w:style>
  <w:style w:type="character" w:customStyle="1" w:styleId="12">
    <w:name w:val="zwxxgk_bnt5"/>
    <w:basedOn w:val="4"/>
    <w:uiPriority w:val="0"/>
  </w:style>
  <w:style w:type="character" w:customStyle="1" w:styleId="13">
    <w:name w:val="zwxxgk_bnt51"/>
    <w:basedOn w:val="4"/>
    <w:uiPriority w:val="0"/>
  </w:style>
  <w:style w:type="character" w:customStyle="1" w:styleId="14">
    <w:name w:val="zwxxgk_bnt52"/>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部门人员情况表</a:t>
            </a:r>
          </a:p>
        </c:rich>
      </c:tx>
      <c:layout/>
      <c:overlay val="0"/>
      <c:spPr>
        <a:noFill/>
        <a:ln>
          <a:noFill/>
        </a:ln>
        <a:effectLst/>
      </c:spPr>
    </c:title>
    <c:autoTitleDeleted val="0"/>
    <c:plotArea>
      <c:layout>
        <c:manualLayout>
          <c:layoutTarget val="inner"/>
          <c:xMode val="edge"/>
          <c:yMode val="edge"/>
          <c:x val="0.0715287729512499"/>
          <c:y val="0.177211177574478"/>
          <c:w val="0.904967971530249"/>
          <c:h val="0.634353448275862"/>
        </c:manualLayout>
      </c:layout>
      <c:barChart>
        <c:barDir val="col"/>
        <c:grouping val="clustered"/>
        <c:varyColors val="0"/>
        <c:ser>
          <c:idx val="0"/>
          <c:order val="0"/>
          <c:tx>
            <c:strRef>
              <c:f>Sheet1!$B$1</c:f>
              <c:strCache>
                <c:ptCount val="1"/>
                <c:pt idx="0">
                  <c:v>编制数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编制数</c:v>
                </c:pt>
                <c:pt idx="1">
                  <c:v>行政人数</c:v>
                </c:pt>
                <c:pt idx="2">
                  <c:v>事业人数</c:v>
                </c:pt>
                <c:pt idx="3">
                  <c:v>离退人数</c:v>
                </c:pt>
              </c:strCache>
            </c:strRef>
          </c:cat>
          <c:val>
            <c:numRef>
              <c:f>Sheet1!$B$2:$B$5</c:f>
              <c:numCache>
                <c:formatCode>General</c:formatCode>
                <c:ptCount val="4"/>
                <c:pt idx="0">
                  <c:v>28</c:v>
                </c:pt>
                <c:pt idx="1">
                  <c:v>14</c:v>
                </c:pt>
                <c:pt idx="2">
                  <c:v>14</c:v>
                </c:pt>
                <c:pt idx="3">
                  <c:v>20</c:v>
                </c:pt>
              </c:numCache>
            </c:numRef>
          </c:val>
        </c:ser>
        <c:ser>
          <c:idx val="1"/>
          <c:order val="1"/>
          <c:tx>
            <c:strRef>
              <c:f>Sheet1!$C$1</c:f>
              <c:strCache>
                <c:ptCount val="1"/>
                <c:pt idx="0">
                  <c:v>实有数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编制数</c:v>
                </c:pt>
                <c:pt idx="1">
                  <c:v>行政人数</c:v>
                </c:pt>
                <c:pt idx="2">
                  <c:v>事业人数</c:v>
                </c:pt>
                <c:pt idx="3">
                  <c:v>离退人数</c:v>
                </c:pt>
              </c:strCache>
            </c:strRef>
          </c:cat>
          <c:val>
            <c:numRef>
              <c:f>Sheet1!$C$2:$C$5</c:f>
              <c:numCache>
                <c:formatCode>General</c:formatCode>
                <c:ptCount val="4"/>
                <c:pt idx="0">
                  <c:v>29</c:v>
                </c:pt>
                <c:pt idx="1">
                  <c:v>14</c:v>
                </c:pt>
                <c:pt idx="2">
                  <c:v>15</c:v>
                </c:pt>
                <c:pt idx="3">
                  <c:v>20</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编制数</c:v>
                </c:pt>
                <c:pt idx="1">
                  <c:v>行政人数</c:v>
                </c:pt>
                <c:pt idx="2">
                  <c:v>事业人数</c:v>
                </c:pt>
                <c:pt idx="3">
                  <c:v>离退人数</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677505692"/>
        <c:axId val="406359577"/>
      </c:barChart>
      <c:catAx>
        <c:axId val="6775056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359577"/>
        <c:crosses val="autoZero"/>
        <c:auto val="1"/>
        <c:lblAlgn val="ctr"/>
        <c:lblOffset val="100"/>
        <c:noMultiLvlLbl val="0"/>
      </c:catAx>
      <c:valAx>
        <c:axId val="406359577"/>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750569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一般公共预算上下年对比</a:t>
            </a:r>
          </a:p>
        </c:rich>
      </c:tx>
      <c:layout/>
      <c:overlay val="0"/>
      <c:spPr>
        <a:noFill/>
        <a:ln>
          <a:noFill/>
        </a:ln>
        <a:effectLst/>
      </c:spPr>
    </c:title>
    <c:autoTitleDeleted val="0"/>
    <c:plotArea>
      <c:layout/>
      <c:pieChart>
        <c:varyColors val="1"/>
        <c:ser>
          <c:idx val="0"/>
          <c:order val="0"/>
          <c:tx>
            <c:strRef>
              <c:f>Sheet1!$B$1</c:f>
              <c:strCache>
                <c:ptCount val="1"/>
                <c:pt idx="0">
                  <c:v>一般公共预算上下年对比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2021年度</c:v>
                </c:pt>
                <c:pt idx="1">
                  <c:v>2020年度</c:v>
                </c:pt>
              </c:strCache>
            </c:strRef>
          </c:cat>
          <c:val>
            <c:numRef>
              <c:f>Sheet1!$B$2:$B$3</c:f>
              <c:numCache>
                <c:formatCode>General</c:formatCode>
                <c:ptCount val="2"/>
                <c:pt idx="0">
                  <c:v>408.22</c:v>
                </c:pt>
                <c:pt idx="1">
                  <c:v>410.04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支出功能科目分类上下年对比</a:t>
            </a:r>
          </a:p>
        </c:rich>
      </c:tx>
      <c:layout/>
      <c:overlay val="0"/>
      <c:spPr>
        <a:noFill/>
        <a:ln>
          <a:noFill/>
        </a:ln>
        <a:effectLst/>
      </c:spPr>
    </c:title>
    <c:autoTitleDeleted val="0"/>
    <c:plotArea>
      <c:layout>
        <c:manualLayout>
          <c:layoutTarget val="inner"/>
          <c:xMode val="edge"/>
          <c:yMode val="edge"/>
          <c:x val="0.0894035532994924"/>
          <c:y val="0.169027306464634"/>
          <c:w val="0.879663705583756"/>
          <c:h val="0.596819368620935"/>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Sheet1!$A$2:$A$4</c:f>
              <c:strCache>
                <c:ptCount val="3"/>
                <c:pt idx="0">
                  <c:v>行政运行</c:v>
                </c:pt>
                <c:pt idx="1">
                  <c:v>养老保险缴费</c:v>
                </c:pt>
                <c:pt idx="2">
                  <c:v>医疗保险缴费</c:v>
                </c:pt>
              </c:strCache>
            </c:strRef>
          </c:cat>
          <c:val>
            <c:numRef>
              <c:f>Sheet1!$B$2:$B$4</c:f>
              <c:numCache>
                <c:formatCode>General</c:formatCode>
                <c:ptCount val="3"/>
                <c:pt idx="0">
                  <c:v>345.24</c:v>
                </c:pt>
                <c:pt idx="1">
                  <c:v>39.6</c:v>
                </c:pt>
                <c:pt idx="2">
                  <c:v>25.2</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Sheet1!$A$2:$A$4</c:f>
              <c:strCache>
                <c:ptCount val="3"/>
                <c:pt idx="0">
                  <c:v>行政运行</c:v>
                </c:pt>
                <c:pt idx="1">
                  <c:v>养老保险缴费</c:v>
                </c:pt>
                <c:pt idx="2">
                  <c:v>医疗保险缴费</c:v>
                </c:pt>
              </c:strCache>
            </c:strRef>
          </c:cat>
          <c:val>
            <c:numRef>
              <c:f>Sheet1!$C$2:$C$4</c:f>
              <c:numCache>
                <c:formatCode>General</c:formatCode>
                <c:ptCount val="3"/>
                <c:pt idx="0">
                  <c:v>354.22</c:v>
                </c:pt>
                <c:pt idx="1">
                  <c:v>31.9</c:v>
                </c:pt>
                <c:pt idx="2">
                  <c:v>20.3</c:v>
                </c:pt>
              </c:numCache>
            </c:numRef>
          </c:val>
        </c:ser>
        <c:dLbls>
          <c:showLegendKey val="0"/>
          <c:showVal val="0"/>
          <c:showCatName val="0"/>
          <c:showSerName val="0"/>
          <c:showPercent val="0"/>
          <c:showBubbleSize val="0"/>
        </c:dLbls>
        <c:gapWidth val="219"/>
        <c:overlap val="-27"/>
        <c:axId val="814194753"/>
        <c:axId val="575558107"/>
      </c:barChart>
      <c:catAx>
        <c:axId val="814194753"/>
        <c:scaling>
          <c:orientation val="minMax"/>
        </c:scaling>
        <c:delete val="0"/>
        <c:axPos val="b"/>
        <c:title>
          <c:tx>
            <c:rich>
              <a:bodyPr rot="0" spcFirstLastPara="0" vertOverflow="ellipsis" vert="horz" wrap="square" anchor="ctr" anchorCtr="1"/>
              <a:lstStyle/>
              <a:p>
                <a:pPr defTabSz="914400">
                  <a:defRPr lang="zh-CN" sz="700" b="0" i="0" u="none" strike="noStrike" kern="1200" baseline="0">
                    <a:solidFill>
                      <a:schemeClr val="tx1">
                        <a:lumMod val="65000"/>
                        <a:lumOff val="35000"/>
                      </a:schemeClr>
                    </a:solidFill>
                    <a:latin typeface="+mn-lt"/>
                    <a:ea typeface="+mn-ea"/>
                    <a:cs typeface="+mn-cs"/>
                  </a:defRPr>
                </a:pPr>
                <a:r>
                  <a:rPr sz="700"/>
                  <a:t>支出功能分类</a:t>
                </a:r>
                <a:endParaRPr sz="700"/>
              </a:p>
            </c:rich>
          </c:tx>
          <c:layout>
            <c:manualLayout>
              <c:xMode val="edge"/>
              <c:yMode val="edge"/>
              <c:x val="0.445294267255798"/>
              <c:y val="0.848346076569888"/>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558107"/>
        <c:crosses val="autoZero"/>
        <c:auto val="1"/>
        <c:lblAlgn val="ctr"/>
        <c:lblOffset val="100"/>
        <c:noMultiLvlLbl val="0"/>
      </c:catAx>
      <c:valAx>
        <c:axId val="5755581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00" b="0" i="0" u="none" strike="noStrike" kern="1200" baseline="0">
                    <a:solidFill>
                      <a:schemeClr val="tx1">
                        <a:lumMod val="65000"/>
                        <a:lumOff val="35000"/>
                      </a:schemeClr>
                    </a:solidFill>
                    <a:latin typeface="+mn-lt"/>
                    <a:ea typeface="+mn-ea"/>
                    <a:cs typeface="+mn-cs"/>
                  </a:defRPr>
                </a:pPr>
                <a:r>
                  <a:rPr sz="700"/>
                  <a:t>预算金额（万元）</a:t>
                </a:r>
                <a:endParaRPr sz="700"/>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194753"/>
        <c:crosses val="autoZero"/>
        <c:crossBetween val="between"/>
      </c:valAx>
      <c:spPr>
        <a:noFill/>
        <a:ln>
          <a:noFill/>
        </a:ln>
        <a:effectLst/>
      </c:spPr>
    </c:plotArea>
    <c:legend>
      <c:legendPos val="b"/>
      <c:layout>
        <c:manualLayout>
          <c:xMode val="edge"/>
          <c:yMode val="edge"/>
          <c:x val="0.228534868841971"/>
          <c:y val="0.8759875508738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支出经济科目分类上下年对比</a:t>
            </a:r>
          </a:p>
        </c:rich>
      </c:tx>
      <c:layout/>
      <c:overlay val="0"/>
      <c:spPr>
        <a:noFill/>
        <a:ln>
          <a:noFill/>
        </a:ln>
        <a:effectLst/>
      </c:spPr>
    </c:title>
    <c:autoTitleDeleted val="0"/>
    <c:plotArea>
      <c:layout>
        <c:manualLayout>
          <c:layoutTarget val="inner"/>
          <c:xMode val="edge"/>
          <c:yMode val="edge"/>
          <c:x val="0.0910670209898315"/>
          <c:y val="0.169027306464634"/>
          <c:w val="0.879663705583756"/>
          <c:h val="0.596819368620935"/>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Sheet1!$A$2:$A$5</c:f>
              <c:strCache>
                <c:ptCount val="4"/>
                <c:pt idx="0">
                  <c:v>工资福利</c:v>
                </c:pt>
                <c:pt idx="1">
                  <c:v>商品和服务</c:v>
                </c:pt>
                <c:pt idx="2">
                  <c:v>个人和家庭补助</c:v>
                </c:pt>
                <c:pt idx="3">
                  <c:v>资本性支出</c:v>
                </c:pt>
              </c:strCache>
            </c:strRef>
          </c:cat>
          <c:val>
            <c:numRef>
              <c:f>Sheet1!$B$2:$B$5</c:f>
              <c:numCache>
                <c:formatCode>General</c:formatCode>
                <c:ptCount val="4"/>
                <c:pt idx="0">
                  <c:v>353.75</c:v>
                </c:pt>
                <c:pt idx="1">
                  <c:v>44.36</c:v>
                </c:pt>
                <c:pt idx="2">
                  <c:v>8.31</c:v>
                </c:pt>
                <c:pt idx="3">
                  <c:v>1.8</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Sheet1!$A$2:$A$5</c:f>
              <c:strCache>
                <c:ptCount val="4"/>
                <c:pt idx="0">
                  <c:v>工资福利</c:v>
                </c:pt>
                <c:pt idx="1">
                  <c:v>商品和服务</c:v>
                </c:pt>
                <c:pt idx="2">
                  <c:v>个人和家庭补助</c:v>
                </c:pt>
                <c:pt idx="3">
                  <c:v>资本性支出</c:v>
                </c:pt>
              </c:strCache>
            </c:strRef>
          </c:cat>
          <c:val>
            <c:numRef>
              <c:f>Sheet1!$C$2:$C$5</c:f>
              <c:numCache>
                <c:formatCode>General</c:formatCode>
                <c:ptCount val="4"/>
                <c:pt idx="0">
                  <c:v>359.82</c:v>
                </c:pt>
                <c:pt idx="1">
                  <c:v>46.06</c:v>
                </c:pt>
                <c:pt idx="2">
                  <c:v>0.71</c:v>
                </c:pt>
                <c:pt idx="3">
                  <c:v>3.45</c:v>
                </c:pt>
              </c:numCache>
            </c:numRef>
          </c:val>
        </c:ser>
        <c:dLbls>
          <c:showLegendKey val="0"/>
          <c:showVal val="0"/>
          <c:showCatName val="0"/>
          <c:showSerName val="0"/>
          <c:showPercent val="0"/>
          <c:showBubbleSize val="0"/>
        </c:dLbls>
        <c:gapWidth val="219"/>
        <c:overlap val="-27"/>
        <c:axId val="814194753"/>
        <c:axId val="575558107"/>
      </c:barChart>
      <c:catAx>
        <c:axId val="814194753"/>
        <c:scaling>
          <c:orientation val="minMax"/>
        </c:scaling>
        <c:delete val="0"/>
        <c:axPos val="b"/>
        <c:title>
          <c:tx>
            <c:rich>
              <a:bodyPr rot="0" spcFirstLastPara="0" vertOverflow="ellipsis" vert="horz" wrap="square" anchor="ctr" anchorCtr="1"/>
              <a:lstStyle/>
              <a:p>
                <a:pPr defTabSz="914400">
                  <a:defRPr lang="zh-CN" sz="700" b="0" i="0" u="none" strike="noStrike" kern="1200" baseline="0">
                    <a:solidFill>
                      <a:schemeClr val="tx1">
                        <a:lumMod val="65000"/>
                        <a:lumOff val="35000"/>
                      </a:schemeClr>
                    </a:solidFill>
                    <a:latin typeface="+mn-lt"/>
                    <a:ea typeface="+mn-ea"/>
                    <a:cs typeface="+mn-cs"/>
                  </a:defRPr>
                </a:pPr>
                <a:r>
                  <a:rPr sz="700"/>
                  <a:t>支出经济分类</a:t>
                </a:r>
                <a:endParaRPr sz="700"/>
              </a:p>
            </c:rich>
          </c:tx>
          <c:layout>
            <c:manualLayout>
              <c:xMode val="edge"/>
              <c:yMode val="edge"/>
              <c:x val="0.445294267255798"/>
              <c:y val="0.848346076569888"/>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558107"/>
        <c:crosses val="autoZero"/>
        <c:auto val="1"/>
        <c:lblAlgn val="ctr"/>
        <c:lblOffset val="100"/>
        <c:noMultiLvlLbl val="0"/>
      </c:catAx>
      <c:valAx>
        <c:axId val="5755581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00" b="0" i="0" u="none" strike="noStrike" kern="1200" baseline="0">
                    <a:solidFill>
                      <a:schemeClr val="tx1">
                        <a:lumMod val="65000"/>
                        <a:lumOff val="35000"/>
                      </a:schemeClr>
                    </a:solidFill>
                    <a:latin typeface="+mn-lt"/>
                    <a:ea typeface="+mn-ea"/>
                    <a:cs typeface="+mn-cs"/>
                  </a:defRPr>
                </a:pPr>
                <a:r>
                  <a:rPr sz="700"/>
                  <a:t>预算金额（万元）</a:t>
                </a:r>
                <a:endParaRPr sz="700"/>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194753"/>
        <c:crosses val="autoZero"/>
        <c:crossBetween val="between"/>
      </c:valAx>
      <c:spPr>
        <a:noFill/>
        <a:ln>
          <a:noFill/>
        </a:ln>
        <a:effectLst/>
      </c:spPr>
    </c:plotArea>
    <c:legend>
      <c:legendPos val="b"/>
      <c:layout>
        <c:manualLayout>
          <c:xMode val="edge"/>
          <c:yMode val="edge"/>
          <c:x val="0.228534868841971"/>
          <c:y val="0.8759875508738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spc="0" baseline="0">
                <a:solidFill>
                  <a:schemeClr val="tx1">
                    <a:lumMod val="65000"/>
                    <a:lumOff val="35000"/>
                  </a:schemeClr>
                </a:solidFill>
                <a:latin typeface="+mn-lt"/>
                <a:ea typeface="+mn-ea"/>
                <a:cs typeface="+mn-cs"/>
              </a:defRPr>
            </a:pPr>
            <a:r>
              <a:rPr sz="1000"/>
              <a:t>经济科目分类上下年对比图</a:t>
            </a:r>
            <a:endParaRPr sz="10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2021年度</c:v>
                </c:pt>
              </c:strCache>
            </c:strRef>
          </c:tx>
          <c:spPr>
            <a:solidFill>
              <a:schemeClr val="accent1"/>
            </a:solidFill>
            <a:ln>
              <a:noFill/>
            </a:ln>
            <a:effectLst/>
          </c:spPr>
          <c:invertIfNegative val="0"/>
          <c:dLbls>
            <c:delete val="1"/>
          </c:dLbls>
          <c:cat>
            <c:strRef>
              <c:f>Sheet1!$A$2:$A$7</c:f>
              <c:strCache>
                <c:ptCount val="6"/>
                <c:pt idx="0">
                  <c:v>工资奖金补贴</c:v>
                </c:pt>
                <c:pt idx="1">
                  <c:v>社会保障缴费</c:v>
                </c:pt>
                <c:pt idx="2">
                  <c:v>住房公积金</c:v>
                </c:pt>
                <c:pt idx="3">
                  <c:v>其他工资福利</c:v>
                </c:pt>
                <c:pt idx="4">
                  <c:v>办公经费</c:v>
                </c:pt>
                <c:pt idx="5">
                  <c:v>社会福利和救助</c:v>
                </c:pt>
              </c:strCache>
            </c:strRef>
          </c:cat>
          <c:val>
            <c:numRef>
              <c:f>Sheet1!$B$2:$B$7</c:f>
              <c:numCache>
                <c:formatCode>General</c:formatCode>
                <c:ptCount val="6"/>
                <c:pt idx="0">
                  <c:v>234.18</c:v>
                </c:pt>
                <c:pt idx="1">
                  <c:v>52.78</c:v>
                </c:pt>
                <c:pt idx="2">
                  <c:v>22.75</c:v>
                </c:pt>
                <c:pt idx="3">
                  <c:v>44.04</c:v>
                </c:pt>
                <c:pt idx="4">
                  <c:v>44.36</c:v>
                </c:pt>
                <c:pt idx="5">
                  <c:v>8.31</c:v>
                </c:pt>
              </c:numCache>
            </c:numRef>
          </c:val>
        </c:ser>
        <c:ser>
          <c:idx val="1"/>
          <c:order val="1"/>
          <c:tx>
            <c:strRef>
              <c:f>Sheet1!$C$1</c:f>
              <c:strCache>
                <c:ptCount val="1"/>
                <c:pt idx="0">
                  <c:v>2020年度</c:v>
                </c:pt>
              </c:strCache>
            </c:strRef>
          </c:tx>
          <c:spPr>
            <a:solidFill>
              <a:schemeClr val="accent2"/>
            </a:solidFill>
            <a:ln>
              <a:noFill/>
            </a:ln>
            <a:effectLst/>
          </c:spPr>
          <c:invertIfNegative val="0"/>
          <c:dLbls>
            <c:delete val="1"/>
          </c:dLbls>
          <c:cat>
            <c:strRef>
              <c:f>Sheet1!$A$2:$A$7</c:f>
              <c:strCache>
                <c:ptCount val="6"/>
                <c:pt idx="0">
                  <c:v>工资奖金补贴</c:v>
                </c:pt>
                <c:pt idx="1">
                  <c:v>社会保障缴费</c:v>
                </c:pt>
                <c:pt idx="2">
                  <c:v>住房公积金</c:v>
                </c:pt>
                <c:pt idx="3">
                  <c:v>其他工资福利</c:v>
                </c:pt>
                <c:pt idx="4">
                  <c:v>办公经费</c:v>
                </c:pt>
                <c:pt idx="5">
                  <c:v>社会福利和救助</c:v>
                </c:pt>
              </c:strCache>
            </c:strRef>
          </c:cat>
          <c:val>
            <c:numRef>
              <c:f>Sheet1!$C$2:$C$7</c:f>
              <c:numCache>
                <c:formatCode>General</c:formatCode>
                <c:ptCount val="6"/>
                <c:pt idx="0">
                  <c:v>227.81</c:v>
                </c:pt>
                <c:pt idx="1">
                  <c:v>31.79</c:v>
                </c:pt>
                <c:pt idx="2">
                  <c:v>26.04</c:v>
                </c:pt>
                <c:pt idx="3">
                  <c:v>43.99</c:v>
                </c:pt>
                <c:pt idx="4">
                  <c:v>79.7</c:v>
                </c:pt>
                <c:pt idx="5">
                  <c:v>0.71</c:v>
                </c:pt>
              </c:numCache>
            </c:numRef>
          </c:val>
        </c:ser>
        <c:dLbls>
          <c:showLegendKey val="0"/>
          <c:showVal val="0"/>
          <c:showCatName val="0"/>
          <c:showSerName val="0"/>
          <c:showPercent val="0"/>
          <c:showBubbleSize val="0"/>
        </c:dLbls>
        <c:gapWidth val="219"/>
        <c:overlap val="-27"/>
        <c:axId val="912253197"/>
        <c:axId val="719221223"/>
      </c:barChart>
      <c:catAx>
        <c:axId val="9122531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crossAx val="719221223"/>
        <c:crosses val="autoZero"/>
        <c:auto val="1"/>
        <c:lblAlgn val="ctr"/>
        <c:lblOffset val="100"/>
        <c:noMultiLvlLbl val="0"/>
      </c:catAx>
      <c:valAx>
        <c:axId val="719221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22531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 heart</cp:lastModifiedBy>
  <dcterms:modified xsi:type="dcterms:W3CDTF">2021-04-14T02:38:36Z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6F87596FF1634A1EB138A4EA39EAF771</vt:lpwstr>
  </property>
</Properties>
</file>