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center"/>
        <w:rPr>
          <w:rFonts w:ascii="仿宋_GB2312" w:hAnsi="仿宋" w:eastAsia="仿宋_GB2312" w:cs="仿宋"/>
          <w:b/>
          <w:bCs/>
          <w:sz w:val="32"/>
          <w:szCs w:val="32"/>
        </w:rPr>
      </w:pPr>
      <w:r>
        <w:rPr>
          <w:rFonts w:hint="eastAsia" w:ascii="仿宋_GB2312" w:hAnsi="仿宋" w:eastAsia="仿宋_GB2312" w:cs="仿宋"/>
          <w:b/>
          <w:bCs/>
          <w:sz w:val="32"/>
          <w:szCs w:val="32"/>
        </w:rPr>
        <w:t>宝鸡市渭滨区清姜街道办事处</w:t>
      </w:r>
    </w:p>
    <w:p>
      <w:pPr>
        <w:spacing w:line="360" w:lineRule="auto"/>
        <w:ind w:firstLine="0" w:firstLineChars="0"/>
        <w:jc w:val="center"/>
        <w:rPr>
          <w:rFonts w:ascii="仿宋_GB2312" w:hAnsi="仿宋" w:eastAsia="仿宋_GB2312" w:cs="仿宋"/>
          <w:b/>
          <w:bCs/>
          <w:sz w:val="32"/>
          <w:szCs w:val="32"/>
        </w:rPr>
      </w:pPr>
      <w:r>
        <w:rPr>
          <w:rFonts w:hint="eastAsia" w:ascii="仿宋_GB2312" w:hAnsi="仿宋" w:eastAsia="仿宋_GB2312" w:cs="仿宋"/>
          <w:b/>
          <w:bCs/>
          <w:sz w:val="32"/>
          <w:szCs w:val="32"/>
        </w:rPr>
        <w:t>2021年部门综合预算</w:t>
      </w:r>
    </w:p>
    <w:p>
      <w:pPr>
        <w:spacing w:line="360" w:lineRule="auto"/>
        <w:ind w:firstLine="643"/>
        <w:jc w:val="center"/>
        <w:rPr>
          <w:rFonts w:ascii="仿宋_GB2312" w:hAnsi="仿宋" w:eastAsia="仿宋_GB2312" w:cs="仿宋"/>
          <w:b/>
          <w:bCs/>
          <w:sz w:val="32"/>
          <w:szCs w:val="32"/>
        </w:rPr>
      </w:pPr>
      <w:r>
        <w:rPr>
          <w:rFonts w:hint="eastAsia" w:ascii="仿宋_GB2312" w:hAnsi="仿宋" w:eastAsia="仿宋_GB2312" w:cs="仿宋"/>
          <w:b/>
          <w:bCs/>
          <w:sz w:val="32"/>
          <w:szCs w:val="32"/>
        </w:rPr>
        <w:t>目  录</w:t>
      </w:r>
    </w:p>
    <w:p>
      <w:pPr>
        <w:spacing w:line="360" w:lineRule="auto"/>
        <w:ind w:firstLine="643"/>
        <w:jc w:val="center"/>
        <w:rPr>
          <w:rFonts w:ascii="仿宋_GB2312" w:hAnsi="仿宋" w:eastAsia="仿宋_GB2312" w:cs="仿宋"/>
          <w:b/>
          <w:bCs/>
          <w:sz w:val="32"/>
          <w:szCs w:val="32"/>
        </w:rPr>
      </w:pPr>
      <w:r>
        <w:rPr>
          <w:rFonts w:hint="eastAsia" w:ascii="仿宋_GB2312" w:hAnsi="仿宋" w:eastAsia="仿宋_GB2312" w:cs="仿宋"/>
          <w:b/>
          <w:bCs/>
          <w:sz w:val="32"/>
          <w:szCs w:val="32"/>
        </w:rPr>
        <w:t>第一部分   部门概况</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一、部门主要职责及机构设置</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二、2021年年度部门工作任务</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三、部门预算单位构成</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四、部门人员情况说明</w:t>
      </w:r>
    </w:p>
    <w:p>
      <w:pPr>
        <w:spacing w:line="360" w:lineRule="auto"/>
        <w:ind w:firstLine="3534" w:firstLineChars="1100"/>
        <w:rPr>
          <w:rFonts w:ascii="仿宋_GB2312" w:hAnsi="仿宋" w:eastAsia="仿宋_GB2312" w:cs="仿宋"/>
          <w:b/>
          <w:bCs/>
          <w:sz w:val="32"/>
          <w:szCs w:val="32"/>
        </w:rPr>
      </w:pPr>
      <w:r>
        <w:rPr>
          <w:rFonts w:hint="eastAsia" w:ascii="仿宋_GB2312" w:hAnsi="仿宋" w:eastAsia="仿宋_GB2312" w:cs="仿宋"/>
          <w:b/>
          <w:bCs/>
          <w:sz w:val="32"/>
          <w:szCs w:val="32"/>
        </w:rPr>
        <w:t>第二部分   收支情况</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五、2021年部门预算收支说明</w:t>
      </w:r>
    </w:p>
    <w:p>
      <w:pPr>
        <w:spacing w:line="360" w:lineRule="auto"/>
        <w:ind w:firstLine="643"/>
        <w:jc w:val="center"/>
        <w:rPr>
          <w:rFonts w:ascii="仿宋_GB2312" w:hAnsi="仿宋" w:eastAsia="仿宋_GB2312" w:cs="仿宋"/>
          <w:b/>
          <w:bCs/>
          <w:sz w:val="32"/>
          <w:szCs w:val="32"/>
        </w:rPr>
      </w:pPr>
      <w:r>
        <w:rPr>
          <w:rFonts w:hint="eastAsia" w:ascii="仿宋_GB2312" w:hAnsi="仿宋" w:eastAsia="仿宋_GB2312" w:cs="仿宋"/>
          <w:b/>
          <w:bCs/>
          <w:sz w:val="32"/>
          <w:szCs w:val="32"/>
        </w:rPr>
        <w:t xml:space="preserve">   第三部分  其他说明情况</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六、部门预算“三公”经费等情况说明</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七、部门国有资产占有使用及资产购置情况说明</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八、部门政府采购情况说明</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九、部门预算绩效目标说明</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十、机关运行经费安排说明</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十一、专业名词解释</w:t>
      </w:r>
    </w:p>
    <w:p>
      <w:pPr>
        <w:spacing w:line="360" w:lineRule="auto"/>
        <w:ind w:firstLine="643"/>
        <w:jc w:val="center"/>
        <w:rPr>
          <w:rFonts w:ascii="仿宋_GB2312" w:hAnsi="仿宋" w:eastAsia="仿宋_GB2312" w:cs="仿宋"/>
          <w:sz w:val="32"/>
          <w:szCs w:val="32"/>
        </w:rPr>
      </w:pPr>
      <w:r>
        <w:rPr>
          <w:rFonts w:hint="eastAsia" w:ascii="仿宋_GB2312" w:hAnsi="仿宋" w:eastAsia="仿宋_GB2312" w:cs="仿宋"/>
          <w:b/>
          <w:bCs/>
          <w:sz w:val="32"/>
          <w:szCs w:val="32"/>
        </w:rPr>
        <w:t>第四部分   公开报表</w:t>
      </w:r>
    </w:p>
    <w:p>
      <w:pPr>
        <w:spacing w:line="360" w:lineRule="auto"/>
        <w:ind w:firstLine="640"/>
        <w:rPr>
          <w:rFonts w:ascii="仿宋_GB2312" w:hAnsi="仿宋" w:eastAsia="仿宋_GB2312" w:cs="仿宋"/>
          <w:sz w:val="32"/>
          <w:szCs w:val="32"/>
        </w:rPr>
      </w:pPr>
      <w:r>
        <w:rPr>
          <w:rFonts w:hint="eastAsia" w:ascii="仿宋_GB2312" w:hAnsi="仿宋" w:eastAsia="仿宋_GB2312" w:cs="仿宋"/>
          <w:sz w:val="32"/>
          <w:szCs w:val="32"/>
        </w:rPr>
        <w:t>（具体部门预算公开报表）</w:t>
      </w:r>
    </w:p>
    <w:p>
      <w:pPr>
        <w:spacing w:line="360" w:lineRule="auto"/>
        <w:ind w:firstLine="643"/>
        <w:jc w:val="center"/>
        <w:rPr>
          <w:rFonts w:ascii="仿宋_GB2312" w:hAnsi="仿宋" w:eastAsia="仿宋_GB2312" w:cs="仿宋"/>
          <w:b/>
          <w:bCs/>
          <w:sz w:val="32"/>
          <w:szCs w:val="32"/>
        </w:rPr>
      </w:pPr>
    </w:p>
    <w:p>
      <w:pPr>
        <w:spacing w:line="360" w:lineRule="auto"/>
        <w:ind w:firstLine="643"/>
        <w:jc w:val="center"/>
        <w:rPr>
          <w:rFonts w:ascii="仿宋_GB2312" w:hAnsi="仿宋" w:eastAsia="仿宋_GB2312" w:cs="仿宋"/>
          <w:b/>
          <w:bCs/>
          <w:sz w:val="32"/>
          <w:szCs w:val="32"/>
        </w:rPr>
      </w:pPr>
    </w:p>
    <w:p>
      <w:pPr>
        <w:spacing w:line="360" w:lineRule="auto"/>
        <w:ind w:firstLine="643"/>
        <w:jc w:val="center"/>
        <w:rPr>
          <w:rFonts w:ascii="仿宋_GB2312" w:hAnsi="仿宋" w:eastAsia="仿宋_GB2312" w:cs="仿宋"/>
          <w:b/>
          <w:bCs/>
          <w:sz w:val="32"/>
          <w:szCs w:val="32"/>
        </w:rPr>
      </w:pPr>
    </w:p>
    <w:p>
      <w:pPr>
        <w:spacing w:line="360" w:lineRule="auto"/>
        <w:ind w:firstLine="643"/>
        <w:jc w:val="center"/>
        <w:rPr>
          <w:rFonts w:ascii="仿宋_GB2312" w:hAnsi="仿宋" w:eastAsia="仿宋_GB2312" w:cs="仿宋"/>
          <w:b/>
          <w:bCs/>
          <w:sz w:val="32"/>
          <w:szCs w:val="32"/>
        </w:rPr>
      </w:pPr>
    </w:p>
    <w:p>
      <w:pPr>
        <w:spacing w:line="360" w:lineRule="auto"/>
        <w:ind w:firstLine="643"/>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第一部分  部门概况</w:t>
      </w:r>
    </w:p>
    <w:p>
      <w:pPr>
        <w:spacing w:line="360" w:lineRule="auto"/>
        <w:ind w:firstLine="643"/>
        <w:rPr>
          <w:rFonts w:ascii="仿宋_GB2312" w:hAnsi="仿宋" w:eastAsia="仿宋_GB2312" w:cs="仿宋"/>
          <w:b/>
          <w:bCs/>
          <w:sz w:val="32"/>
          <w:szCs w:val="32"/>
        </w:rPr>
      </w:pPr>
      <w:r>
        <w:rPr>
          <w:rFonts w:hint="eastAsia" w:ascii="仿宋_GB2312" w:hAnsi="仿宋" w:eastAsia="仿宋_GB2312" w:cs="仿宋"/>
          <w:b/>
          <w:bCs/>
          <w:sz w:val="32"/>
          <w:szCs w:val="32"/>
        </w:rPr>
        <w:t>一、部门主要职责及机构设置</w:t>
      </w:r>
    </w:p>
    <w:p>
      <w:pPr>
        <w:widowControl/>
        <w:shd w:val="clear" w:color="auto" w:fill="FFFFFF"/>
        <w:spacing w:before="100" w:beforeAutospacing="1" w:after="100" w:afterAutospacing="1" w:line="240" w:lineRule="auto"/>
        <w:ind w:firstLine="640"/>
        <w:jc w:val="left"/>
        <w:textAlignment w:val="baseline"/>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清姜街道办事处是渭滨区人民政府的派出机关，依据国家法律、法规规定，在本辖区内行使渭滨区人民政府赋予的职权。其主要职责是： </w:t>
      </w:r>
    </w:p>
    <w:p>
      <w:pPr>
        <w:widowControl/>
        <w:shd w:val="clear" w:color="auto" w:fill="FFFFFF"/>
        <w:spacing w:before="100" w:beforeAutospacing="1" w:after="100" w:afterAutospacing="1" w:line="240" w:lineRule="auto"/>
        <w:ind w:firstLine="640"/>
        <w:jc w:val="left"/>
        <w:textAlignment w:val="baseline"/>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1.强化公共服务，着力改善民生。负责辖区公共服务建设，提高社区服务质量，组织开展公益事业服务活动。协助区级有关部门搞好救灾救济、拥军优属、殡葬、老龄、妇幼及维护残疾人合法权益等工作。配合职能部门搞好辖区科技、教育、文化、食品、药品工作、居民社会养老保险、医保等社会保障工作及环境保护工作。 </w:t>
      </w:r>
    </w:p>
    <w:p>
      <w:pPr>
        <w:widowControl/>
        <w:shd w:val="clear" w:color="auto" w:fill="FFFFFF"/>
        <w:spacing w:before="100" w:beforeAutospacing="1" w:after="100" w:afterAutospacing="1" w:line="387" w:lineRule="atLeast"/>
        <w:ind w:firstLine="640"/>
        <w:jc w:val="left"/>
        <w:textAlignment w:val="baseline"/>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2.参与城市管理，提升文明水平。配合区级职能部门搞好市政建设、社区规划、数字化城市管理工作；指导、监督社区居委会履行物业管理和业主委员会筹建、换届工作；组织开展爱国卫生运动，搞好背街小巷保洁、绿化、亮化工作；开展创建文明单位、文明城市等工作。 </w:t>
      </w:r>
    </w:p>
    <w:p>
      <w:pPr>
        <w:widowControl/>
        <w:shd w:val="clear" w:color="auto" w:fill="FFFFFF"/>
        <w:spacing w:before="100" w:beforeAutospacing="1" w:after="100" w:afterAutospacing="1" w:line="387" w:lineRule="atLeast"/>
        <w:ind w:firstLine="640"/>
        <w:jc w:val="left"/>
        <w:textAlignment w:val="baseline"/>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3.创新社会管理，维护辖区稳定。加大平安建设宣传及普法教育、加强矛盾纠纷调处网络建设，做好群众来信、来访和宗教、人民调解、社区矫正、禁毒等工作，提升社会治安综合治理水平，维护社会稳定。加强流动人口管理，配合搞好人口与计划生育工作；指导社区居委会参与创新社会管理；配合区级有关部门搞好辖区应急、防汛、防震、抢险、人防、房管及安全生产和消防安全监督检查等工作。 </w:t>
      </w:r>
    </w:p>
    <w:p>
      <w:pPr>
        <w:widowControl/>
        <w:shd w:val="clear" w:color="auto" w:fill="FFFFFF"/>
        <w:spacing w:before="100" w:beforeAutospacing="1" w:after="100" w:afterAutospacing="1" w:line="387" w:lineRule="atLeast"/>
        <w:ind w:firstLine="640"/>
        <w:jc w:val="left"/>
        <w:textAlignment w:val="baseline"/>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4.优化发展环境，促进经济发展。配合有关方面搞好辖区产业规划制定，为固定资产投资、招商引资、商贸升级及产业结构调整等搞好服务；提供辖区有关经济统计数据。 </w:t>
      </w:r>
    </w:p>
    <w:p>
      <w:pPr>
        <w:widowControl/>
        <w:shd w:val="clear" w:color="auto" w:fill="FFFFFF"/>
        <w:spacing w:before="100" w:beforeAutospacing="1" w:after="100" w:afterAutospacing="1" w:line="387" w:lineRule="atLeast"/>
        <w:ind w:firstLine="640"/>
        <w:jc w:val="left"/>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5.加强组织建设，构建和谐社区。加强社区党组织建设、党员队伍建设和社区干部队伍建设；做好街道人大工委、群团、国防教育、兵役、民兵等工作；开展民主自治，增强社区自治功能；引导社会力量共建和谐社区。 </w:t>
      </w:r>
    </w:p>
    <w:p>
      <w:pPr>
        <w:widowControl/>
        <w:shd w:val="clear" w:color="auto" w:fill="FFFFFF"/>
        <w:spacing w:before="100" w:beforeAutospacing="1" w:after="100" w:afterAutospacing="1" w:line="387" w:lineRule="atLeast"/>
        <w:ind w:firstLine="640"/>
        <w:jc w:val="left"/>
        <w:textAlignment w:val="baseline"/>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6.完成区委、区政府交办的中心工作和其他工作。</w:t>
      </w:r>
    </w:p>
    <w:p>
      <w:pPr>
        <w:spacing w:line="360" w:lineRule="auto"/>
        <w:ind w:firstLine="640"/>
        <w:rPr>
          <w:rFonts w:ascii="仿宋_GB2312" w:hAnsi="宋体" w:eastAsia="仿宋_GB2312" w:cs="Helvetica"/>
          <w:kern w:val="0"/>
          <w:sz w:val="32"/>
          <w:szCs w:val="32"/>
        </w:rPr>
      </w:pPr>
      <w:r>
        <w:rPr>
          <w:rFonts w:hint="eastAsia" w:ascii="仿宋_GB2312" w:hAnsi="宋体" w:eastAsia="仿宋_GB2312" w:cs="Helvetica"/>
          <w:kern w:val="0"/>
          <w:sz w:val="32"/>
          <w:szCs w:val="32"/>
        </w:rPr>
        <w:t>清姜街道办事处现</w:t>
      </w:r>
      <w:r>
        <w:rPr>
          <w:rFonts w:hint="eastAsia" w:ascii="仿宋_GB2312" w:hAnsi="仿宋_GB2312" w:eastAsia="仿宋_GB2312" w:cs="仿宋_GB2312"/>
          <w:sz w:val="32"/>
          <w:szCs w:val="32"/>
        </w:rPr>
        <w:t>内设6个机构：</w:t>
      </w:r>
      <w:r>
        <w:rPr>
          <w:rFonts w:hint="eastAsia" w:ascii="仿宋_GB2312" w:hAnsi="宋体" w:eastAsia="仿宋_GB2312" w:cs="Helvetica"/>
          <w:kern w:val="0"/>
          <w:sz w:val="32"/>
          <w:szCs w:val="32"/>
        </w:rPr>
        <w:t>党政办公室、人大工作委员会、经济发展(市场监管)办公室(加挂自然资源所、生态环境所、不动产登记中心牌子)、社会事务管理办公室(加挂民政办公室牌子)、应急管理办公室(加挂司法所牌子)、宣传教科文卫办公室。下设4个事业机构:清姜街道办事处经济综合服务站、清姜街道办事处社会保障服务站、清姜街道办事处公用事业服务站(加挂文化站牌子)、清姜街道办事处便民服务中心。</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二、2021年度部门工作任务</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2021年，清姜街道办事处继续积极落实党中央、市、区委全会精神，围绕全区稳中求进总基调，以全区争第一、全市争位次、全省创一流的目标，维护稳定、管好城市、服务民生、创新管理、从严管党治党，努力开创和谐、务实、创新、争先的全新局面。 </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1、工作思路：继续以服务驻区企业、做好项目建设为抓手，以宝桥、烽火、凌云、宝成等大中型企业重点项目为重点，以优质的环境确保大项目落实户我辖区，市区重点项目顺利实施。加大招商引资力度，维护辖区社会稳定，切实抓好城市管理工作，加强干部队伍建设，提升服务水平，保持辖区经济平稳快速发展，促使辖区各项工作迈上新台阶。 2、主要工作：一是以服务驻区企业为重点，加大项目建设工作力度，推动辖区经济发展，努力完成经济指标；二是以各项创建为契机，深化创建活动，促进各项社会事业全面进步；三是以调处企地矛盾为抓手，全力维护安全稳定，保持辖区社会和谐；四是狠抓干部队伍作风，努力提高工作水平。</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三、部门预算单位构成</w:t>
      </w:r>
    </w:p>
    <w:p>
      <w:pPr>
        <w:widowControl/>
        <w:shd w:val="clear" w:color="auto" w:fill="FFFFFF"/>
        <w:spacing w:before="100" w:beforeAutospacing="1" w:after="100" w:afterAutospacing="1" w:line="387" w:lineRule="atLeast"/>
        <w:ind w:firstLine="640"/>
        <w:jc w:val="left"/>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从预算单位构成看，本单位为一级预算管理单位，经费管理使用财政集中支付方式。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5780"/>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widowControl/>
              <w:spacing w:before="100" w:beforeAutospacing="1" w:after="100" w:afterAutospacing="1" w:line="387" w:lineRule="atLeast"/>
              <w:ind w:firstLine="0" w:firstLineChars="0"/>
              <w:jc w:val="center"/>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序号</w:t>
            </w:r>
          </w:p>
        </w:tc>
        <w:tc>
          <w:tcPr>
            <w:tcW w:w="5780" w:type="dxa"/>
          </w:tcPr>
          <w:p>
            <w:pPr>
              <w:widowControl/>
              <w:spacing w:before="100" w:beforeAutospacing="1" w:after="100" w:afterAutospacing="1" w:line="387" w:lineRule="atLeast"/>
              <w:ind w:firstLine="0" w:firstLineChars="0"/>
              <w:jc w:val="center"/>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单位名称</w:t>
            </w:r>
          </w:p>
        </w:tc>
        <w:tc>
          <w:tcPr>
            <w:tcW w:w="2282" w:type="dxa"/>
          </w:tcPr>
          <w:p>
            <w:pPr>
              <w:widowControl/>
              <w:spacing w:before="100" w:beforeAutospacing="1" w:after="100" w:afterAutospacing="1" w:line="387" w:lineRule="atLeast"/>
              <w:ind w:firstLine="0" w:firstLineChars="0"/>
              <w:jc w:val="center"/>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tcPr>
          <w:p>
            <w:pPr>
              <w:widowControl/>
              <w:spacing w:before="100" w:beforeAutospacing="1" w:after="100" w:afterAutospacing="1" w:line="387" w:lineRule="atLeast"/>
              <w:ind w:firstLine="0" w:firstLineChars="0"/>
              <w:jc w:val="center"/>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1</w:t>
            </w:r>
          </w:p>
        </w:tc>
        <w:tc>
          <w:tcPr>
            <w:tcW w:w="5780" w:type="dxa"/>
          </w:tcPr>
          <w:p>
            <w:pPr>
              <w:widowControl/>
              <w:spacing w:before="100" w:beforeAutospacing="1" w:after="100" w:afterAutospacing="1" w:line="387" w:lineRule="atLeast"/>
              <w:ind w:firstLine="0" w:firstLineChars="0"/>
              <w:jc w:val="left"/>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宝鸡市渭滨区清姜街道办事:（行政）</w:t>
            </w:r>
          </w:p>
        </w:tc>
        <w:tc>
          <w:tcPr>
            <w:tcW w:w="2282" w:type="dxa"/>
          </w:tcPr>
          <w:p>
            <w:pPr>
              <w:widowControl/>
              <w:spacing w:before="100" w:beforeAutospacing="1" w:after="100" w:afterAutospacing="1" w:line="387" w:lineRule="atLeast"/>
              <w:ind w:firstLine="0" w:firstLineChars="0"/>
              <w:jc w:val="left"/>
              <w:rPr>
                <w:rFonts w:ascii="仿宋_GB2312" w:hAnsi="宋体" w:eastAsia="仿宋_GB2312" w:cs="Helvetica"/>
                <w:color w:val="333333"/>
                <w:kern w:val="0"/>
                <w:sz w:val="32"/>
                <w:szCs w:val="32"/>
              </w:rPr>
            </w:pPr>
          </w:p>
        </w:tc>
      </w:tr>
    </w:tbl>
    <w:p>
      <w:pPr>
        <w:spacing w:line="360" w:lineRule="auto"/>
        <w:ind w:firstLine="0" w:firstLineChars="0"/>
        <w:rPr>
          <w:rFonts w:ascii="仿宋_GB2312" w:hAnsi="宋体" w:eastAsia="仿宋_GB2312" w:cs="Helvetica"/>
          <w:b/>
          <w:color w:val="333333"/>
          <w:kern w:val="0"/>
          <w:sz w:val="32"/>
          <w:szCs w:val="32"/>
        </w:rPr>
      </w:pPr>
      <w:r>
        <w:rPr>
          <w:rFonts w:hint="eastAsia" w:ascii="仿宋_GB2312" w:hAnsi="宋体" w:eastAsia="仿宋_GB2312" w:cs="Helvetica"/>
          <w:color w:val="333333"/>
          <w:kern w:val="0"/>
          <w:sz w:val="32"/>
          <w:szCs w:val="32"/>
        </w:rPr>
        <w:t xml:space="preserve"> </w:t>
      </w:r>
      <w:r>
        <w:rPr>
          <w:rFonts w:hint="eastAsia" w:ascii="仿宋_GB2312" w:hAnsi="宋体" w:eastAsia="仿宋_GB2312" w:cs="Helvetica"/>
          <w:b/>
          <w:color w:val="333333"/>
          <w:kern w:val="0"/>
          <w:sz w:val="32"/>
          <w:szCs w:val="32"/>
        </w:rPr>
        <w:t xml:space="preserve">   四、部门人员情况说明</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截止2020年底，本部门人员编制25人，其中行政编制14人、事业编制11人；实有人员23人，其中行政10人、事业13人。单位管理的离退休人员 18 人（其中离休人员1人）</w:t>
      </w:r>
    </w:p>
    <w:p>
      <w:pPr>
        <w:spacing w:line="360" w:lineRule="auto"/>
        <w:ind w:firstLine="0" w:firstLineChars="0"/>
        <w:rPr>
          <w:rFonts w:ascii="仿宋_GB2312" w:hAnsi="宋体" w:eastAsia="仿宋_GB2312" w:cs="Helvetica"/>
          <w:color w:val="333333"/>
          <w:kern w:val="0"/>
          <w:sz w:val="32"/>
          <w:szCs w:val="32"/>
          <w:highlight w:val="yellow"/>
        </w:rPr>
      </w:pPr>
    </w:p>
    <w:p>
      <w:pPr>
        <w:spacing w:line="360" w:lineRule="auto"/>
        <w:ind w:firstLine="480"/>
        <w:rPr>
          <w:rFonts w:ascii="仿宋_GB2312" w:hAnsi="宋体" w:eastAsia="仿宋_GB2312" w:cs="Helvetica"/>
          <w:color w:val="333333"/>
          <w:kern w:val="0"/>
          <w:sz w:val="32"/>
          <w:szCs w:val="32"/>
        </w:rPr>
      </w:pPr>
      <w:r>
        <w:drawing>
          <wp:inline distT="0" distB="0" distL="114300" distR="114300">
            <wp:extent cx="4572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0"/>
        <w:rPr>
          <w:rFonts w:ascii="仿宋_GB2312" w:hAnsi="宋体" w:eastAsia="仿宋_GB2312" w:cs="Helvetica"/>
          <w:color w:val="333333"/>
          <w:kern w:val="0"/>
          <w:sz w:val="32"/>
          <w:szCs w:val="32"/>
        </w:rPr>
      </w:pPr>
      <w:bookmarkStart w:id="0" w:name="_GoBack"/>
      <w:bookmarkEnd w:id="0"/>
    </w:p>
    <w:p>
      <w:pPr>
        <w:spacing w:line="360" w:lineRule="auto"/>
        <w:ind w:firstLine="0" w:firstLineChars="0"/>
        <w:rPr>
          <w:rFonts w:ascii="仿宋_GB2312" w:hAnsi="宋体" w:eastAsia="仿宋_GB2312" w:cs="Helvetica"/>
          <w:color w:val="333333"/>
          <w:kern w:val="0"/>
          <w:sz w:val="32"/>
          <w:szCs w:val="32"/>
        </w:rPr>
      </w:pPr>
    </w:p>
    <w:p>
      <w:pPr>
        <w:spacing w:line="360" w:lineRule="auto"/>
        <w:ind w:firstLine="643"/>
        <w:jc w:val="center"/>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第二部分  收支情况</w:t>
      </w:r>
    </w:p>
    <w:p>
      <w:pPr>
        <w:spacing w:line="360" w:lineRule="auto"/>
        <w:ind w:firstLine="0" w:firstLineChars="0"/>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五、2021年部门预算收支说明</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（一）收支预算总体情况。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按照综合预算的原则，本单位所有收入和支出均纳入部门预算管理。2021年本部门预算收入342.4万元，其中一般公共预算拨款收入342.4万元，包括人员经费352.63万元和公用经费35.43万元，</w:t>
      </w:r>
    </w:p>
    <w:p>
      <w:pPr>
        <w:spacing w:line="360" w:lineRule="auto"/>
        <w:ind w:firstLine="0" w:firstLineChars="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全部为一般公共预算拨款支出，较上年388.06万元减少45.66万元，主要原因是人员、工资变动以及预算中减少了奖金并按照上级要求缩减了5%的办公经费；2021年本部门预算支出342.4万元，其中一般公共预算拨款支出342.4万元，2021年本部门预算支出较上年减少45.66万元，主要原因是人员、工资变动以及预算中减少了奖金并按照上级要求缩减了5%的办公经费。</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（二）财政拨款收支情况。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2021年本部门预算收入342.4万元，其中一般公共预算拨款收入342.4万元，包括人员经费311.23万元和公用经费28.42万元，全部为一般公共预算拨款支出，较上年388.06万元减少45.66万元，主要原因是人员工资变动以及预算中减少了奖金并按照上级要求缩减了5%的办公经费；2021年本部门预算支出342.4万元，其中一般公共预算拨款支出342.4万元，2021年本部门预算支出较上年减少45.66万元，主要原因是人员工资变动以及预算中减少了奖金并按照上级要求缩减了5%的办公经费。</w:t>
      </w:r>
    </w:p>
    <w:p>
      <w:pPr>
        <w:spacing w:line="360" w:lineRule="auto"/>
        <w:ind w:firstLine="643"/>
        <w:rPr>
          <w:rFonts w:ascii="仿宋_GB2312" w:hAnsi="宋体" w:eastAsia="仿宋_GB2312" w:cs="Helvetica"/>
          <w:color w:val="333333"/>
          <w:kern w:val="0"/>
          <w:sz w:val="32"/>
          <w:szCs w:val="32"/>
        </w:rPr>
      </w:pPr>
      <w:r>
        <w:rPr>
          <w:rFonts w:hint="eastAsia" w:ascii="仿宋_GB2312" w:hAnsi="宋体" w:eastAsia="仿宋_GB2312" w:cs="Helvetica"/>
          <w:b/>
          <w:color w:val="333333"/>
          <w:kern w:val="0"/>
          <w:sz w:val="32"/>
          <w:szCs w:val="32"/>
        </w:rPr>
        <w:t>（三）一般公共预算拨款支出明细情况</w:t>
      </w:r>
      <w:r>
        <w:rPr>
          <w:rFonts w:hint="eastAsia" w:ascii="仿宋_GB2312" w:hAnsi="宋体" w:eastAsia="仿宋_GB2312" w:cs="Helvetica"/>
          <w:color w:val="333333"/>
          <w:kern w:val="0"/>
          <w:sz w:val="32"/>
          <w:szCs w:val="32"/>
        </w:rPr>
        <w:t>。</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1、一般公共预算当年拨款规模变化情况。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2021年本部门预算收入342.4万元，较上年388.06万元减少45.66万元，主要原因是人员工资变动以及预算中减少了奖金并按照上级要求缩减了5%的办公经费。</w:t>
      </w:r>
    </w:p>
    <w:p>
      <w:pPr>
        <w:spacing w:line="360" w:lineRule="auto"/>
        <w:ind w:firstLine="480"/>
        <w:rPr>
          <w:rFonts w:ascii="仿宋_GB2312" w:hAnsi="宋体" w:eastAsia="仿宋_GB2312" w:cs="Helvetica"/>
          <w:color w:val="333333"/>
          <w:kern w:val="0"/>
          <w:sz w:val="32"/>
          <w:szCs w:val="32"/>
          <w:highlight w:val="yellow"/>
        </w:rPr>
      </w:pPr>
      <w:r>
        <w:drawing>
          <wp:inline distT="0" distB="0" distL="114300" distR="114300">
            <wp:extent cx="4698365" cy="2101215"/>
            <wp:effectExtent l="4445" t="4445" r="889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3"/>
        <w:rPr>
          <w:rFonts w:ascii="仿宋_GB2312" w:hAnsi="宋体" w:eastAsia="仿宋_GB2312" w:cs="Helvetica"/>
          <w:color w:val="333333"/>
          <w:kern w:val="0"/>
          <w:sz w:val="32"/>
          <w:szCs w:val="32"/>
        </w:rPr>
      </w:pPr>
      <w:r>
        <w:rPr>
          <w:rFonts w:hint="eastAsia" w:ascii="仿宋_GB2312" w:hAnsi="宋体" w:eastAsia="仿宋_GB2312" w:cs="Helvetica"/>
          <w:b/>
          <w:color w:val="333333"/>
          <w:kern w:val="0"/>
          <w:sz w:val="32"/>
          <w:szCs w:val="32"/>
        </w:rPr>
        <w:t>2、支出按功能科目分类的明细情况</w:t>
      </w:r>
      <w:r>
        <w:rPr>
          <w:rFonts w:hint="eastAsia" w:ascii="仿宋_GB2312" w:hAnsi="宋体" w:eastAsia="仿宋_GB2312" w:cs="Helvetica"/>
          <w:color w:val="333333"/>
          <w:kern w:val="0"/>
          <w:sz w:val="32"/>
          <w:szCs w:val="32"/>
        </w:rPr>
        <w:t>。</w:t>
      </w:r>
    </w:p>
    <w:p>
      <w:pPr>
        <w:widowControl/>
        <w:spacing w:before="100" w:beforeAutospacing="1" w:after="100" w:afterAutospacing="1" w:line="420" w:lineRule="atLeast"/>
        <w:ind w:firstLine="800" w:firstLineChars="250"/>
        <w:jc w:val="left"/>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（1）行政运行（2010301）301.0万元，较上年减少16.81万元，原因是人员工资变动以及预算中减少了奖金并按照上级要求缩减了5%的办公经费。</w:t>
      </w:r>
    </w:p>
    <w:p>
      <w:pPr>
        <w:widowControl/>
        <w:spacing w:before="100" w:beforeAutospacing="1" w:after="100" w:afterAutospacing="1" w:line="420" w:lineRule="atLeast"/>
        <w:ind w:firstLine="640"/>
        <w:jc w:val="left"/>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（2）基本养老保险缴费（2080505）25.3万元，较上年减少11.00万元，原因是单位人员及工资变动带来的缴费基数变化。</w:t>
      </w:r>
    </w:p>
    <w:p>
      <w:pPr>
        <w:widowControl/>
        <w:spacing w:before="100" w:beforeAutospacing="1" w:after="100" w:afterAutospacing="1" w:line="420" w:lineRule="atLeast"/>
        <w:ind w:firstLine="640"/>
        <w:jc w:val="left"/>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（3） 行政单位医疗（2101101）23.1万元，较上年减少7.00万元，原因是人员变化以及缴费基数变更。</w:t>
      </w:r>
    </w:p>
    <w:p>
      <w:pPr>
        <w:widowControl/>
        <w:spacing w:before="100" w:beforeAutospacing="1" w:after="100" w:afterAutospacing="1" w:line="420" w:lineRule="atLeast"/>
        <w:ind w:firstLine="480"/>
        <w:jc w:val="left"/>
        <w:rPr>
          <w:rFonts w:ascii="仿宋_GB2312" w:hAnsi="宋体" w:eastAsia="仿宋_GB2312" w:cs="Helvetica"/>
          <w:color w:val="333333"/>
          <w:kern w:val="0"/>
          <w:sz w:val="32"/>
          <w:szCs w:val="32"/>
        </w:rPr>
      </w:pPr>
      <w:r>
        <w:drawing>
          <wp:inline distT="0" distB="0" distL="114300" distR="114300">
            <wp:extent cx="4572000" cy="2743200"/>
            <wp:effectExtent l="4445" t="4445" r="8255" b="825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198" w:firstLineChars="62"/>
        <w:rPr>
          <w:rFonts w:ascii="仿宋_GB2312" w:hAnsi="宋体" w:eastAsia="仿宋_GB2312" w:cs="Helvetica"/>
          <w:b/>
          <w:color w:val="333333"/>
          <w:kern w:val="0"/>
          <w:sz w:val="32"/>
          <w:szCs w:val="32"/>
        </w:rPr>
      </w:pPr>
      <w:r>
        <w:rPr>
          <w:rFonts w:hint="eastAsia" w:ascii="仿宋_GB2312" w:hAnsi="宋体" w:eastAsia="仿宋_GB2312" w:cs="Helvetica"/>
          <w:color w:val="333333"/>
          <w:kern w:val="0"/>
          <w:sz w:val="32"/>
          <w:szCs w:val="32"/>
        </w:rPr>
        <w:t xml:space="preserve"> </w:t>
      </w:r>
      <w:r>
        <w:rPr>
          <w:rFonts w:hint="eastAsia" w:ascii="仿宋_GB2312" w:hAnsi="宋体" w:eastAsia="仿宋_GB2312" w:cs="Helvetica"/>
          <w:b/>
          <w:color w:val="333333"/>
          <w:kern w:val="0"/>
          <w:sz w:val="32"/>
          <w:szCs w:val="32"/>
        </w:rPr>
        <w:t xml:space="preserve"> 3、支出按经济科目分类的明细情况。</w:t>
      </w:r>
    </w:p>
    <w:p>
      <w:pPr>
        <w:spacing w:line="360" w:lineRule="auto"/>
        <w:ind w:firstLine="518" w:firstLineChars="162"/>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（1）按照部门预算支出经济分类的类级科目说明</w:t>
      </w:r>
      <w:r>
        <w:rPr>
          <w:rFonts w:hint="eastAsia" w:asciiTheme="minorEastAsia" w:hAnsiTheme="minorEastAsia" w:eastAsiaTheme="minorEastAsia" w:cstheme="minorEastAsia"/>
          <w:sz w:val="32"/>
          <w:szCs w:val="32"/>
        </w:rPr>
        <w:t>。</w:t>
      </w:r>
      <w:r>
        <w:rPr>
          <w:rFonts w:hint="eastAsia" w:ascii="仿宋_GB2312" w:hAnsi="宋体" w:eastAsia="仿宋_GB2312" w:cs="Helvetica"/>
          <w:color w:val="333333"/>
          <w:kern w:val="0"/>
          <w:sz w:val="32"/>
          <w:szCs w:val="32"/>
        </w:rPr>
        <w:t>2021年本部门当年一般公共预算支出342.4万元，其中：</w:t>
      </w:r>
    </w:p>
    <w:p>
      <w:pPr>
        <w:spacing w:line="360" w:lineRule="auto"/>
        <w:ind w:firstLine="480" w:firstLineChars="15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工资福利支出（301）311.23万元，较上年减少19.98万元，原因是人员减少、工资变动；</w:t>
      </w:r>
    </w:p>
    <w:p>
      <w:pPr>
        <w:spacing w:line="360" w:lineRule="auto"/>
        <w:ind w:firstLine="480" w:firstLineChars="15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商品和服务支出（302）28.42万元，较上年减少17.21万元，原因是人员变化及缩减办公经费；</w:t>
      </w:r>
    </w:p>
    <w:p>
      <w:pPr>
        <w:spacing w:line="360" w:lineRule="auto"/>
        <w:ind w:firstLine="480" w:firstLineChars="15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对个人和家庭的补助支出（303）17.95万元，较上年增加6.73万元，原因是人员变化及医疗补助预算科目变更。</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资本性支出（310）2.75万元，较上年减少0.2万元，原因是缩减办公经费。</w:t>
      </w:r>
    </w:p>
    <w:p>
      <w:pPr>
        <w:spacing w:line="360" w:lineRule="auto"/>
        <w:ind w:firstLine="640"/>
        <w:rPr>
          <w:rFonts w:ascii="仿宋" w:hAnsi="仿宋" w:eastAsia="仿宋" w:cs="仿宋"/>
          <w:sz w:val="32"/>
          <w:szCs w:val="32"/>
        </w:rPr>
      </w:pPr>
    </w:p>
    <w:p>
      <w:pPr>
        <w:spacing w:line="360" w:lineRule="auto"/>
        <w:ind w:firstLine="480"/>
        <w:rPr>
          <w:rFonts w:ascii="仿宋" w:hAnsi="仿宋" w:eastAsia="仿宋" w:cs="仿宋"/>
          <w:sz w:val="32"/>
          <w:szCs w:val="32"/>
        </w:rPr>
      </w:pPr>
      <w:r>
        <w:drawing>
          <wp:inline distT="0" distB="0" distL="114300" distR="114300">
            <wp:extent cx="4572000" cy="2743200"/>
            <wp:effectExtent l="4445" t="4445" r="8255" b="82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518" w:firstLineChars="162"/>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（2）按照政府预算支出经济分类的类级科目说明</w:t>
      </w:r>
      <w:r>
        <w:rPr>
          <w:rFonts w:hint="eastAsia" w:asciiTheme="minorEastAsia" w:hAnsiTheme="minorEastAsia" w:eastAsiaTheme="minorEastAsia" w:cstheme="minorEastAsia"/>
          <w:sz w:val="32"/>
          <w:szCs w:val="32"/>
        </w:rPr>
        <w:t>。</w:t>
      </w:r>
      <w:r>
        <w:rPr>
          <w:rFonts w:hint="eastAsia" w:ascii="仿宋_GB2312" w:hAnsi="宋体" w:eastAsia="仿宋_GB2312" w:cs="Helvetica"/>
          <w:color w:val="333333"/>
          <w:kern w:val="0"/>
          <w:sz w:val="32"/>
          <w:szCs w:val="32"/>
        </w:rPr>
        <w:t>2021年本部门当年一般公共预算支出342.4万元，其中：</w:t>
      </w:r>
    </w:p>
    <w:p>
      <w:pPr>
        <w:spacing w:line="360" w:lineRule="auto"/>
        <w:ind w:firstLine="480" w:firstLineChars="15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工资福利支出</w:t>
      </w:r>
      <w:r>
        <w:rPr>
          <w:rFonts w:hint="eastAsia" w:ascii="仿宋_GB2312" w:hAnsi="宋体" w:eastAsia="仿宋_GB2312" w:cs="Helvetica"/>
          <w:kern w:val="0"/>
          <w:sz w:val="32"/>
          <w:szCs w:val="32"/>
        </w:rPr>
        <w:t>（501）</w:t>
      </w:r>
      <w:r>
        <w:rPr>
          <w:rFonts w:hint="eastAsia" w:ascii="仿宋_GB2312" w:hAnsi="宋体" w:eastAsia="仿宋_GB2312" w:cs="Helvetica"/>
          <w:color w:val="333333"/>
          <w:kern w:val="0"/>
          <w:sz w:val="32"/>
          <w:szCs w:val="32"/>
        </w:rPr>
        <w:t>311.23万元，较上年减少19.98万元，原因是人员减少、工资变动；</w:t>
      </w:r>
    </w:p>
    <w:p>
      <w:pPr>
        <w:spacing w:line="360" w:lineRule="auto"/>
        <w:ind w:firstLine="480" w:firstLineChars="15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商品和服务支出（502）28.42万元，较上年减少17.21万元，原因是人员变化及缩减办公经费；</w:t>
      </w:r>
    </w:p>
    <w:p>
      <w:pPr>
        <w:spacing w:line="360" w:lineRule="auto"/>
        <w:ind w:firstLine="480" w:firstLineChars="15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对个人和家庭的补助支出（509）17.95万元，较上年增加6.73万元，原因是人员变化及医疗补助预算科目变更。</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资本性支出（510）2.75万元，较上年减少0.2万元，原因是缩减办公经费。</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4、2020年结转财政资金一般公共预算拨款支出情况。</w:t>
      </w:r>
    </w:p>
    <w:p>
      <w:pPr>
        <w:numPr>
          <w:ilvl w:val="0"/>
          <w:numId w:val="1"/>
        </w:num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按功能支出分类。</w:t>
      </w:r>
    </w:p>
    <w:p>
      <w:pPr>
        <w:spacing w:line="360" w:lineRule="auto"/>
        <w:ind w:firstLine="960" w:firstLineChars="30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本部门无2020年结转的一般公共预算拨款支出。</w:t>
      </w:r>
    </w:p>
    <w:p>
      <w:pPr>
        <w:numPr>
          <w:ilvl w:val="0"/>
          <w:numId w:val="1"/>
        </w:num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按部门预算支出经济分类</w:t>
      </w:r>
    </w:p>
    <w:p>
      <w:pPr>
        <w:spacing w:line="360" w:lineRule="auto"/>
        <w:ind w:firstLine="960" w:firstLineChars="30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本部门无2020年结转的一般公共预算拨款支出</w:t>
      </w:r>
    </w:p>
    <w:p>
      <w:pPr>
        <w:numPr>
          <w:ilvl w:val="0"/>
          <w:numId w:val="1"/>
        </w:num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按政府预算支出经济分类。</w:t>
      </w:r>
    </w:p>
    <w:p>
      <w:pPr>
        <w:spacing w:line="360" w:lineRule="auto"/>
        <w:ind w:firstLine="0" w:firstLineChars="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 xml:space="preserve">     本部门无2020年结转的一般公共预算拨款支出</w:t>
      </w:r>
    </w:p>
    <w:p>
      <w:pPr>
        <w:spacing w:line="360" w:lineRule="auto"/>
        <w:ind w:firstLine="482" w:firstLineChars="150"/>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（四）政府性基金预算支出情况。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1、当年政府性基金预算支出情况。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本部门无当年政府性基金预算收支并已公开空表。</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2、上年结转政府性基金预算支出情况。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本部门无2020年结转的政府性基金预算拨款支出。</w:t>
      </w:r>
    </w:p>
    <w:p>
      <w:pPr>
        <w:spacing w:line="360" w:lineRule="auto"/>
        <w:ind w:firstLine="357" w:firstLineChars="111"/>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（五）国有资本经营预算拨款收支情况。</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本部门无当年国有资本经营预算拨款收支，并在财政拨款收支总体情况表中列示。</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本部门无2020年结转的国有资本经营预算拨款支出。</w:t>
      </w:r>
    </w:p>
    <w:p>
      <w:pPr>
        <w:spacing w:line="360" w:lineRule="auto"/>
        <w:ind w:firstLine="643"/>
        <w:jc w:val="center"/>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第三部分  其他说明情况</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六、部门预算“三公”经费等预算情况说明</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2021 年“三公”经费预算0元，其中因公出国（境）费用 0元，公务用车购置运行费0元，公务接待费用0元。因公车改革已无公车,因此公车购置及运行维护费为0元，较去年同期持平,并已公开空表。</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2021年本部门会议费０元，较去年持平；培训费０元，较上年2000元减少100%，原因是压缩支出，厉行节约。</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七、部门国有资产占有使用及资产购置情况说明</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截止2020年底，本部门共有车辆0辆，单价20万元以上的设备0台（套）。2021年当年部门预算安排购置车辆0辆；安排购置单价20万元以上的设备0台（套）。</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本部门无2020年结转的财政拨款支出资产购置。</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八、部门政府采购情况说明</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2021年本部门政府采购预算共2.75万元，用于政府采购货物类预算2.75万元、政府采购服务类预算0元、政府采购工程类预算0元。本部门无2020年结转的政府采购资金支出。</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九、部门预算绩效目标说明</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2021年本部门绩效目标管理全覆盖，涉及当年一般公共预算拨款342.4万元（详见公开报表中的绩效目标表）。</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本部门无2020年结转的财政拨款支出涉及的绩效目标管理。</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十、机关运行经费安排说明</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本部门当年机关运行经费预算安排28.42万元，较上年减少17.21万元，原因是人员变化及缩减办公经费。</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本部门无2020年结转的财政拨款机关运行经费支出。</w:t>
      </w:r>
    </w:p>
    <w:p>
      <w:pPr>
        <w:spacing w:line="360" w:lineRule="auto"/>
        <w:ind w:firstLine="643"/>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十一、专业名词解释</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_GB2312" w:hAnsi="宋体" w:eastAsia="仿宋_GB2312" w:cs="Helvetica"/>
          <w:b/>
          <w:color w:val="333333"/>
          <w:kern w:val="0"/>
          <w:sz w:val="32"/>
          <w:szCs w:val="32"/>
        </w:rPr>
      </w:pPr>
      <w:r>
        <w:rPr>
          <w:rFonts w:hint="eastAsia" w:ascii="仿宋_GB2312" w:hAnsi="宋体" w:eastAsia="仿宋_GB2312" w:cs="Helvetica"/>
          <w:b/>
          <w:color w:val="333333"/>
          <w:kern w:val="0"/>
          <w:sz w:val="32"/>
          <w:szCs w:val="32"/>
        </w:rPr>
        <w:t>第四部分  公开报表</w:t>
      </w:r>
    </w:p>
    <w:p>
      <w:pPr>
        <w:spacing w:line="360" w:lineRule="auto"/>
        <w:ind w:firstLine="640"/>
        <w:rPr>
          <w:rFonts w:ascii="仿宋_GB2312" w:hAnsi="宋体" w:eastAsia="仿宋_GB2312" w:cs="Helvetica"/>
          <w:color w:val="333333"/>
          <w:kern w:val="0"/>
          <w:sz w:val="32"/>
          <w:szCs w:val="32"/>
        </w:rPr>
      </w:pPr>
      <w:r>
        <w:rPr>
          <w:rFonts w:hint="eastAsia" w:ascii="仿宋_GB2312" w:hAnsi="宋体" w:eastAsia="仿宋_GB2312" w:cs="Helvetica"/>
          <w:color w:val="333333"/>
          <w:kern w:val="0"/>
          <w:sz w:val="32"/>
          <w:szCs w:val="32"/>
        </w:rPr>
        <w:t>（见附件2内容）</w:t>
      </w:r>
      <w:r>
        <w:rPr>
          <w:rFonts w:hint="eastAsia" w:ascii="仿宋_GB2312" w:hAnsi="宋体" w:eastAsia="仿宋_GB2312" w:cs="Helvetica"/>
          <w:color w:val="333333"/>
          <w:kern w:val="0"/>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FB2B7"/>
    <w:multiLevelType w:val="singleLevel"/>
    <w:tmpl w:val="C97FB2B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ED0381D"/>
    <w:rsid w:val="00023121"/>
    <w:rsid w:val="00076998"/>
    <w:rsid w:val="000F1007"/>
    <w:rsid w:val="001025D2"/>
    <w:rsid w:val="00105FDD"/>
    <w:rsid w:val="001340FB"/>
    <w:rsid w:val="00172AB0"/>
    <w:rsid w:val="00174819"/>
    <w:rsid w:val="001A1696"/>
    <w:rsid w:val="001A3557"/>
    <w:rsid w:val="001F1810"/>
    <w:rsid w:val="001F7D47"/>
    <w:rsid w:val="0021429A"/>
    <w:rsid w:val="00243905"/>
    <w:rsid w:val="00266C82"/>
    <w:rsid w:val="00290621"/>
    <w:rsid w:val="00294AC8"/>
    <w:rsid w:val="003008B3"/>
    <w:rsid w:val="00322A7A"/>
    <w:rsid w:val="0039048A"/>
    <w:rsid w:val="0039446A"/>
    <w:rsid w:val="00492111"/>
    <w:rsid w:val="004F25FE"/>
    <w:rsid w:val="004F5843"/>
    <w:rsid w:val="005512CB"/>
    <w:rsid w:val="00554E7C"/>
    <w:rsid w:val="0056720A"/>
    <w:rsid w:val="005D4175"/>
    <w:rsid w:val="00615565"/>
    <w:rsid w:val="00644BAD"/>
    <w:rsid w:val="00674D00"/>
    <w:rsid w:val="00703885"/>
    <w:rsid w:val="007449A0"/>
    <w:rsid w:val="00756162"/>
    <w:rsid w:val="00786C31"/>
    <w:rsid w:val="007E1387"/>
    <w:rsid w:val="007F2E2B"/>
    <w:rsid w:val="008125C1"/>
    <w:rsid w:val="0082340F"/>
    <w:rsid w:val="00850648"/>
    <w:rsid w:val="0090333D"/>
    <w:rsid w:val="0093496F"/>
    <w:rsid w:val="00983F86"/>
    <w:rsid w:val="009C53D9"/>
    <w:rsid w:val="00AC039F"/>
    <w:rsid w:val="00AE51DE"/>
    <w:rsid w:val="00AE71D3"/>
    <w:rsid w:val="00B111E2"/>
    <w:rsid w:val="00BC0D1F"/>
    <w:rsid w:val="00C02C77"/>
    <w:rsid w:val="00C2131E"/>
    <w:rsid w:val="00CD66B0"/>
    <w:rsid w:val="00CE1AE3"/>
    <w:rsid w:val="00D32719"/>
    <w:rsid w:val="00D4268E"/>
    <w:rsid w:val="00D526FF"/>
    <w:rsid w:val="00D82A29"/>
    <w:rsid w:val="00D8635E"/>
    <w:rsid w:val="00DB22EA"/>
    <w:rsid w:val="00DE30C2"/>
    <w:rsid w:val="00E34A7C"/>
    <w:rsid w:val="00E5019F"/>
    <w:rsid w:val="00E514E6"/>
    <w:rsid w:val="00EC5407"/>
    <w:rsid w:val="00ED4E88"/>
    <w:rsid w:val="00F76B3A"/>
    <w:rsid w:val="00F82A76"/>
    <w:rsid w:val="00FF7E29"/>
    <w:rsid w:val="01026E2A"/>
    <w:rsid w:val="01D75086"/>
    <w:rsid w:val="079E236F"/>
    <w:rsid w:val="0B871137"/>
    <w:rsid w:val="0D6079D2"/>
    <w:rsid w:val="16356B7A"/>
    <w:rsid w:val="17CD6DAC"/>
    <w:rsid w:val="1A6752E8"/>
    <w:rsid w:val="1D07280D"/>
    <w:rsid w:val="1ED0381D"/>
    <w:rsid w:val="1FDB4FD4"/>
    <w:rsid w:val="20D5250A"/>
    <w:rsid w:val="2160394D"/>
    <w:rsid w:val="23FE3E99"/>
    <w:rsid w:val="26500E0C"/>
    <w:rsid w:val="2A1F4AC7"/>
    <w:rsid w:val="2B304D31"/>
    <w:rsid w:val="2C054951"/>
    <w:rsid w:val="2D334C59"/>
    <w:rsid w:val="2E475CB6"/>
    <w:rsid w:val="2EB13916"/>
    <w:rsid w:val="35685A8E"/>
    <w:rsid w:val="37F27A66"/>
    <w:rsid w:val="38050FF2"/>
    <w:rsid w:val="3CBE79F5"/>
    <w:rsid w:val="3DC218CE"/>
    <w:rsid w:val="3E911DDC"/>
    <w:rsid w:val="3EC119DA"/>
    <w:rsid w:val="3FFD74EF"/>
    <w:rsid w:val="41683945"/>
    <w:rsid w:val="423A57B9"/>
    <w:rsid w:val="431E0FCA"/>
    <w:rsid w:val="48B73029"/>
    <w:rsid w:val="4BD25EA3"/>
    <w:rsid w:val="4EAD6655"/>
    <w:rsid w:val="50604465"/>
    <w:rsid w:val="50F918F4"/>
    <w:rsid w:val="545B2F6F"/>
    <w:rsid w:val="56F87542"/>
    <w:rsid w:val="57832A1D"/>
    <w:rsid w:val="595F598E"/>
    <w:rsid w:val="5AC92BEC"/>
    <w:rsid w:val="5AF16C19"/>
    <w:rsid w:val="6D9A60FB"/>
    <w:rsid w:val="704D0BB4"/>
    <w:rsid w:val="70754A43"/>
    <w:rsid w:val="70A91A74"/>
    <w:rsid w:val="70DA224B"/>
    <w:rsid w:val="73A67801"/>
    <w:rsid w:val="777675B1"/>
    <w:rsid w:val="7A2345C4"/>
    <w:rsid w:val="7AA63962"/>
    <w:rsid w:val="7E4C7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部门人员情况表</a:t>
            </a:r>
          </a:p>
        </c:rich>
      </c:tx>
      <c:layout/>
      <c:overlay val="0"/>
      <c:spPr>
        <a:noFill/>
        <a:ln>
          <a:noFill/>
        </a:ln>
        <a:effectLst/>
      </c:spPr>
    </c:title>
    <c:autoTitleDeleted val="0"/>
    <c:plotArea>
      <c:layout/>
      <c:barChart>
        <c:barDir val="col"/>
        <c:grouping val="clustered"/>
        <c:varyColors val="0"/>
        <c:ser>
          <c:idx val="0"/>
          <c:order val="0"/>
          <c:tx>
            <c:strRef>
              <c:f>'[新建 XLSX 工作表.xlsx]Sheet1'!$A$3</c:f>
              <c:strCache>
                <c:ptCount val="1"/>
                <c:pt idx="0">
                  <c:v>编制数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XLSX 工作表.xlsx]Sheet1'!$B$1:$E$2</c:f>
              <c:multiLvlStrCache>
                <c:ptCount val="4"/>
                <c:lvl>
                  <c:pt idx="0">
                    <c:v>编制人数</c:v>
                  </c:pt>
                  <c:pt idx="1">
                    <c:v>行政人数</c:v>
                  </c:pt>
                  <c:pt idx="2">
                    <c:v>事业人数</c:v>
                  </c:pt>
                  <c:pt idx="3">
                    <c:v>离（退）休人数</c:v>
                  </c:pt>
                </c:lvl>
                <c:lvl/>
              </c:multiLvlStrCache>
            </c:multiLvlStrRef>
          </c:cat>
          <c:val>
            <c:numRef>
              <c:f>'[新建 XLSX 工作表.xlsx]Sheet1'!$B$3:$E$3</c:f>
              <c:numCache>
                <c:formatCode>General</c:formatCode>
                <c:ptCount val="4"/>
                <c:pt idx="0">
                  <c:v>25</c:v>
                </c:pt>
                <c:pt idx="1">
                  <c:v>14</c:v>
                </c:pt>
                <c:pt idx="2">
                  <c:v>11</c:v>
                </c:pt>
                <c:pt idx="3">
                  <c:v>18</c:v>
                </c:pt>
              </c:numCache>
            </c:numRef>
          </c:val>
        </c:ser>
        <c:ser>
          <c:idx val="1"/>
          <c:order val="1"/>
          <c:tx>
            <c:strRef>
              <c:f>'[新建 XLSX 工作表.xlsx]Sheet1'!$A$4</c:f>
              <c:strCache>
                <c:ptCount val="1"/>
                <c:pt idx="0">
                  <c:v>实有数</c:v>
                </c:pt>
              </c:strCache>
            </c:strRef>
          </c:tx>
          <c:spPr>
            <a:solidFill>
              <a:schemeClr val="accent2"/>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1</a:t>
                    </a:r>
                    <a:r>
                      <a:rPr lang="en-US" altLang="zh-CN"/>
                      <a:t>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XLSX 工作表.xlsx]Sheet1'!$B$1:$E$2</c:f>
              <c:multiLvlStrCache>
                <c:ptCount val="4"/>
                <c:lvl>
                  <c:pt idx="0">
                    <c:v>编制人数</c:v>
                  </c:pt>
                  <c:pt idx="1">
                    <c:v>行政人数</c:v>
                  </c:pt>
                  <c:pt idx="2">
                    <c:v>事业人数</c:v>
                  </c:pt>
                  <c:pt idx="3">
                    <c:v>离（退）休人数</c:v>
                  </c:pt>
                </c:lvl>
                <c:lvl/>
              </c:multiLvlStrCache>
            </c:multiLvlStrRef>
          </c:cat>
          <c:val>
            <c:numRef>
              <c:f>'[新建 XLSX 工作表.xlsx]Sheet1'!$B$4:$E$4</c:f>
              <c:numCache>
                <c:formatCode>General</c:formatCode>
                <c:ptCount val="4"/>
                <c:pt idx="0">
                  <c:v>23</c:v>
                </c:pt>
                <c:pt idx="1">
                  <c:v>9</c:v>
                </c:pt>
                <c:pt idx="2">
                  <c:v>14</c:v>
                </c:pt>
                <c:pt idx="3">
                  <c:v>18</c:v>
                </c:pt>
              </c:numCache>
            </c:numRef>
          </c:val>
        </c:ser>
        <c:dLbls>
          <c:showLegendKey val="0"/>
          <c:showVal val="1"/>
          <c:showCatName val="0"/>
          <c:showSerName val="0"/>
          <c:showPercent val="0"/>
          <c:showBubbleSize val="0"/>
        </c:dLbls>
        <c:gapWidth val="219"/>
        <c:overlap val="-27"/>
        <c:axId val="77661696"/>
        <c:axId val="77663232"/>
      </c:barChart>
      <c:catAx>
        <c:axId val="7766169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63232"/>
        <c:crosses val="autoZero"/>
        <c:auto val="1"/>
        <c:lblAlgn val="ctr"/>
        <c:lblOffset val="100"/>
        <c:noMultiLvlLbl val="0"/>
      </c:catAx>
      <c:valAx>
        <c:axId val="7766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66169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一般公共预算上下年对比</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XLSX 工作表.xlsx]Sheet1'!$A$2:$A$3</c:f>
              <c:strCache>
                <c:ptCount val="2"/>
                <c:pt idx="0">
                  <c:v>2020年</c:v>
                </c:pt>
                <c:pt idx="1">
                  <c:v>2021年</c:v>
                </c:pt>
              </c:strCache>
            </c:strRef>
          </c:cat>
          <c:val>
            <c:numRef>
              <c:f>'[新建 XLSX 工作表.xlsx]Sheet1'!$B$2:$B$3</c:f>
              <c:numCache>
                <c:formatCode>General</c:formatCode>
                <c:ptCount val="2"/>
                <c:pt idx="0">
                  <c:v>388.06</c:v>
                </c:pt>
                <c:pt idx="1">
                  <c:v>342.4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支出功能科目分类上下年对比</a:t>
            </a:r>
          </a:p>
        </c:rich>
      </c:tx>
      <c:layout/>
      <c:overlay val="0"/>
      <c:spPr>
        <a:noFill/>
        <a:ln>
          <a:noFill/>
        </a:ln>
        <a:effectLst/>
      </c:spPr>
    </c:title>
    <c:autoTitleDeleted val="0"/>
    <c:plotArea>
      <c:layout>
        <c:manualLayout>
          <c:layoutTarget val="inner"/>
          <c:xMode val="edge"/>
          <c:yMode val="edge"/>
          <c:x val="0.0748055555555556"/>
          <c:y val="0.171759259259259"/>
          <c:w val="0.894638888888889"/>
          <c:h val="0.606805555555556"/>
        </c:manualLayout>
      </c:layout>
      <c:barChart>
        <c:barDir val="col"/>
        <c:grouping val="clustered"/>
        <c:varyColors val="0"/>
        <c:ser>
          <c:idx val="0"/>
          <c:order val="0"/>
          <c:tx>
            <c:strRef>
              <c:f>'[新建 XLSX 工作表.xlsx]Sheet1'!$A$3</c:f>
              <c:strCache>
                <c:ptCount val="1"/>
                <c:pt idx="0">
                  <c:v>2020年</c:v>
                </c:pt>
              </c:strCache>
            </c:strRef>
          </c:tx>
          <c:spPr>
            <a:solidFill>
              <a:srgbClr val="00B0F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工作表.xlsx]Sheet1'!$B$2:$E$2</c:f>
              <c:strCache>
                <c:ptCount val="4"/>
                <c:pt idx="0">
                  <c:v>行政运行</c:v>
                </c:pt>
                <c:pt idx="1">
                  <c:v>养老保险缴费</c:v>
                </c:pt>
                <c:pt idx="2">
                  <c:v>医疗保险缴费</c:v>
                </c:pt>
              </c:strCache>
            </c:strRef>
          </c:cat>
          <c:val>
            <c:numRef>
              <c:f>'[新建 XLSX 工作表.xlsx]Sheet1'!$B$3:$E$3</c:f>
              <c:numCache>
                <c:formatCode>General</c:formatCode>
                <c:ptCount val="4"/>
                <c:pt idx="0">
                  <c:v>317.81</c:v>
                </c:pt>
                <c:pt idx="1">
                  <c:v>36.3</c:v>
                </c:pt>
                <c:pt idx="2">
                  <c:v>23.1</c:v>
                </c:pt>
              </c:numCache>
            </c:numRef>
          </c:val>
        </c:ser>
        <c:ser>
          <c:idx val="1"/>
          <c:order val="1"/>
          <c:tx>
            <c:strRef>
              <c:f>'[新建 XLSX 工作表.xlsx]Sheet1'!$A$4</c:f>
              <c:strCache>
                <c:ptCount val="1"/>
                <c:pt idx="0">
                  <c:v>2021年</c:v>
                </c:pt>
              </c:strCache>
            </c:strRef>
          </c:tx>
          <c:spPr>
            <a:solidFill>
              <a:srgbClr val="FFFF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工作表.xlsx]Sheet1'!$B$2:$E$2</c:f>
              <c:strCache>
                <c:ptCount val="4"/>
                <c:pt idx="0">
                  <c:v>行政运行</c:v>
                </c:pt>
                <c:pt idx="1">
                  <c:v>养老保险缴费</c:v>
                </c:pt>
                <c:pt idx="2">
                  <c:v>医疗保险缴费</c:v>
                </c:pt>
              </c:strCache>
            </c:strRef>
          </c:cat>
          <c:val>
            <c:numRef>
              <c:f>'[新建 XLSX 工作表.xlsx]Sheet1'!$B$4:$E$4</c:f>
              <c:numCache>
                <c:formatCode>General</c:formatCode>
                <c:ptCount val="4"/>
                <c:pt idx="0">
                  <c:v>301</c:v>
                </c:pt>
                <c:pt idx="1">
                  <c:v>25.3</c:v>
                </c:pt>
                <c:pt idx="2">
                  <c:v>16.1</c:v>
                </c:pt>
              </c:numCache>
            </c:numRef>
          </c:val>
        </c:ser>
        <c:dLbls>
          <c:showLegendKey val="0"/>
          <c:showVal val="1"/>
          <c:showCatName val="0"/>
          <c:showSerName val="0"/>
          <c:showPercent val="0"/>
          <c:showBubbleSize val="0"/>
        </c:dLbls>
        <c:gapWidth val="219"/>
        <c:overlap val="-27"/>
        <c:axId val="87125376"/>
        <c:axId val="87131264"/>
      </c:barChart>
      <c:catAx>
        <c:axId val="871253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31264"/>
        <c:crosses val="autoZero"/>
        <c:auto val="1"/>
        <c:lblAlgn val="ctr"/>
        <c:lblOffset val="100"/>
        <c:noMultiLvlLbl val="0"/>
      </c:catAx>
      <c:valAx>
        <c:axId val="8713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1253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支出经济科目分类上下年对比</a:t>
            </a:r>
          </a:p>
        </c:rich>
      </c:tx>
      <c:layout/>
      <c:overlay val="0"/>
      <c:spPr>
        <a:noFill/>
        <a:ln>
          <a:noFill/>
        </a:ln>
        <a:effectLst/>
      </c:spPr>
    </c:title>
    <c:autoTitleDeleted val="0"/>
    <c:plotArea>
      <c:layout/>
      <c:barChart>
        <c:barDir val="col"/>
        <c:grouping val="clustered"/>
        <c:varyColors val="0"/>
        <c:ser>
          <c:idx val="0"/>
          <c:order val="0"/>
          <c:tx>
            <c:strRef>
              <c:f>'[新建 XLSX 工作表.xlsx]Sheet1'!$A$3</c:f>
              <c:strCache>
                <c:ptCount val="1"/>
                <c:pt idx="0">
                  <c:v>2020年</c:v>
                </c:pt>
              </c:strCache>
            </c:strRef>
          </c:tx>
          <c:spPr>
            <a:solidFill>
              <a:schemeClr val="accent1"/>
            </a:solidFill>
            <a:ln>
              <a:noFill/>
            </a:ln>
            <a:effectLst/>
          </c:spPr>
          <c:invertIfNegative val="0"/>
          <c:dLbls>
            <c:delete val="1"/>
          </c:dLbls>
          <c:cat>
            <c:strRef>
              <c:f>'[新建 XLSX 工作表.xlsx]Sheet1'!$B$2:$F$2</c:f>
              <c:strCache>
                <c:ptCount val="5"/>
                <c:pt idx="0">
                  <c:v>工资福利</c:v>
                </c:pt>
                <c:pt idx="1">
                  <c:v>商品和服务</c:v>
                </c:pt>
                <c:pt idx="2">
                  <c:v>对个人和家族补助</c:v>
                </c:pt>
                <c:pt idx="3">
                  <c:v>资本性支出</c:v>
                </c:pt>
              </c:strCache>
            </c:strRef>
          </c:cat>
          <c:val>
            <c:numRef>
              <c:f>'[新建 XLSX 工作表.xlsx]Sheet1'!$B$3:$F$3</c:f>
              <c:numCache>
                <c:formatCode>General</c:formatCode>
                <c:ptCount val="5"/>
                <c:pt idx="0">
                  <c:v>331.21</c:v>
                </c:pt>
                <c:pt idx="1">
                  <c:v>45.63</c:v>
                </c:pt>
                <c:pt idx="2">
                  <c:v>11.22</c:v>
                </c:pt>
                <c:pt idx="3">
                  <c:v>2.95</c:v>
                </c:pt>
              </c:numCache>
            </c:numRef>
          </c:val>
        </c:ser>
        <c:ser>
          <c:idx val="1"/>
          <c:order val="1"/>
          <c:tx>
            <c:strRef>
              <c:f>'[新建 XLSX 工作表.xlsx]Sheet1'!$A$4</c:f>
              <c:strCache>
                <c:ptCount val="1"/>
                <c:pt idx="0">
                  <c:v>2021年</c:v>
                </c:pt>
              </c:strCache>
            </c:strRef>
          </c:tx>
          <c:spPr>
            <a:solidFill>
              <a:schemeClr val="accent2"/>
            </a:solidFill>
            <a:ln>
              <a:noFill/>
            </a:ln>
            <a:effectLst/>
          </c:spPr>
          <c:invertIfNegative val="0"/>
          <c:dLbls>
            <c:delete val="1"/>
          </c:dLbls>
          <c:cat>
            <c:strRef>
              <c:f>'[新建 XLSX 工作表.xlsx]Sheet1'!$B$2:$F$2</c:f>
              <c:strCache>
                <c:ptCount val="5"/>
                <c:pt idx="0">
                  <c:v>工资福利</c:v>
                </c:pt>
                <c:pt idx="1">
                  <c:v>商品和服务</c:v>
                </c:pt>
                <c:pt idx="2">
                  <c:v>对个人和家族补助</c:v>
                </c:pt>
                <c:pt idx="3">
                  <c:v>资本性支出</c:v>
                </c:pt>
              </c:strCache>
            </c:strRef>
          </c:cat>
          <c:val>
            <c:numRef>
              <c:f>'[新建 XLSX 工作表.xlsx]Sheet1'!$B$4:$F$4</c:f>
              <c:numCache>
                <c:formatCode>General</c:formatCode>
                <c:ptCount val="5"/>
                <c:pt idx="0">
                  <c:v>311.23</c:v>
                </c:pt>
                <c:pt idx="1">
                  <c:v>28.42</c:v>
                </c:pt>
                <c:pt idx="2">
                  <c:v>17.95</c:v>
                </c:pt>
                <c:pt idx="3">
                  <c:v>2.75</c:v>
                </c:pt>
              </c:numCache>
            </c:numRef>
          </c:val>
        </c:ser>
        <c:dLbls>
          <c:showLegendKey val="0"/>
          <c:showVal val="0"/>
          <c:showCatName val="0"/>
          <c:showSerName val="0"/>
          <c:showPercent val="0"/>
          <c:showBubbleSize val="0"/>
        </c:dLbls>
        <c:gapWidth val="219"/>
        <c:overlap val="-27"/>
        <c:axId val="47393024"/>
        <c:axId val="47403008"/>
      </c:barChart>
      <c:catAx>
        <c:axId val="473930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403008"/>
        <c:crosses val="autoZero"/>
        <c:auto val="1"/>
        <c:lblAlgn val="ctr"/>
        <c:lblOffset val="100"/>
        <c:noMultiLvlLbl val="0"/>
      </c:catAx>
      <c:valAx>
        <c:axId val="4740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3930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3946</Words>
  <Characters>513</Characters>
  <Lines>4</Lines>
  <Paragraphs>8</Paragraphs>
  <TotalTime>24</TotalTime>
  <ScaleCrop>false</ScaleCrop>
  <LinksUpToDate>false</LinksUpToDate>
  <CharactersWithSpaces>4451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minnie</cp:lastModifiedBy>
  <dcterms:modified xsi:type="dcterms:W3CDTF">2021-04-14T02:38:22Z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A9B234B6726E4262B415591D76399FCC</vt:lpwstr>
  </property>
</Properties>
</file>