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DC" w:rsidRDefault="00A026DC" w:rsidP="00A026DC">
      <w:pPr>
        <w:jc w:val="center"/>
        <w:rPr>
          <w:rFonts w:ascii="黑体" w:eastAsia="黑体" w:hAnsi="黑体"/>
          <w:sz w:val="36"/>
          <w:szCs w:val="36"/>
        </w:rPr>
      </w:pPr>
    </w:p>
    <w:p w:rsidR="00A026DC" w:rsidRDefault="00ED71CF" w:rsidP="00A026DC">
      <w:pPr>
        <w:jc w:val="center"/>
        <w:rPr>
          <w:rFonts w:ascii="黑体" w:eastAsia="黑体" w:hAnsi="黑体"/>
          <w:sz w:val="36"/>
          <w:szCs w:val="36"/>
        </w:rPr>
      </w:pPr>
      <w:r>
        <w:rPr>
          <w:rFonts w:ascii="黑体" w:eastAsia="黑体" w:hAnsi="黑体" w:cs="黑体" w:hint="eastAsia"/>
          <w:sz w:val="36"/>
          <w:szCs w:val="36"/>
        </w:rPr>
        <w:t>宝鸡市渭滨区金陵街道办事处</w:t>
      </w:r>
    </w:p>
    <w:p w:rsidR="00A026DC" w:rsidRDefault="00A026DC" w:rsidP="00A026DC">
      <w:pPr>
        <w:jc w:val="center"/>
        <w:rPr>
          <w:rFonts w:ascii="黑体" w:eastAsia="黑体" w:hAnsi="黑体"/>
          <w:sz w:val="36"/>
          <w:szCs w:val="36"/>
        </w:rPr>
      </w:pPr>
      <w:r>
        <w:rPr>
          <w:rFonts w:ascii="黑体" w:eastAsia="黑体" w:hAnsi="黑体" w:cs="黑体" w:hint="eastAsia"/>
          <w:sz w:val="36"/>
          <w:szCs w:val="36"/>
        </w:rPr>
        <w:t>2021年部门综合预算</w:t>
      </w:r>
    </w:p>
    <w:p w:rsidR="00A026DC" w:rsidRDefault="00A026DC" w:rsidP="00A026DC"/>
    <w:p w:rsidR="00A026DC" w:rsidRDefault="00A026DC" w:rsidP="00A026DC">
      <w:pPr>
        <w:jc w:val="center"/>
        <w:rPr>
          <w:sz w:val="36"/>
          <w:szCs w:val="36"/>
        </w:rPr>
      </w:pPr>
      <w:r>
        <w:rPr>
          <w:rFonts w:hint="eastAsia"/>
          <w:b/>
          <w:bCs/>
          <w:sz w:val="36"/>
          <w:szCs w:val="36"/>
        </w:rPr>
        <w:t>目录</w:t>
      </w:r>
    </w:p>
    <w:p w:rsidR="00A026DC" w:rsidRPr="00ED71CF" w:rsidRDefault="00A026DC" w:rsidP="00ED71CF">
      <w:pPr>
        <w:jc w:val="center"/>
        <w:rPr>
          <w:rFonts w:asciiTheme="minorEastAsia" w:eastAsiaTheme="minorEastAsia" w:hAnsiTheme="minorEastAsia" w:cstheme="minorEastAsia"/>
          <w:b/>
          <w:sz w:val="32"/>
          <w:szCs w:val="32"/>
        </w:rPr>
      </w:pPr>
      <w:r w:rsidRPr="00ED71CF">
        <w:rPr>
          <w:rFonts w:asciiTheme="minorEastAsia" w:eastAsiaTheme="minorEastAsia" w:hAnsiTheme="minorEastAsia" w:cstheme="minorEastAsia" w:hint="eastAsia"/>
          <w:b/>
          <w:bCs/>
          <w:sz w:val="32"/>
          <w:szCs w:val="32"/>
        </w:rPr>
        <w:t>第一部分 部门概况</w:t>
      </w:r>
    </w:p>
    <w:p w:rsidR="00A026DC" w:rsidRDefault="00A026DC" w:rsidP="00A026DC">
      <w:pPr>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一、部门主要职责及机构设置</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二、2021年年度部门工作任务</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三、部门预算单位构成</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四、部门人员情况说明</w:t>
      </w:r>
    </w:p>
    <w:p w:rsidR="00A026DC" w:rsidRDefault="00A026DC" w:rsidP="00ED71CF">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第二部分 收支情况</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五、2021年部门预算收支说明</w:t>
      </w:r>
    </w:p>
    <w:p w:rsidR="00A026DC" w:rsidRDefault="00A026DC" w:rsidP="00ED71CF">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第三部分  其他说明情况</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六、部门预算“三公”经费等情况说明</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七、部门国有资产占有使用及资产购置情况说明</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八、部门政府采购情况说明</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九、部门预算绩效目标说明</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十、机关运行经费安排说明</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十一、专业名词解释</w:t>
      </w:r>
    </w:p>
    <w:p w:rsidR="00A026DC" w:rsidRDefault="00A026DC" w:rsidP="00ED71CF">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第四部分  公开报表</w:t>
      </w:r>
    </w:p>
    <w:p w:rsidR="00A026DC" w:rsidRDefault="00A026DC" w:rsidP="00A026DC">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（具体部门预算公开报表）</w:t>
      </w:r>
    </w:p>
    <w:p w:rsidR="00A026DC" w:rsidRDefault="00A026DC" w:rsidP="00A026D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第一部分  部门概况</w:t>
      </w:r>
    </w:p>
    <w:p w:rsidR="00A026DC" w:rsidRDefault="00A026DC" w:rsidP="00A026DC">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026DC"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一、部门主要职责及机构设置</w:t>
      </w:r>
    </w:p>
    <w:p w:rsidR="00ED71CF" w:rsidRPr="00ED71CF" w:rsidRDefault="00ED71CF" w:rsidP="00ED71CF">
      <w:pPr>
        <w:ind w:firstLine="640"/>
        <w:rPr>
          <w:rFonts w:ascii="仿宋_GB2312" w:eastAsia="仿宋_GB2312" w:hAnsi="仿宋_GB2312" w:cs="仿宋_GB2312"/>
          <w:b/>
          <w:sz w:val="32"/>
          <w:szCs w:val="32"/>
        </w:rPr>
      </w:pPr>
      <w:r w:rsidRPr="00ED71CF">
        <w:rPr>
          <w:rFonts w:ascii="仿宋_GB2312" w:eastAsia="仿宋_GB2312" w:hAnsi="仿宋_GB2312" w:cs="仿宋_GB2312" w:hint="eastAsia"/>
          <w:b/>
          <w:sz w:val="32"/>
          <w:szCs w:val="32"/>
        </w:rPr>
        <w:t>（一）、部门主要职责</w:t>
      </w:r>
    </w:p>
    <w:p w:rsidR="00ED71CF" w:rsidRDefault="00ED71CF" w:rsidP="00ED71C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街道党工委是区委的派出机关，领导街道辖区的工作和基层社会治理，支持和保证行政组织、经济组织和群众自治组织充分行使职权;街道办事处是区政府的派出机关，依法履行政府服务和管理职</w:t>
      </w:r>
      <w:r>
        <w:rPr>
          <w:rFonts w:ascii="仿宋_GB2312" w:eastAsia="仿宋_GB2312" w:hAnsi="仿宋_GB2312" w:cs="仿宋_GB2312" w:hint="eastAsia"/>
          <w:sz w:val="32"/>
          <w:szCs w:val="32"/>
        </w:rPr>
        <w:lastRenderedPageBreak/>
        <w:t>责。同时，动员社会各方广泛参与，构建社区共治平台。其主要职能是:</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1.加强党的建设。</w:t>
      </w:r>
      <w:r>
        <w:rPr>
          <w:rFonts w:ascii="仿宋_GB2312" w:eastAsia="仿宋_GB2312" w:hAnsi="仿宋_GB2312" w:cs="仿宋_GB2312" w:hint="eastAsia"/>
          <w:sz w:val="32"/>
          <w:szCs w:val="32"/>
        </w:rPr>
        <w:t>落实基层党建工作责任制，严格抓好基层党组织建设各项制度，持续整顿后进党支部，推进党支部标准化规范化建设。推进街道社区党建与单位党建、行业系统党建互联互动，统筹抓好辖区内新兴领域党建工作。</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2.统筹区域发展。</w:t>
      </w:r>
      <w:r>
        <w:rPr>
          <w:rFonts w:ascii="仿宋_GB2312" w:eastAsia="仿宋_GB2312" w:hAnsi="仿宋_GB2312" w:cs="仿宋_GB2312" w:hint="eastAsia"/>
          <w:sz w:val="32"/>
          <w:szCs w:val="32"/>
        </w:rPr>
        <w:t>统筹落实辖区发展的重大决策和社区建设规划，参与辖区公共服务设施建设规划，推动辖区高质量发展。</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3.组织公共服务。</w:t>
      </w:r>
      <w:r>
        <w:rPr>
          <w:rFonts w:ascii="仿宋_GB2312" w:eastAsia="仿宋_GB2312" w:hAnsi="仿宋_GB2312" w:cs="仿宋_GB2312" w:hint="eastAsia"/>
          <w:sz w:val="32"/>
          <w:szCs w:val="32"/>
        </w:rPr>
        <w:t>组织实施与居民生活密切相关的社区公共服务，落实人力资源、社会保障、民政、教育、文化、体育、卫生健康等领域相关政策。</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4.实施综合管理。</w:t>
      </w:r>
      <w:r>
        <w:rPr>
          <w:rFonts w:ascii="仿宋_GB2312" w:eastAsia="仿宋_GB2312" w:hAnsi="仿宋_GB2312" w:cs="仿宋_GB2312" w:hint="eastAsia"/>
          <w:sz w:val="32"/>
          <w:szCs w:val="32"/>
        </w:rPr>
        <w:t>健全社区管理和服务机制，推行网格化管理和服务，落实辖区内城市管理、人口管理、社会管理等工作，承担组织领导、推进实施、综合协调等职责;落实辖区内相关行政事务常态化管理;统筹协调辖区内相关力量，协助做好监督检查等工作;组织开展群众监督和社会监督。</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5.领导基层自治。</w:t>
      </w:r>
      <w:r>
        <w:rPr>
          <w:rFonts w:ascii="仿宋_GB2312" w:eastAsia="仿宋_GB2312" w:hAnsi="仿宋_GB2312" w:cs="仿宋_GB2312" w:hint="eastAsia"/>
          <w:sz w:val="32"/>
          <w:szCs w:val="32"/>
        </w:rPr>
        <w:t>组织社区居民和单位参与社区建设和管理，建立党建引领下的社区居民委员会、业主委员会、物业服务企业协调运行机制，充分调动居民参与积极性，健全党组织领导的自治、法治、德治相结合的城市基层治理体系。</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lastRenderedPageBreak/>
        <w:t>6.维护安全稳定。</w:t>
      </w:r>
      <w:r>
        <w:rPr>
          <w:rFonts w:ascii="仿宋_GB2312" w:eastAsia="仿宋_GB2312" w:hAnsi="仿宋_GB2312" w:cs="仿宋_GB2312" w:hint="eastAsia"/>
          <w:sz w:val="32"/>
          <w:szCs w:val="32"/>
        </w:rPr>
        <w:t>承担辖区平安建设、社会治安综合治理、公共安全及安全生产监管等相关工作，处理群众来信来访，反映社情民意，化解矛盾纠纷。</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7.动员社会参与。</w:t>
      </w:r>
      <w:r>
        <w:rPr>
          <w:rFonts w:ascii="仿宋_GB2312" w:eastAsia="仿宋_GB2312" w:hAnsi="仿宋_GB2312" w:cs="仿宋_GB2312" w:hint="eastAsia"/>
          <w:sz w:val="32"/>
          <w:szCs w:val="32"/>
        </w:rPr>
        <w:t>动员辖区内有关单位、社会组织和社区居民等社会力量参与社区治理，引导驻区单位履行社会责任，整合辖区内各种社会力量为街道社区发展服务。</w:t>
      </w:r>
    </w:p>
    <w:p w:rsidR="00ED71CF" w:rsidRDefault="00ED71CF" w:rsidP="00ED71CF">
      <w:pPr>
        <w:spacing w:line="560" w:lineRule="exact"/>
        <w:ind w:firstLineChars="200" w:firstLine="643"/>
        <w:rPr>
          <w:rFonts w:ascii="仿宋_GB2312" w:eastAsia="仿宋_GB2312" w:hAnsi="仿宋_GB2312" w:cs="仿宋_GB2312"/>
          <w:sz w:val="32"/>
          <w:szCs w:val="32"/>
        </w:rPr>
      </w:pPr>
      <w:r w:rsidRPr="00ED71CF">
        <w:rPr>
          <w:rFonts w:ascii="仿宋_GB2312" w:eastAsia="仿宋_GB2312" w:hAnsi="仿宋_GB2312" w:cs="仿宋_GB2312" w:hint="eastAsia"/>
          <w:b/>
          <w:bCs/>
          <w:sz w:val="32"/>
          <w:szCs w:val="32"/>
        </w:rPr>
        <w:t>8.防范化解风险。</w:t>
      </w:r>
      <w:r>
        <w:rPr>
          <w:rFonts w:ascii="仿宋_GB2312" w:eastAsia="仿宋_GB2312" w:hAnsi="仿宋_GB2312" w:cs="仿宋_GB2312" w:hint="eastAsia"/>
          <w:sz w:val="32"/>
          <w:szCs w:val="32"/>
        </w:rPr>
        <w:t>加强对基层各类组织的政治引领和对居民群众的教育引导，坚决抵御国内外敌对势力、邪教组织和非法宗教活动的影响渗透，坚决同削弱和反对党的领导、干扰和破坏城市社会稳定的行为作斗争。</w:t>
      </w:r>
    </w:p>
    <w:p w:rsidR="00ED71CF" w:rsidRPr="00ED71CF" w:rsidRDefault="00ED71CF" w:rsidP="00ED71CF">
      <w:pPr>
        <w:spacing w:line="560" w:lineRule="exact"/>
        <w:ind w:firstLineChars="200" w:firstLine="643"/>
        <w:rPr>
          <w:rFonts w:ascii="仿宋_GB2312" w:eastAsia="仿宋_GB2312" w:hAnsi="仿宋_GB2312" w:cs="仿宋_GB2312"/>
          <w:b/>
          <w:bCs/>
          <w:sz w:val="32"/>
          <w:szCs w:val="32"/>
        </w:rPr>
      </w:pPr>
      <w:r w:rsidRPr="00ED71CF">
        <w:rPr>
          <w:rFonts w:ascii="仿宋_GB2312" w:eastAsia="仿宋_GB2312" w:hAnsi="仿宋_GB2312" w:cs="仿宋_GB2312" w:hint="eastAsia"/>
          <w:b/>
          <w:bCs/>
          <w:sz w:val="32"/>
          <w:szCs w:val="32"/>
        </w:rPr>
        <w:t>9.承担区委、区政府交办的其他事项。</w:t>
      </w:r>
    </w:p>
    <w:p w:rsidR="00ED71CF" w:rsidRDefault="00ED71CF" w:rsidP="00ED71C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述职能定位，进一步细化街道具体职责任务，依法依规修订完善街道权责清单，推动街道工作重心切实转移到公共服务、公共管理和公共安全等社会治理上来，把街道服务经济发展的重点转变为优化公共服务，为企业发展提供良好发展环境上来。</w:t>
      </w:r>
    </w:p>
    <w:p w:rsidR="00ED71CF" w:rsidRPr="00ED71CF" w:rsidRDefault="00ED71CF" w:rsidP="00ED71CF">
      <w:pPr>
        <w:spacing w:line="560" w:lineRule="exact"/>
        <w:ind w:firstLineChars="200" w:firstLine="643"/>
        <w:rPr>
          <w:rFonts w:ascii="仿宋_GB2312" w:eastAsia="仿宋_GB2312" w:hAnsi="仿宋_GB2312" w:cs="仿宋_GB2312"/>
          <w:b/>
          <w:bCs/>
          <w:sz w:val="32"/>
          <w:szCs w:val="32"/>
        </w:rPr>
      </w:pPr>
      <w:r w:rsidRPr="00ED71CF">
        <w:rPr>
          <w:rFonts w:ascii="仿宋_GB2312" w:eastAsia="仿宋_GB2312" w:hAnsi="仿宋_GB2312" w:cs="仿宋_GB2312" w:hint="eastAsia"/>
          <w:b/>
          <w:bCs/>
          <w:sz w:val="32"/>
          <w:szCs w:val="32"/>
        </w:rPr>
        <w:t>（二）金陵街道机构设置</w:t>
      </w:r>
    </w:p>
    <w:p w:rsidR="00ED71CF" w:rsidRDefault="00ED71CF" w:rsidP="00ED71C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根据街道职能定位，进一步整合审批、服务、执法等方面的职能和力量，按照精简、统一、效能原则，综合设置街道党政内设机构和事业单位，实行扁平化管理。</w:t>
      </w:r>
    </w:p>
    <w:p w:rsidR="00ED71CF" w:rsidRDefault="00ED71CF" w:rsidP="00ED71C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金陵街道机构设置按照“六办两中心”设置如下：</w:t>
      </w:r>
    </w:p>
    <w:p w:rsidR="00ED71CF" w:rsidRPr="00ED71CF" w:rsidRDefault="00ED71CF" w:rsidP="00ED71CF">
      <w:pPr>
        <w:spacing w:line="560" w:lineRule="exact"/>
        <w:ind w:firstLineChars="200" w:firstLine="643"/>
        <w:rPr>
          <w:rFonts w:ascii="仿宋_GB2312" w:eastAsia="仿宋_GB2312" w:hAnsi="仿宋_GB2312" w:cs="仿宋_GB2312"/>
          <w:b/>
          <w:sz w:val="32"/>
          <w:szCs w:val="32"/>
        </w:rPr>
      </w:pPr>
      <w:r w:rsidRPr="00ED71CF">
        <w:rPr>
          <w:rFonts w:ascii="仿宋_GB2312" w:eastAsia="仿宋_GB2312" w:hAnsi="仿宋_GB2312" w:cs="仿宋_GB2312" w:hint="eastAsia"/>
          <w:b/>
          <w:sz w:val="32"/>
          <w:szCs w:val="32"/>
        </w:rPr>
        <w:t>1.行政机构设置：</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（1）党政综合办公室。</w:t>
      </w:r>
      <w:r>
        <w:rPr>
          <w:rFonts w:ascii="仿宋_GB2312" w:eastAsia="仿宋_GB2312" w:hAnsi="仿宋_GB2312" w:cs="仿宋_GB2312" w:hint="eastAsia"/>
          <w:sz w:val="32"/>
          <w:szCs w:val="32"/>
        </w:rPr>
        <w:t>主要承担街道党工委和办事处日常事务。</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（2）党建工作办公室。</w:t>
      </w:r>
      <w:r>
        <w:rPr>
          <w:rFonts w:ascii="仿宋_GB2312" w:eastAsia="仿宋_GB2312" w:hAnsi="仿宋_GB2312" w:cs="仿宋_GB2312" w:hint="eastAsia"/>
          <w:sz w:val="32"/>
          <w:szCs w:val="32"/>
        </w:rPr>
        <w:t>主要承担基层党的政治建设、组织建设、宣传工作、统战工作、党风廉政建设和反腐败工作、人大、党建带群团建设等职责。</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（3）经济建设办公室。</w:t>
      </w:r>
      <w:r>
        <w:rPr>
          <w:rFonts w:ascii="仿宋_GB2312" w:eastAsia="仿宋_GB2312" w:hAnsi="仿宋_GB2312" w:cs="仿宋_GB2312" w:hint="eastAsia"/>
          <w:sz w:val="32"/>
          <w:szCs w:val="32"/>
        </w:rPr>
        <w:t>主要承担优化区域营商环境、服务经济发展等工作职责。</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（4）城市综合管理办公室。</w:t>
      </w:r>
      <w:r>
        <w:rPr>
          <w:rFonts w:ascii="仿宋_GB2312" w:eastAsia="仿宋_GB2312" w:hAnsi="仿宋_GB2312" w:cs="仿宋_GB2312" w:hint="eastAsia"/>
          <w:sz w:val="32"/>
          <w:szCs w:val="32"/>
        </w:rPr>
        <w:t>作为街道综合执法机构，依法或受委托承担统筹协调指挥区域内各条块的管理服务和执法力量，履行辖区内城市建设、城市管理、生态环保等综合管理工作职责。</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（5）社会事务办公室。</w:t>
      </w:r>
      <w:r>
        <w:rPr>
          <w:rFonts w:ascii="仿宋_GB2312" w:eastAsia="仿宋_GB2312" w:hAnsi="仿宋_GB2312" w:cs="仿宋_GB2312" w:hint="eastAsia"/>
          <w:sz w:val="32"/>
          <w:szCs w:val="32"/>
        </w:rPr>
        <w:t>主要承担指导推进辖区公共服务和综合管理、负责便民服务平台建设和管理等职责；承担统筹落实社区发展重大决策事项和建设规划，推动辖区健康、有序、可持续发展等工作职责。</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（6）平安建设应急办公室。</w:t>
      </w:r>
      <w:r>
        <w:rPr>
          <w:rFonts w:ascii="仿宋_GB2312" w:eastAsia="仿宋_GB2312" w:hAnsi="仿宋_GB2312" w:cs="仿宋_GB2312" w:hint="eastAsia"/>
          <w:sz w:val="32"/>
          <w:szCs w:val="32"/>
        </w:rPr>
        <w:t>主要承担维护社区平安稳定、信访、应急管理等工作职责，协调联系公安派出所、司法所等工作。</w:t>
      </w:r>
    </w:p>
    <w:p w:rsidR="00ED71CF" w:rsidRDefault="00ED71CF" w:rsidP="00ED71C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2.事业单位设置：</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党群服务中心(加挂便民服务中心、退役军人服务站牌子)</w:t>
      </w:r>
    </w:p>
    <w:p w:rsidR="00ED71CF" w:rsidRDefault="00ED71CF" w:rsidP="00ED71CF">
      <w:pPr>
        <w:spacing w:line="560" w:lineRule="exact"/>
        <w:ind w:firstLineChars="200" w:firstLine="640"/>
        <w:rPr>
          <w:rFonts w:ascii="仿宋_GB2312" w:eastAsia="仿宋_GB2312" w:hAnsi="仿宋_GB2312" w:cs="仿宋_GB2312"/>
          <w:sz w:val="32"/>
          <w:szCs w:val="32"/>
        </w:rPr>
      </w:pPr>
      <w:r w:rsidRPr="00ED71C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网格化管理服务中心(加挂社会治安综合治理中心、12345市民热线服务中心牌子)。</w:t>
      </w:r>
    </w:p>
    <w:p w:rsidR="00A026DC" w:rsidRDefault="00A026DC" w:rsidP="00ED71C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二、2021年度部门工作任务</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sidRPr="000C5C09">
        <w:rPr>
          <w:rFonts w:ascii="仿宋_GB2312" w:eastAsia="仿宋_GB2312" w:hAnsi="仿宋_GB2312" w:cs="仿宋_GB2312" w:hint="eastAsia"/>
          <w:sz w:val="32"/>
          <w:szCs w:val="32"/>
        </w:rPr>
        <w:t>年街道工作的总体思路是：认真贯彻落实党的十八大和十八届四中五中六中全会和市区委全会精神，围绕全区稳中求进总基调，以全区争第一、全市争位次、全省创一流的目标，维护稳定、管好城市、服务民生、创新管理、从严管党治党，努力开创和谐、务实、创新、争先的金陵新局面。</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（一）、以落实中省市区系列会议精神为重点，明晰思路抓落实。</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（二）、以项目建设为抓手，推动街道经济持续快速健康发展。</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(三)、以管好城市为支撑，提升城市管理水平。</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(四)、以服务民生为主旨，进一步提升居民群众幸福指数。</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(五)、以管理创新为重点，促进社会大局和谐稳定。</w:t>
      </w:r>
    </w:p>
    <w:p w:rsidR="00ED71CF" w:rsidRPr="000C5C09"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（六）、以队伍建设为保障，形成创新实干的工作合力。</w:t>
      </w:r>
    </w:p>
    <w:p w:rsidR="00A026DC" w:rsidRDefault="00ED71CF" w:rsidP="00ED71CF">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 xml:space="preserve">     1、强化队伍建设。2、夯实基层基础。3、加强作风建设。</w:t>
      </w:r>
    </w:p>
    <w:p w:rsidR="00A026DC" w:rsidRDefault="00A026DC" w:rsidP="00A026DC">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三、部门预算单位构成</w:t>
      </w:r>
    </w:p>
    <w:p w:rsidR="005D18A2" w:rsidRDefault="005D18A2" w:rsidP="005D18A2">
      <w:pPr>
        <w:spacing w:line="560" w:lineRule="exact"/>
        <w:ind w:firstLineChars="200"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金陵街道办事处为区政府派出机构，属于行政单位，分设</w:t>
      </w:r>
      <w:r w:rsidR="00FF6593">
        <w:rPr>
          <w:rFonts w:ascii="仿宋_GB2312" w:eastAsia="仿宋_GB2312" w:hAnsi="仿宋_GB2312" w:cs="仿宋_GB2312" w:hint="eastAsia"/>
          <w:sz w:val="32"/>
          <w:szCs w:val="32"/>
        </w:rPr>
        <w:t>6</w:t>
      </w:r>
      <w:r w:rsidRPr="000C5C09">
        <w:rPr>
          <w:rFonts w:ascii="仿宋_GB2312" w:eastAsia="仿宋_GB2312" w:hAnsi="仿宋_GB2312" w:cs="仿宋_GB2312" w:hint="eastAsia"/>
          <w:sz w:val="32"/>
          <w:szCs w:val="32"/>
        </w:rPr>
        <w:t>办</w:t>
      </w:r>
      <w:r w:rsidR="00FF6593">
        <w:rPr>
          <w:rFonts w:ascii="仿宋_GB2312" w:eastAsia="仿宋_GB2312" w:hAnsi="仿宋_GB2312" w:cs="仿宋_GB2312" w:hint="eastAsia"/>
          <w:sz w:val="32"/>
          <w:szCs w:val="32"/>
        </w:rPr>
        <w:t>2</w:t>
      </w:r>
      <w:r w:rsidRPr="000C5C09">
        <w:rPr>
          <w:rFonts w:ascii="仿宋_GB2312" w:eastAsia="仿宋_GB2312" w:hAnsi="仿宋_GB2312" w:cs="仿宋_GB2312" w:hint="eastAsia"/>
          <w:sz w:val="32"/>
          <w:szCs w:val="32"/>
        </w:rPr>
        <w:t>所，本单位为一级预算管理单位，经费管理使用财政集中支付管理方式。</w:t>
      </w:r>
      <w:r>
        <w:rPr>
          <w:rFonts w:ascii="仿宋_GB2312" w:eastAsia="仿宋_GB2312" w:hAnsi="仿宋_GB2312" w:cs="仿宋_GB2312" w:hint="eastAsia"/>
          <w:sz w:val="32"/>
          <w:szCs w:val="32"/>
        </w:rPr>
        <w:t>从预算单位构成看，本部门的部门预算包括部门本级（机关）预算。</w:t>
      </w:r>
    </w:p>
    <w:p w:rsidR="00A026DC" w:rsidRDefault="005D18A2" w:rsidP="005D18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21年部门预算编制范围的二级预算单位共有0个，包括：</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8647"/>
        <w:gridCol w:w="3260"/>
      </w:tblGrid>
      <w:tr w:rsidR="00CE3949" w:rsidTr="00CE3949">
        <w:tc>
          <w:tcPr>
            <w:tcW w:w="1559" w:type="dxa"/>
          </w:tcPr>
          <w:p w:rsidR="00A026DC" w:rsidRDefault="00A026DC" w:rsidP="005830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8647" w:type="dxa"/>
          </w:tcPr>
          <w:p w:rsidR="00A026DC" w:rsidRDefault="00A026DC" w:rsidP="005830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3260" w:type="dxa"/>
          </w:tcPr>
          <w:p w:rsidR="00A026DC" w:rsidRDefault="00A026DC" w:rsidP="005830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拟变动情况</w:t>
            </w:r>
          </w:p>
        </w:tc>
      </w:tr>
      <w:tr w:rsidR="00CE3949" w:rsidTr="00CE3949">
        <w:tc>
          <w:tcPr>
            <w:tcW w:w="1559" w:type="dxa"/>
          </w:tcPr>
          <w:p w:rsidR="00A026DC" w:rsidRDefault="00A026DC" w:rsidP="005830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8647" w:type="dxa"/>
          </w:tcPr>
          <w:p w:rsidR="00A026DC" w:rsidRDefault="005D18A2" w:rsidP="00583028">
            <w:pPr>
              <w:rPr>
                <w:rFonts w:ascii="仿宋_GB2312" w:eastAsia="仿宋_GB2312" w:hAnsi="仿宋_GB2312" w:cs="仿宋_GB2312"/>
                <w:sz w:val="32"/>
                <w:szCs w:val="32"/>
              </w:rPr>
            </w:pPr>
            <w:r>
              <w:rPr>
                <w:rFonts w:ascii="仿宋_GB2312" w:eastAsia="仿宋_GB2312" w:hAnsi="仿宋_GB2312" w:cs="仿宋_GB2312" w:hint="eastAsia"/>
                <w:sz w:val="32"/>
                <w:szCs w:val="32"/>
              </w:rPr>
              <w:t>宝鸡市渭滨区金陵街道办事处</w:t>
            </w:r>
            <w:r w:rsidR="00A026DC">
              <w:rPr>
                <w:rFonts w:ascii="仿宋_GB2312" w:eastAsia="仿宋_GB2312" w:hAnsi="仿宋_GB2312" w:cs="仿宋_GB2312" w:hint="eastAsia"/>
                <w:sz w:val="32"/>
                <w:szCs w:val="32"/>
              </w:rPr>
              <w:t>本级（机关）</w:t>
            </w:r>
          </w:p>
        </w:tc>
        <w:tc>
          <w:tcPr>
            <w:tcW w:w="3260" w:type="dxa"/>
          </w:tcPr>
          <w:p w:rsidR="00A026DC" w:rsidRDefault="00A026DC" w:rsidP="00583028">
            <w:pPr>
              <w:rPr>
                <w:rFonts w:ascii="仿宋_GB2312" w:eastAsia="仿宋_GB2312" w:hAnsi="仿宋_GB2312" w:cs="仿宋_GB2312"/>
                <w:sz w:val="32"/>
                <w:szCs w:val="32"/>
              </w:rPr>
            </w:pPr>
          </w:p>
        </w:tc>
      </w:tr>
      <w:tr w:rsidR="00CE3949" w:rsidTr="00CE3949">
        <w:tc>
          <w:tcPr>
            <w:tcW w:w="1559" w:type="dxa"/>
          </w:tcPr>
          <w:p w:rsidR="00A026DC" w:rsidRDefault="00A026DC" w:rsidP="005830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8647" w:type="dxa"/>
          </w:tcPr>
          <w:p w:rsidR="00A026DC" w:rsidRDefault="00A026DC" w:rsidP="00583028">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3260" w:type="dxa"/>
          </w:tcPr>
          <w:p w:rsidR="00A026DC" w:rsidRDefault="00A026DC" w:rsidP="00583028">
            <w:pPr>
              <w:rPr>
                <w:rFonts w:ascii="仿宋_GB2312" w:eastAsia="仿宋_GB2312" w:hAnsi="仿宋_GB2312" w:cs="仿宋_GB2312"/>
                <w:sz w:val="32"/>
                <w:szCs w:val="32"/>
              </w:rPr>
            </w:pPr>
          </w:p>
        </w:tc>
      </w:tr>
      <w:tr w:rsidR="00CE3949" w:rsidTr="00CE3949">
        <w:tc>
          <w:tcPr>
            <w:tcW w:w="1559" w:type="dxa"/>
          </w:tcPr>
          <w:p w:rsidR="00A026DC" w:rsidRDefault="00A026DC" w:rsidP="0058302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8647" w:type="dxa"/>
          </w:tcPr>
          <w:p w:rsidR="00A026DC" w:rsidRDefault="00A026DC" w:rsidP="00583028">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3260" w:type="dxa"/>
          </w:tcPr>
          <w:p w:rsidR="00A026DC" w:rsidRDefault="00A026DC" w:rsidP="00583028">
            <w:pPr>
              <w:rPr>
                <w:rFonts w:ascii="仿宋_GB2312" w:eastAsia="仿宋_GB2312" w:hAnsi="仿宋_GB2312" w:cs="仿宋_GB2312"/>
                <w:sz w:val="32"/>
                <w:szCs w:val="32"/>
              </w:rPr>
            </w:pPr>
          </w:p>
        </w:tc>
      </w:tr>
    </w:tbl>
    <w:p w:rsidR="00A026DC"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四、部门人员情况说明</w:t>
      </w:r>
    </w:p>
    <w:p w:rsidR="005D18A2" w:rsidRDefault="005D18A2" w:rsidP="005D18A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19年底，本部门人员编制</w:t>
      </w:r>
      <w:r w:rsidR="0065071A">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人，其中行政编制</w:t>
      </w:r>
      <w:r w:rsidR="0065071A">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人、事业编制</w:t>
      </w:r>
      <w:r w:rsidR="0065071A">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人；实有人员</w:t>
      </w:r>
      <w:r w:rsidR="00920A4B">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人，其中行政1</w:t>
      </w:r>
      <w:r w:rsidR="00FF6593">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人、事业</w:t>
      </w:r>
      <w:r w:rsidR="00920A4B">
        <w:rPr>
          <w:rFonts w:ascii="仿宋_GB2312" w:eastAsia="仿宋_GB2312" w:hAnsi="仿宋_GB2312" w:cs="仿宋_GB2312" w:hint="eastAsia"/>
          <w:sz w:val="32"/>
          <w:szCs w:val="32"/>
        </w:rPr>
        <w:t>管理人员11人，事业工勤6人</w:t>
      </w:r>
      <w:r>
        <w:rPr>
          <w:rFonts w:ascii="仿宋_GB2312" w:eastAsia="仿宋_GB2312" w:hAnsi="仿宋_GB2312" w:cs="仿宋_GB2312" w:hint="eastAsia"/>
          <w:sz w:val="32"/>
          <w:szCs w:val="32"/>
        </w:rPr>
        <w:t>。</w:t>
      </w:r>
      <w:r w:rsidR="00920A4B">
        <w:rPr>
          <w:rFonts w:ascii="仿宋_GB2312" w:eastAsia="仿宋_GB2312" w:hAnsi="仿宋_GB2312" w:cs="仿宋_GB2312" w:hint="eastAsia"/>
          <w:sz w:val="32"/>
          <w:szCs w:val="32"/>
        </w:rPr>
        <w:t>养老中心统发工资退休人员20人。</w:t>
      </w:r>
    </w:p>
    <w:p w:rsidR="00A026DC" w:rsidRDefault="005D18A2" w:rsidP="00CE3949">
      <w:pPr>
        <w:ind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4048125" cy="22955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26DC" w:rsidRDefault="00A026DC" w:rsidP="00A026DC">
      <w:pPr>
        <w:ind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  收支情况</w:t>
      </w:r>
    </w:p>
    <w:p w:rsidR="00A026DC"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五、2021年部门预算收支说明</w:t>
      </w:r>
    </w:p>
    <w:p w:rsidR="00A026DC" w:rsidRPr="00920A4B" w:rsidRDefault="00A026DC" w:rsidP="00A026DC">
      <w:pPr>
        <w:ind w:firstLine="640"/>
        <w:rPr>
          <w:rFonts w:ascii="仿宋_GB2312" w:eastAsia="仿宋_GB2312" w:hAnsi="仿宋_GB2312" w:cs="仿宋_GB2312"/>
          <w:b/>
          <w:sz w:val="32"/>
          <w:szCs w:val="32"/>
        </w:rPr>
      </w:pPr>
      <w:r w:rsidRPr="00920A4B">
        <w:rPr>
          <w:rFonts w:ascii="仿宋_GB2312" w:eastAsia="仿宋_GB2312" w:hAnsi="仿宋_GB2312" w:cs="仿宋_GB2312" w:hint="eastAsia"/>
          <w:b/>
          <w:sz w:val="32"/>
          <w:szCs w:val="32"/>
        </w:rPr>
        <w:t>（一）收支预算总体情况。</w:t>
      </w:r>
    </w:p>
    <w:p w:rsidR="005C70BC" w:rsidRDefault="005C70BC" w:rsidP="00CE3949">
      <w:pPr>
        <w:spacing w:line="560" w:lineRule="exact"/>
        <w:ind w:firstLineChars="200" w:firstLine="640"/>
        <w:rPr>
          <w:rFonts w:ascii="仿宋_GB2312" w:eastAsia="仿宋_GB2312" w:hAnsi="仿宋_GB2312" w:cs="仿宋_GB2312"/>
          <w:sz w:val="32"/>
          <w:szCs w:val="32"/>
        </w:rPr>
      </w:pPr>
      <w:r w:rsidRPr="00920A4B">
        <w:rPr>
          <w:rFonts w:ascii="仿宋_GB2312" w:eastAsia="仿宋_GB2312" w:hAnsi="仿宋_GB2312" w:cs="仿宋_GB2312"/>
          <w:sz w:val="32"/>
          <w:szCs w:val="32"/>
        </w:rPr>
        <w:t>按照综合预算的原则，本部门所有收入和支出均纳入部门预算管理。</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21年本部门预算收入475.55万元，其中一般公共预算拨款收入475.55万元、政府性基金拨款收入0万元。</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21年本部门预算收入较上年增加20.46万元，主要原因是工作人员以及工资调整增加的人员经费；</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21年本部门预算支出475.55万元，其中一般公共预算拨款支出475.55万元、政府性基金拨款支出0万元。</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lastRenderedPageBreak/>
        <w:t>年本部门预算支出较上年增加20.46万元，主要原因是工作人员以及工资调整增加的人员经费。</w:t>
      </w:r>
    </w:p>
    <w:p w:rsidR="005C70BC" w:rsidRPr="00575E68" w:rsidRDefault="005C70BC" w:rsidP="005C70BC">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（二）财政拨款收支情况。</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21年本部门财政拨款收入预算为475.55万元，其中一般公共预算拨款收入475.55万元、政府性基金拨款收入0万元。</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21年本部门预算收入较上年增加20.46万元，主要原因是工作人员以及工资调整增加的人员经费；</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21年本部门财政拨款支出预算为475.55万元，其中一般公共预算拨款支出475.55万元、政府性基金拨款支出0万元。</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21年本部门预算支出较上年增加20.46万元，主要原因是工作人员以及工资调整增加的人员经费。</w:t>
      </w:r>
    </w:p>
    <w:p w:rsidR="005C70BC" w:rsidRPr="00575E68" w:rsidRDefault="005C70BC" w:rsidP="005C70BC">
      <w:pPr>
        <w:ind w:firstLine="640"/>
        <w:rPr>
          <w:rFonts w:ascii="仿宋_GB2312" w:eastAsia="仿宋_GB2312" w:hAnsi="仿宋_GB2312" w:cs="仿宋_GB2312"/>
          <w:b/>
          <w:sz w:val="32"/>
          <w:szCs w:val="32"/>
        </w:rPr>
      </w:pPr>
      <w:r w:rsidRPr="00575E68">
        <w:rPr>
          <w:rFonts w:ascii="仿宋_GB2312" w:eastAsia="仿宋_GB2312" w:hAnsi="仿宋_GB2312" w:cs="仿宋_GB2312" w:hint="eastAsia"/>
          <w:b/>
          <w:sz w:val="32"/>
          <w:szCs w:val="32"/>
        </w:rPr>
        <w:t>（三）一般公共预算拨款支出明细情况。</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、一般公共预算当年拨款规模变化情况。</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21年本部门预算收入475.55万元，其中一般公共预算拨款收入475.55万元、政府性基金拨款收入0万元。</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21年本部门预算收入较上年增加20.46万元，主要原因是工作人员以及工资调整增加的人员经费。</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、支出按功能科目分类的明细情况。</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21年一般公共预算支出475.55万元，其中：</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）政府行政运行（</w:t>
      </w:r>
      <w:r>
        <w:rPr>
          <w:rFonts w:ascii="仿宋_GB2312" w:eastAsia="仿宋_GB2312" w:hAnsi="仿宋_GB2312" w:cs="仿宋_GB2312"/>
          <w:sz w:val="32"/>
          <w:szCs w:val="32"/>
        </w:rPr>
        <w:t>2010</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）417.95万元，较上年增加33.06万元，主要原因是工作人员以及工资调整增加的人员经费。</w:t>
      </w:r>
    </w:p>
    <w:p w:rsidR="005C70BC" w:rsidRPr="00CE3949"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（2）机关事业单位基本养老保险缴费（2080505）35.20万元，较上年减少7.70万元，原因调出工作人员减少的费用。</w:t>
      </w:r>
    </w:p>
    <w:p w:rsidR="005C70BC" w:rsidRDefault="005C70B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（3）机关事业单位基本医疗保险缴费（2101101）22.40万元，较上年</w:t>
      </w:r>
      <w:r w:rsidR="00FF6593">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4.90万元，原因调出工作人员减少的费用。</w:t>
      </w:r>
    </w:p>
    <w:p w:rsidR="00894B47" w:rsidRDefault="00894B47" w:rsidP="00CE3949">
      <w:pPr>
        <w:ind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5278120" cy="2066925"/>
            <wp:effectExtent l="19050" t="0" r="1778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3、支出按经济科目分类的明细情况</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）按照部门预算支出经济分类的明细情况</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w:t>
      </w:r>
      <w:r>
        <w:rPr>
          <w:rFonts w:ascii="仿宋_GB2312" w:eastAsia="仿宋_GB2312" w:hAnsi="仿宋_GB2312" w:cs="仿宋_GB2312" w:hint="eastAsia"/>
          <w:sz w:val="32"/>
          <w:szCs w:val="32"/>
        </w:rPr>
        <w:t>21年本部门一般公共预算支出475.55万元，其中：</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w:t>
      </w:r>
      <w:r>
        <w:rPr>
          <w:rFonts w:ascii="仿宋_GB2312" w:eastAsia="仿宋_GB2312" w:hAnsi="仿宋_GB2312" w:cs="仿宋_GB2312"/>
          <w:sz w:val="32"/>
          <w:szCs w:val="32"/>
        </w:rPr>
        <w:t>301</w:t>
      </w:r>
      <w:r>
        <w:rPr>
          <w:rFonts w:ascii="仿宋_GB2312" w:eastAsia="仿宋_GB2312" w:hAnsi="仿宋_GB2312" w:cs="仿宋_GB2312" w:hint="eastAsia"/>
          <w:sz w:val="32"/>
          <w:szCs w:val="32"/>
        </w:rPr>
        <w:t>）411.35万元，较上年增加9.86万元，原因是工作人员变动及晋升增加的费用；</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w:t>
      </w:r>
      <w:r>
        <w:rPr>
          <w:rFonts w:ascii="仿宋_GB2312" w:eastAsia="仿宋_GB2312" w:hAnsi="仿宋_GB2312" w:cs="仿宋_GB2312"/>
          <w:sz w:val="32"/>
          <w:szCs w:val="32"/>
        </w:rPr>
        <w:t>302</w:t>
      </w:r>
      <w:r>
        <w:rPr>
          <w:rFonts w:ascii="仿宋_GB2312" w:eastAsia="仿宋_GB2312" w:hAnsi="仿宋_GB2312" w:cs="仿宋_GB2312" w:hint="eastAsia"/>
          <w:sz w:val="32"/>
          <w:szCs w:val="32"/>
        </w:rPr>
        <w:t>）53.30万元，较上年增加4.66万元，原因是增加支出项目而增加的费用；</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对个人和家庭的补助支出（</w:t>
      </w:r>
      <w:r>
        <w:rPr>
          <w:rFonts w:ascii="仿宋_GB2312" w:eastAsia="仿宋_GB2312" w:hAnsi="仿宋_GB2312" w:cs="仿宋_GB2312"/>
          <w:sz w:val="32"/>
          <w:szCs w:val="32"/>
        </w:rPr>
        <w:t>303</w:t>
      </w:r>
      <w:r>
        <w:rPr>
          <w:rFonts w:ascii="仿宋_GB2312" w:eastAsia="仿宋_GB2312" w:hAnsi="仿宋_GB2312" w:cs="仿宋_GB2312" w:hint="eastAsia"/>
          <w:sz w:val="32"/>
          <w:szCs w:val="32"/>
        </w:rPr>
        <w:t>）10.90万元，较上年增加10.16万元，原因是支出结构调整增加的费用。</w:t>
      </w:r>
    </w:p>
    <w:p w:rsidR="001B5846" w:rsidRPr="00293436"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（2）按照政府预算支出经济分类的类级科目说明。</w:t>
      </w:r>
      <w:r w:rsidR="001B5846" w:rsidRPr="00293436">
        <w:rPr>
          <w:rFonts w:ascii="仿宋_GB2312" w:eastAsia="仿宋_GB2312" w:hAnsi="仿宋_GB2312" w:cs="仿宋_GB2312"/>
          <w:sz w:val="32"/>
          <w:szCs w:val="32"/>
        </w:rPr>
        <w:t>20</w:t>
      </w:r>
      <w:r w:rsidR="001B5846">
        <w:rPr>
          <w:rFonts w:ascii="仿宋_GB2312" w:eastAsia="仿宋_GB2312" w:hAnsi="仿宋_GB2312" w:cs="仿宋_GB2312" w:hint="eastAsia"/>
          <w:sz w:val="32"/>
          <w:szCs w:val="32"/>
        </w:rPr>
        <w:t>21</w:t>
      </w:r>
      <w:r w:rsidR="001B5846" w:rsidRPr="00293436">
        <w:rPr>
          <w:rFonts w:ascii="仿宋_GB2312" w:eastAsia="仿宋_GB2312" w:hAnsi="仿宋_GB2312" w:cs="仿宋_GB2312" w:hint="eastAsia"/>
          <w:sz w:val="32"/>
          <w:szCs w:val="32"/>
        </w:rPr>
        <w:t>年本部门一般公共预算支出</w:t>
      </w:r>
      <w:r w:rsidR="001B5846">
        <w:rPr>
          <w:rFonts w:ascii="仿宋_GB2312" w:eastAsia="仿宋_GB2312" w:hAnsi="仿宋_GB2312" w:cs="仿宋_GB2312" w:hint="eastAsia"/>
          <w:sz w:val="32"/>
          <w:szCs w:val="32"/>
        </w:rPr>
        <w:t>475.55万元</w:t>
      </w:r>
      <w:r w:rsidR="001B5846" w:rsidRPr="00293436">
        <w:rPr>
          <w:rFonts w:ascii="仿宋_GB2312" w:eastAsia="仿宋_GB2312" w:hAnsi="仿宋_GB2312" w:cs="仿宋_GB2312" w:hint="eastAsia"/>
          <w:sz w:val="32"/>
          <w:szCs w:val="32"/>
        </w:rPr>
        <w:t>，其中：</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工资福利支出（5</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）411.35万元，较上年增加9.86万元，原因是工作人员变动及晋升增加的费用；</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商品和服务支出（5</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）53.30万元，较上年增加4.66万元，原因是增加支出项目而增加的费用；</w:t>
      </w:r>
    </w:p>
    <w:p w:rsidR="001B5846" w:rsidRDefault="001B5846"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对个人和家庭的补助支出（5</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9）10.90万元，较上年增加10.16万元，原因是支出结构调整增加的费用。</w:t>
      </w:r>
    </w:p>
    <w:p w:rsidR="001B5846" w:rsidRDefault="001B5846" w:rsidP="00CE3949">
      <w:pPr>
        <w:ind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4933950" cy="214312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4、上年结转财政资金一般公共预算拨款支出情况。</w:t>
      </w:r>
    </w:p>
    <w:p w:rsidR="003334C8" w:rsidRDefault="003334C8" w:rsidP="003334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(1)按功能支出分类。</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w:t>
      </w:r>
      <w:r w:rsidR="00910081">
        <w:rPr>
          <w:rFonts w:ascii="仿宋_GB2312" w:eastAsia="仿宋_GB2312" w:hAnsi="仿宋_GB2312" w:cs="仿宋_GB2312" w:hint="eastAsia"/>
          <w:sz w:val="32"/>
          <w:szCs w:val="32"/>
        </w:rPr>
        <w:t>年结转的一般公共预算拨款资金支出</w:t>
      </w:r>
      <w:r>
        <w:rPr>
          <w:rFonts w:ascii="仿宋_GB2312" w:eastAsia="仿宋_GB2312" w:hAnsi="仿宋_GB2312" w:cs="仿宋_GB2312" w:hint="eastAsia"/>
          <w:sz w:val="32"/>
          <w:szCs w:val="32"/>
        </w:rPr>
        <w:t>。</w:t>
      </w:r>
    </w:p>
    <w:p w:rsidR="003334C8" w:rsidRDefault="003334C8" w:rsidP="003334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F659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)按部门预算支出经济分类。</w:t>
      </w:r>
    </w:p>
    <w:p w:rsidR="003334C8" w:rsidRDefault="003334C8" w:rsidP="003334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本部门无2020年结转的一般公共预算拨款资金支出。</w:t>
      </w:r>
    </w:p>
    <w:p w:rsidR="003334C8" w:rsidRDefault="003334C8" w:rsidP="003334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F659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)按政府预算支出经济分类。</w:t>
      </w:r>
    </w:p>
    <w:p w:rsidR="003334C8" w:rsidRDefault="003334C8" w:rsidP="003334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本部门无2020年结转的一般公共预算拨款资金支出。</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（四）政府性基金预算支出情况。</w:t>
      </w:r>
    </w:p>
    <w:p w:rsidR="00910081"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1、当年政府性基金预算支出情况。</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本部门无当年政府性基金预算收支，并已公开空表。</w:t>
      </w:r>
    </w:p>
    <w:p w:rsidR="00910081"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2、上年结转政府性基金预算支出情况。</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w:t>
      </w:r>
      <w:r w:rsidR="00910081">
        <w:rPr>
          <w:rFonts w:ascii="仿宋_GB2312" w:eastAsia="仿宋_GB2312" w:hAnsi="仿宋_GB2312" w:cs="仿宋_GB2312" w:hint="eastAsia"/>
          <w:sz w:val="32"/>
          <w:szCs w:val="32"/>
        </w:rPr>
        <w:t>年结转的政府性基金预算拨款支出</w:t>
      </w:r>
      <w:r>
        <w:rPr>
          <w:rFonts w:ascii="仿宋_GB2312" w:eastAsia="仿宋_GB2312" w:hAnsi="仿宋_GB2312" w:cs="仿宋_GB2312" w:hint="eastAsia"/>
          <w:sz w:val="32"/>
          <w:szCs w:val="32"/>
        </w:rPr>
        <w:t>。</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（五）国有资本经营预算拨款收支情况。</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本部门无当年国有资本经营预算拨款收支</w:t>
      </w:r>
      <w:r w:rsidR="00910081">
        <w:rPr>
          <w:rFonts w:ascii="仿宋_GB2312" w:eastAsia="仿宋_GB2312" w:hAnsi="仿宋_GB2312" w:cs="仿宋_GB2312" w:hint="eastAsia"/>
          <w:sz w:val="32"/>
          <w:szCs w:val="32"/>
        </w:rPr>
        <w:t>，并在财政拨款收支总体情况表中列示</w:t>
      </w:r>
      <w:r>
        <w:rPr>
          <w:rFonts w:ascii="仿宋_GB2312" w:eastAsia="仿宋_GB2312" w:hAnsi="仿宋_GB2312" w:cs="仿宋_GB2312" w:hint="eastAsia"/>
          <w:sz w:val="32"/>
          <w:szCs w:val="32"/>
        </w:rPr>
        <w:t>。</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w:t>
      </w:r>
      <w:r w:rsidR="00910081">
        <w:rPr>
          <w:rFonts w:ascii="仿宋_GB2312" w:eastAsia="仿宋_GB2312" w:hAnsi="仿宋_GB2312" w:cs="仿宋_GB2312" w:hint="eastAsia"/>
          <w:sz w:val="32"/>
          <w:szCs w:val="32"/>
        </w:rPr>
        <w:t>年结转的国有资本经营预算拨款支出</w:t>
      </w:r>
      <w:r>
        <w:rPr>
          <w:rFonts w:ascii="仿宋_GB2312" w:eastAsia="仿宋_GB2312" w:hAnsi="仿宋_GB2312" w:cs="仿宋_GB2312" w:hint="eastAsia"/>
          <w:sz w:val="32"/>
          <w:szCs w:val="32"/>
        </w:rPr>
        <w:t>。</w:t>
      </w:r>
    </w:p>
    <w:p w:rsidR="00A026DC" w:rsidRDefault="00A026DC" w:rsidP="00CE3949">
      <w:pPr>
        <w:spacing w:line="560" w:lineRule="exact"/>
        <w:ind w:firstLineChars="200" w:firstLine="640"/>
        <w:rPr>
          <w:rFonts w:ascii="仿宋_GB2312" w:eastAsia="仿宋_GB2312" w:hAnsi="仿宋_GB2312" w:cs="仿宋_GB2312"/>
          <w:sz w:val="32"/>
          <w:szCs w:val="32"/>
        </w:rPr>
      </w:pPr>
    </w:p>
    <w:p w:rsidR="00A026DC" w:rsidRDefault="00A026DC" w:rsidP="00A026DC">
      <w:pPr>
        <w:jc w:val="center"/>
        <w:rPr>
          <w:rFonts w:ascii="仿宋_GB2312" w:eastAsia="仿宋_GB2312" w:hAnsi="仿宋_GB2312" w:cs="仿宋_GB2312"/>
          <w:sz w:val="32"/>
          <w:szCs w:val="32"/>
        </w:rPr>
      </w:pPr>
      <w:r>
        <w:rPr>
          <w:rFonts w:asciiTheme="minorEastAsia" w:eastAsiaTheme="minorEastAsia" w:hAnsiTheme="minorEastAsia" w:cstheme="minorEastAsia" w:hint="eastAsia"/>
          <w:b/>
          <w:bCs/>
          <w:sz w:val="32"/>
          <w:szCs w:val="32"/>
        </w:rPr>
        <w:t>第三部分  其他说明情况</w:t>
      </w:r>
    </w:p>
    <w:p w:rsidR="00A026DC"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六、部门预算“三公”经费等预算情况说明</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2020年和2021年，本部门无</w:t>
      </w:r>
      <w:r w:rsidR="00910081" w:rsidRPr="00CE3949">
        <w:rPr>
          <w:rFonts w:ascii="仿宋_GB2312" w:eastAsia="仿宋_GB2312" w:hAnsi="仿宋_GB2312" w:cs="仿宋_GB2312" w:hint="eastAsia"/>
          <w:sz w:val="32"/>
          <w:szCs w:val="32"/>
        </w:rPr>
        <w:t>“三公”</w:t>
      </w:r>
      <w:r>
        <w:rPr>
          <w:rFonts w:ascii="仿宋_GB2312" w:eastAsia="仿宋_GB2312" w:hAnsi="仿宋_GB2312" w:cs="仿宋_GB2312" w:hint="eastAsia"/>
          <w:sz w:val="32"/>
          <w:szCs w:val="32"/>
        </w:rPr>
        <w:t>经费预算。</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本部门无2020年结转的‘三公’经费支出”。</w:t>
      </w:r>
    </w:p>
    <w:p w:rsidR="00A026DC" w:rsidRDefault="00A026DC" w:rsidP="00A026DC">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七、部门国有资产占有使用及资产购置情况说明</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截止2020年底，本部门所属预算单位共有车辆</w:t>
      </w:r>
      <w:r w:rsidR="0091008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辆，单价20万元以上的设备</w:t>
      </w:r>
      <w:r w:rsidR="0091008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台（套）。2021</w:t>
      </w:r>
      <w:r>
        <w:rPr>
          <w:rFonts w:ascii="仿宋_GB2312" w:eastAsia="仿宋_GB2312" w:hAnsi="仿宋_GB2312" w:cs="仿宋_GB2312" w:hint="eastAsia"/>
          <w:sz w:val="32"/>
          <w:szCs w:val="32"/>
        </w:rPr>
        <w:lastRenderedPageBreak/>
        <w:t>年当年部门预算安排购置车辆</w:t>
      </w:r>
      <w:r w:rsidR="0091008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辆；安排购置单价20万元以上的设备</w:t>
      </w:r>
      <w:r w:rsidR="0091008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w:t>
      </w:r>
      <w:r w:rsidR="00910081">
        <w:rPr>
          <w:rFonts w:ascii="仿宋_GB2312" w:eastAsia="仿宋_GB2312" w:hAnsi="仿宋_GB2312" w:cs="仿宋_GB2312" w:hint="eastAsia"/>
          <w:sz w:val="32"/>
          <w:szCs w:val="32"/>
        </w:rPr>
        <w:t>年结转的财政拨款支出资产购置</w:t>
      </w:r>
      <w:r>
        <w:rPr>
          <w:rFonts w:ascii="仿宋_GB2312" w:eastAsia="仿宋_GB2312" w:hAnsi="仿宋_GB2312" w:cs="仿宋_GB2312" w:hint="eastAsia"/>
          <w:sz w:val="32"/>
          <w:szCs w:val="32"/>
        </w:rPr>
        <w:t>。</w:t>
      </w:r>
    </w:p>
    <w:p w:rsidR="00A026DC" w:rsidRDefault="00A026DC" w:rsidP="00A026DC">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八、政府采购情况说明</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本部门2021年无政府采购预算，并已公开空表。</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w:t>
      </w:r>
      <w:r w:rsidR="00910081">
        <w:rPr>
          <w:rFonts w:ascii="仿宋_GB2312" w:eastAsia="仿宋_GB2312" w:hAnsi="仿宋_GB2312" w:cs="仿宋_GB2312" w:hint="eastAsia"/>
          <w:sz w:val="32"/>
          <w:szCs w:val="32"/>
        </w:rPr>
        <w:t>年结转的政府采购资金支出</w:t>
      </w:r>
      <w:r>
        <w:rPr>
          <w:rFonts w:ascii="仿宋_GB2312" w:eastAsia="仿宋_GB2312" w:hAnsi="仿宋_GB2312" w:cs="仿宋_GB2312" w:hint="eastAsia"/>
          <w:sz w:val="32"/>
          <w:szCs w:val="32"/>
        </w:rPr>
        <w:t>。</w:t>
      </w:r>
    </w:p>
    <w:p w:rsidR="00A026DC" w:rsidRDefault="00A026DC" w:rsidP="00A026DC">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九、部门预算绩效目标情况说明</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2021年本部门绩效目标管理全覆盖，涉及当年一般公共预算当年拨款</w:t>
      </w:r>
      <w:r w:rsidR="00910081">
        <w:rPr>
          <w:rFonts w:ascii="仿宋_GB2312" w:eastAsia="仿宋_GB2312" w:hAnsi="仿宋_GB2312" w:cs="仿宋_GB2312" w:hint="eastAsia"/>
          <w:sz w:val="32"/>
          <w:szCs w:val="32"/>
        </w:rPr>
        <w:t>475.55</w:t>
      </w:r>
      <w:r>
        <w:rPr>
          <w:rFonts w:ascii="仿宋_GB2312" w:eastAsia="仿宋_GB2312" w:hAnsi="仿宋_GB2312" w:cs="仿宋_GB2312" w:hint="eastAsia"/>
          <w:sz w:val="32"/>
          <w:szCs w:val="32"/>
        </w:rPr>
        <w:t>万元,当年政府性基金预算当年拨款</w:t>
      </w:r>
      <w:r w:rsidR="0091008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万元，当年国有资本经营预算拨款</w:t>
      </w:r>
      <w:r w:rsidR="0091008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万元（详见公开报表中的绩效目标表）。</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w:t>
      </w:r>
      <w:r w:rsidR="00910081">
        <w:rPr>
          <w:rFonts w:ascii="仿宋_GB2312" w:eastAsia="仿宋_GB2312" w:hAnsi="仿宋_GB2312" w:cs="仿宋_GB2312" w:hint="eastAsia"/>
          <w:sz w:val="32"/>
          <w:szCs w:val="32"/>
        </w:rPr>
        <w:t>年结转的财政拨款支出涉及的绩效目标管理</w:t>
      </w:r>
      <w:r>
        <w:rPr>
          <w:rFonts w:ascii="仿宋_GB2312" w:eastAsia="仿宋_GB2312" w:hAnsi="仿宋_GB2312" w:cs="仿宋_GB2312" w:hint="eastAsia"/>
          <w:sz w:val="32"/>
          <w:szCs w:val="32"/>
        </w:rPr>
        <w:t>。</w:t>
      </w:r>
    </w:p>
    <w:p w:rsidR="00A026DC"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十、机关运行经费安排情况说明</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本部门当年机关运行经费预算安排</w:t>
      </w:r>
      <w:r w:rsidR="00910081">
        <w:rPr>
          <w:rFonts w:ascii="仿宋_GB2312" w:eastAsia="仿宋_GB2312" w:hAnsi="仿宋_GB2312" w:cs="仿宋_GB2312" w:hint="eastAsia"/>
          <w:sz w:val="32"/>
          <w:szCs w:val="32"/>
        </w:rPr>
        <w:t>53.3万元，较上年增加4.66万元，原因是增加支出项目而增加的费用</w:t>
      </w:r>
      <w:r>
        <w:rPr>
          <w:rFonts w:ascii="仿宋_GB2312" w:eastAsia="仿宋_GB2312" w:hAnsi="仿宋_GB2312" w:cs="仿宋_GB2312" w:hint="eastAsia"/>
          <w:sz w:val="32"/>
          <w:szCs w:val="32"/>
        </w:rPr>
        <w:t>。</w:t>
      </w:r>
    </w:p>
    <w:p w:rsidR="00A026DC" w:rsidRDefault="00A026DC" w:rsidP="00CE39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本部门无2020年结转的财政拨款机关运</w:t>
      </w:r>
      <w:r w:rsidR="00910081">
        <w:rPr>
          <w:rFonts w:ascii="仿宋_GB2312" w:eastAsia="仿宋_GB2312" w:hAnsi="仿宋_GB2312" w:cs="仿宋_GB2312" w:hint="eastAsia"/>
          <w:sz w:val="32"/>
          <w:szCs w:val="32"/>
        </w:rPr>
        <w:t>行费支出</w:t>
      </w:r>
      <w:r>
        <w:rPr>
          <w:rFonts w:ascii="仿宋_GB2312" w:eastAsia="仿宋_GB2312" w:hAnsi="仿宋_GB2312" w:cs="仿宋_GB2312" w:hint="eastAsia"/>
          <w:sz w:val="32"/>
          <w:szCs w:val="32"/>
        </w:rPr>
        <w:t>。</w:t>
      </w:r>
    </w:p>
    <w:p w:rsidR="00A026DC"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十一、专业名词解释</w:t>
      </w:r>
    </w:p>
    <w:p w:rsidR="00A026DC" w:rsidRDefault="00FF6593" w:rsidP="00FF65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w:t>
      </w:r>
      <w:r w:rsidR="00A026DC" w:rsidRPr="00FF6593">
        <w:rPr>
          <w:rFonts w:ascii="仿宋_GB2312" w:eastAsia="仿宋_GB2312" w:hAnsi="仿宋_GB2312" w:cs="仿宋_GB2312" w:hint="eastAsia"/>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以及其他费用。</w:t>
      </w:r>
      <w:r w:rsidR="00A026DC" w:rsidRPr="00FF6593">
        <w:rPr>
          <w:rFonts w:ascii="仿宋_GB2312" w:eastAsia="仿宋_GB2312" w:hAnsi="仿宋_GB2312" w:cs="仿宋_GB2312" w:hint="eastAsia"/>
          <w:sz w:val="32"/>
          <w:szCs w:val="32"/>
        </w:rPr>
        <w:tab/>
      </w:r>
    </w:p>
    <w:p w:rsidR="00FF6593" w:rsidRDefault="00FF6593" w:rsidP="00FF659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2、“三公”经费：指部门使用一般公共预算财政拨款安排的因公出国（境）费、公务用车购置及运行费和公务接待费支出。</w:t>
      </w:r>
    </w:p>
    <w:p w:rsidR="00FF6593" w:rsidRPr="00FF6593" w:rsidRDefault="00FF6593" w:rsidP="00FF6593">
      <w:pPr>
        <w:spacing w:line="560" w:lineRule="exact"/>
        <w:ind w:firstLineChars="200" w:firstLine="640"/>
        <w:rPr>
          <w:rFonts w:ascii="仿宋_GB2312" w:eastAsia="仿宋_GB2312" w:hAnsi="仿宋_GB2312" w:cs="仿宋_GB2312" w:hint="eastAsia"/>
          <w:sz w:val="32"/>
          <w:szCs w:val="32"/>
        </w:rPr>
      </w:pPr>
    </w:p>
    <w:p w:rsidR="00FF6593" w:rsidRPr="00FF6593" w:rsidRDefault="00FF6593" w:rsidP="00FF6593">
      <w:pPr>
        <w:spacing w:line="560" w:lineRule="exact"/>
        <w:ind w:left="640"/>
        <w:rPr>
          <w:rFonts w:ascii="仿宋_GB2312" w:eastAsia="仿宋_GB2312" w:hAnsi="仿宋_GB2312" w:cs="仿宋_GB2312"/>
          <w:sz w:val="32"/>
          <w:szCs w:val="32"/>
        </w:rPr>
      </w:pPr>
    </w:p>
    <w:p w:rsidR="00A026DC" w:rsidRDefault="00A026DC" w:rsidP="00CE3949">
      <w:pPr>
        <w:ind w:firstLine="64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第四部分  公开报表</w:t>
      </w:r>
    </w:p>
    <w:p w:rsidR="00A026DC" w:rsidRPr="004C2AF3" w:rsidRDefault="00A026DC" w:rsidP="004C2AF3">
      <w:pPr>
        <w:jc w:val="center"/>
        <w:rPr>
          <w:rFonts w:ascii="仿宋_GB2312" w:eastAsia="仿宋_GB2312" w:hAnsi="仿宋_GB2312" w:cs="仿宋_GB2312"/>
          <w:b/>
          <w:sz w:val="36"/>
          <w:szCs w:val="36"/>
        </w:rPr>
      </w:pPr>
    </w:p>
    <w:p w:rsidR="00A026DC" w:rsidRDefault="00A026DC" w:rsidP="00A026DC">
      <w:pPr>
        <w:ind w:firstLine="640"/>
        <w:rPr>
          <w:rFonts w:ascii="仿宋_GB2312" w:eastAsia="仿宋_GB2312" w:hAnsi="仿宋_GB2312" w:cs="仿宋_GB2312"/>
          <w:sz w:val="32"/>
          <w:szCs w:val="32"/>
        </w:rPr>
      </w:pPr>
      <w:r w:rsidRPr="000C5C09">
        <w:rPr>
          <w:rFonts w:ascii="仿宋_GB2312" w:eastAsia="仿宋_GB2312" w:hAnsi="仿宋_GB2312" w:cs="仿宋_GB2312" w:hint="eastAsia"/>
          <w:sz w:val="32"/>
          <w:szCs w:val="32"/>
        </w:rPr>
        <w:t>以上公开内容，均已通过保密审查及本部门主要负责人审签。</w:t>
      </w:r>
    </w:p>
    <w:p w:rsidR="00A026DC" w:rsidRDefault="00A026DC" w:rsidP="00A026DC">
      <w:pPr>
        <w:rPr>
          <w:rFonts w:ascii="仿宋_GB2312" w:eastAsia="仿宋_GB2312" w:hAnsi="仿宋_GB2312" w:cs="仿宋_GB2312"/>
          <w:sz w:val="32"/>
          <w:szCs w:val="32"/>
        </w:rPr>
      </w:pPr>
    </w:p>
    <w:p w:rsidR="00A026DC" w:rsidRPr="000C5C09" w:rsidRDefault="00A026DC" w:rsidP="00A026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E394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w:t>
      </w:r>
      <w:r w:rsidR="00CE394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年2月1</w:t>
      </w:r>
      <w:r w:rsidR="00CE394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p>
    <w:p w:rsidR="00D91A13" w:rsidRDefault="00D91A13"/>
    <w:sectPr w:rsidR="00D91A13" w:rsidSect="00CE3949">
      <w:headerReference w:type="default" r:id="rId10"/>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EB" w:rsidRDefault="00D81EEB" w:rsidP="00BC592A">
      <w:r>
        <w:separator/>
      </w:r>
    </w:p>
  </w:endnote>
  <w:endnote w:type="continuationSeparator" w:id="0">
    <w:p w:rsidR="00D81EEB" w:rsidRDefault="00D81EEB" w:rsidP="00BC5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EB" w:rsidRDefault="00D81EEB" w:rsidP="00BC592A">
      <w:r>
        <w:separator/>
      </w:r>
    </w:p>
  </w:footnote>
  <w:footnote w:type="continuationSeparator" w:id="0">
    <w:p w:rsidR="00D81EEB" w:rsidRDefault="00D81EEB" w:rsidP="00BC5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68" w:rsidRDefault="00D81EEB" w:rsidP="0086316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F09"/>
    <w:multiLevelType w:val="hybridMultilevel"/>
    <w:tmpl w:val="AD6809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B3A6981"/>
    <w:multiLevelType w:val="hybridMultilevel"/>
    <w:tmpl w:val="16DA210E"/>
    <w:lvl w:ilvl="0" w:tplc="50DC87E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6DC"/>
    <w:rsid w:val="00057B84"/>
    <w:rsid w:val="00123C95"/>
    <w:rsid w:val="001B2E76"/>
    <w:rsid w:val="001B5846"/>
    <w:rsid w:val="003334C8"/>
    <w:rsid w:val="00380533"/>
    <w:rsid w:val="004C2AF3"/>
    <w:rsid w:val="005B7D17"/>
    <w:rsid w:val="005C70BC"/>
    <w:rsid w:val="005D18A2"/>
    <w:rsid w:val="0065071A"/>
    <w:rsid w:val="006E4726"/>
    <w:rsid w:val="00876F96"/>
    <w:rsid w:val="00894B47"/>
    <w:rsid w:val="00910081"/>
    <w:rsid w:val="00920A4B"/>
    <w:rsid w:val="00A026DC"/>
    <w:rsid w:val="00BC592A"/>
    <w:rsid w:val="00BF6B4D"/>
    <w:rsid w:val="00CE3949"/>
    <w:rsid w:val="00D81EEB"/>
    <w:rsid w:val="00D91A13"/>
    <w:rsid w:val="00EB6B6A"/>
    <w:rsid w:val="00ED1AE3"/>
    <w:rsid w:val="00ED71CF"/>
    <w:rsid w:val="00FF6593"/>
    <w:rsid w:val="00FF6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6DC"/>
    <w:rPr>
      <w:rFonts w:ascii="Calibri" w:eastAsia="宋体" w:hAnsi="Calibri" w:cs="Times New Roman"/>
      <w:sz w:val="18"/>
      <w:szCs w:val="18"/>
    </w:rPr>
  </w:style>
  <w:style w:type="paragraph" w:styleId="a4">
    <w:name w:val="Balloon Text"/>
    <w:basedOn w:val="a"/>
    <w:link w:val="Char0"/>
    <w:uiPriority w:val="99"/>
    <w:semiHidden/>
    <w:unhideWhenUsed/>
    <w:rsid w:val="00A026DC"/>
    <w:rPr>
      <w:sz w:val="18"/>
      <w:szCs w:val="18"/>
    </w:rPr>
  </w:style>
  <w:style w:type="character" w:customStyle="1" w:styleId="Char0">
    <w:name w:val="批注框文本 Char"/>
    <w:basedOn w:val="a0"/>
    <w:link w:val="a4"/>
    <w:uiPriority w:val="99"/>
    <w:semiHidden/>
    <w:rsid w:val="00A026DC"/>
    <w:rPr>
      <w:rFonts w:ascii="Calibri" w:eastAsia="宋体" w:hAnsi="Calibri" w:cs="Times New Roman"/>
      <w:sz w:val="18"/>
      <w:szCs w:val="18"/>
    </w:rPr>
  </w:style>
  <w:style w:type="character" w:styleId="a5">
    <w:name w:val="Strong"/>
    <w:basedOn w:val="a0"/>
    <w:qFormat/>
    <w:rsid w:val="00ED71CF"/>
    <w:rPr>
      <w:b/>
      <w:bCs/>
    </w:rPr>
  </w:style>
  <w:style w:type="paragraph" w:styleId="a6">
    <w:name w:val="List Paragraph"/>
    <w:basedOn w:val="a"/>
    <w:uiPriority w:val="34"/>
    <w:qFormat/>
    <w:rsid w:val="004C2AF3"/>
    <w:pPr>
      <w:ind w:firstLineChars="200" w:firstLine="420"/>
    </w:pPr>
  </w:style>
</w:styles>
</file>

<file path=word/webSettings.xml><?xml version="1.0" encoding="utf-8"?>
<w:webSettings xmlns:r="http://schemas.openxmlformats.org/officeDocument/2006/relationships" xmlns:w="http://schemas.openxmlformats.org/wordprocessingml/2006/main">
  <w:divs>
    <w:div w:id="215286571">
      <w:bodyDiv w:val="1"/>
      <w:marLeft w:val="0"/>
      <w:marRight w:val="0"/>
      <w:marTop w:val="0"/>
      <w:marBottom w:val="0"/>
      <w:divBdr>
        <w:top w:val="none" w:sz="0" w:space="0" w:color="auto"/>
        <w:left w:val="none" w:sz="0" w:space="0" w:color="auto"/>
        <w:bottom w:val="none" w:sz="0" w:space="0" w:color="auto"/>
        <w:right w:val="none" w:sz="0" w:space="0" w:color="auto"/>
      </w:divBdr>
    </w:div>
    <w:div w:id="514196747">
      <w:bodyDiv w:val="1"/>
      <w:marLeft w:val="0"/>
      <w:marRight w:val="0"/>
      <w:marTop w:val="0"/>
      <w:marBottom w:val="0"/>
      <w:divBdr>
        <w:top w:val="none" w:sz="0" w:space="0" w:color="auto"/>
        <w:left w:val="none" w:sz="0" w:space="0" w:color="auto"/>
        <w:bottom w:val="none" w:sz="0" w:space="0" w:color="auto"/>
        <w:right w:val="none" w:sz="0" w:space="0" w:color="auto"/>
      </w:divBdr>
    </w:div>
    <w:div w:id="783185181">
      <w:bodyDiv w:val="1"/>
      <w:marLeft w:val="0"/>
      <w:marRight w:val="0"/>
      <w:marTop w:val="0"/>
      <w:marBottom w:val="0"/>
      <w:divBdr>
        <w:top w:val="none" w:sz="0" w:space="0" w:color="auto"/>
        <w:left w:val="none" w:sz="0" w:space="0" w:color="auto"/>
        <w:bottom w:val="none" w:sz="0" w:space="0" w:color="auto"/>
        <w:right w:val="none" w:sz="0" w:space="0" w:color="auto"/>
      </w:divBdr>
    </w:div>
    <w:div w:id="1272282149">
      <w:bodyDiv w:val="1"/>
      <w:marLeft w:val="0"/>
      <w:marRight w:val="0"/>
      <w:marTop w:val="0"/>
      <w:marBottom w:val="0"/>
      <w:divBdr>
        <w:top w:val="none" w:sz="0" w:space="0" w:color="auto"/>
        <w:left w:val="none" w:sz="0" w:space="0" w:color="auto"/>
        <w:bottom w:val="none" w:sz="0" w:space="0" w:color="auto"/>
        <w:right w:val="none" w:sz="0" w:space="0" w:color="auto"/>
      </w:divBdr>
    </w:div>
    <w:div w:id="1899628955">
      <w:bodyDiv w:val="1"/>
      <w:marLeft w:val="0"/>
      <w:marRight w:val="0"/>
      <w:marTop w:val="0"/>
      <w:marBottom w:val="0"/>
      <w:divBdr>
        <w:top w:val="none" w:sz="0" w:space="0" w:color="auto"/>
        <w:left w:val="none" w:sz="0" w:space="0" w:color="auto"/>
        <w:bottom w:val="none" w:sz="0" w:space="0" w:color="auto"/>
        <w:right w:val="none" w:sz="0" w:space="0" w:color="auto"/>
      </w:divBdr>
    </w:div>
    <w:div w:id="20157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人员情况表</c:v>
                </c:pt>
              </c:strCache>
            </c:strRef>
          </c:tx>
          <c:dLbls>
            <c:showVal val="1"/>
            <c:showLeaderLines val="1"/>
          </c:dLbls>
          <c:cat>
            <c:strRef>
              <c:f>Sheet1!$A$2:$A$5</c:f>
              <c:strCache>
                <c:ptCount val="4"/>
                <c:pt idx="0">
                  <c:v>在职行政人员</c:v>
                </c:pt>
                <c:pt idx="1">
                  <c:v>在职事业管理人员</c:v>
                </c:pt>
                <c:pt idx="2">
                  <c:v>在职事业工勤</c:v>
                </c:pt>
                <c:pt idx="3">
                  <c:v>养老中心统发工资退休人员</c:v>
                </c:pt>
              </c:strCache>
            </c:strRef>
          </c:cat>
          <c:val>
            <c:numRef>
              <c:f>Sheet1!$B$2:$B$5</c:f>
              <c:numCache>
                <c:formatCode>General</c:formatCode>
                <c:ptCount val="4"/>
                <c:pt idx="0">
                  <c:v>16</c:v>
                </c:pt>
                <c:pt idx="1">
                  <c:v>11</c:v>
                </c:pt>
                <c:pt idx="2">
                  <c:v>6</c:v>
                </c:pt>
                <c:pt idx="3">
                  <c:v>20</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支出按功能分类图</c:v>
                </c:pt>
              </c:strCache>
            </c:strRef>
          </c:tx>
          <c:dLbls>
            <c:showVal val="1"/>
            <c:showLeaderLines val="1"/>
          </c:dLbls>
          <c:cat>
            <c:strRef>
              <c:f>Sheet1!$A$2:$A$4</c:f>
              <c:strCache>
                <c:ptCount val="3"/>
                <c:pt idx="0">
                  <c:v>政府行政运行</c:v>
                </c:pt>
                <c:pt idx="1">
                  <c:v>机关事业单位基本养老保险缴费</c:v>
                </c:pt>
                <c:pt idx="2">
                  <c:v>机关事业单位基本医疗保险缴费</c:v>
                </c:pt>
              </c:strCache>
            </c:strRef>
          </c:cat>
          <c:val>
            <c:numRef>
              <c:f>Sheet1!$B$2:$B$4</c:f>
              <c:numCache>
                <c:formatCode>General</c:formatCode>
                <c:ptCount val="3"/>
                <c:pt idx="0">
                  <c:v>417.95</c:v>
                </c:pt>
                <c:pt idx="1">
                  <c:v>35.200000000000003</c:v>
                </c:pt>
                <c:pt idx="2">
                  <c:v>22.4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支出按政府预算经济分类图</c:v>
                </c:pt>
              </c:strCache>
            </c:strRef>
          </c:tx>
          <c:dLbls>
            <c:showVal val="1"/>
            <c:showLeaderLines val="1"/>
          </c:dLbls>
          <c:cat>
            <c:strRef>
              <c:f>Sheet1!$A$2:$A$4</c:f>
              <c:strCache>
                <c:ptCount val="3"/>
                <c:pt idx="0">
                  <c:v>工资福利支出</c:v>
                </c:pt>
                <c:pt idx="1">
                  <c:v>商品和服务支出</c:v>
                </c:pt>
                <c:pt idx="2">
                  <c:v>对个人和家庭的补助支出</c:v>
                </c:pt>
              </c:strCache>
            </c:strRef>
          </c:cat>
          <c:val>
            <c:numRef>
              <c:f>Sheet1!$B$2:$B$4</c:f>
              <c:numCache>
                <c:formatCode>General</c:formatCode>
                <c:ptCount val="3"/>
                <c:pt idx="0">
                  <c:v>411.35</c:v>
                </c:pt>
                <c:pt idx="1">
                  <c:v>53.3</c:v>
                </c:pt>
                <c:pt idx="2">
                  <c:v>10.9</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2021-04-12T08:27:00Z</dcterms:created>
  <dcterms:modified xsi:type="dcterms:W3CDTF">2021-04-16T02:30:00Z</dcterms:modified>
</cp:coreProperties>
</file>