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9338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渭滨区教育体育局</w:t>
      </w: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</w:rPr>
        <w:t>年部门综合预算</w:t>
      </w:r>
    </w:p>
    <w:p w14:paraId="1AD08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16191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目  录</w:t>
      </w:r>
    </w:p>
    <w:p w14:paraId="790C2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第一部分   部门概况</w:t>
      </w:r>
    </w:p>
    <w:p w14:paraId="7AE39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一、部门主要职责及机构设置</w:t>
      </w:r>
    </w:p>
    <w:p w14:paraId="799B1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年年度部门工作任务</w:t>
      </w:r>
    </w:p>
    <w:p w14:paraId="3E977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三、部门预算单位构成</w:t>
      </w:r>
    </w:p>
    <w:p w14:paraId="60F5A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四、部门人员情况说明</w:t>
      </w:r>
    </w:p>
    <w:p w14:paraId="5269C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第二部分   收支情况</w:t>
      </w:r>
    </w:p>
    <w:p w14:paraId="4D3CC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年部门预算收支说明</w:t>
      </w:r>
    </w:p>
    <w:p w14:paraId="52651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第三部分   其他说明情况</w:t>
      </w:r>
    </w:p>
    <w:p w14:paraId="2C80D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六、部门预算“三公”经费等情况说明</w:t>
      </w:r>
    </w:p>
    <w:p w14:paraId="2561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七、部门国有资产占有使用及资产购置情况说明</w:t>
      </w:r>
    </w:p>
    <w:p w14:paraId="585B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八、部门政府采购情况说明</w:t>
      </w:r>
    </w:p>
    <w:p w14:paraId="0F500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九、部门预算绩效目标说明</w:t>
      </w:r>
    </w:p>
    <w:p w14:paraId="23640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十、机关运行经费安排说明</w:t>
      </w:r>
    </w:p>
    <w:p w14:paraId="26D0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十一、专业名词解释</w:t>
      </w:r>
    </w:p>
    <w:p w14:paraId="68829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第四部分   公开报表</w:t>
      </w:r>
    </w:p>
    <w:p w14:paraId="7A11E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（具体部门预算公开报表）</w:t>
      </w:r>
    </w:p>
    <w:p w14:paraId="1F5A1479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5F9BB85"/>
    <w:p w14:paraId="09E23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 w14:paraId="535D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F15BD6">
      <w:pPr>
        <w:numPr>
          <w:ilvl w:val="0"/>
          <w:numId w:val="1"/>
        </w:numPr>
        <w:ind w:firstLine="640"/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部门主要职责</w:t>
      </w: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及机构设置</w:t>
      </w:r>
    </w:p>
    <w:p w14:paraId="0F904CC8">
      <w:pPr>
        <w:numPr>
          <w:ilvl w:val="0"/>
          <w:numId w:val="0"/>
        </w:numP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渭滨区教育体育局内设六个机构分别为：教育股、人事管理股、办公室、财审股、督导室，体育股。</w:t>
      </w:r>
    </w:p>
    <w:p w14:paraId="618B47A2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贯彻执行教育工作方面的方针政策和法律法规，并对全区教育系统贯彻执行情况进行调查研究和检查监督。</w:t>
      </w:r>
    </w:p>
    <w:p w14:paraId="0FFF81D1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研究提出全区教育改革与发展建议，编制全区教育事业发展规划并组织实施，负责指导全区教育综合改革。</w:t>
      </w:r>
    </w:p>
    <w:p w14:paraId="02391DBB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下达部门教育经费预算并监督执行；管理教育专项资金，协调城市教育费附加的征收、管理和使用；统筹管理本部门教育经费，参与拟订筹措教育经费、教育拨款、教育基建投资的政策和管理办法；监督全区教育经费的筹措和使用情况；承担家庭经济困难学生资助管理工作。</w:t>
      </w:r>
    </w:p>
    <w:p w14:paraId="25B552DF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综合管理全区基础教育、职业教育等工作；指导协调有关部门的教育工作。</w:t>
      </w:r>
    </w:p>
    <w:p w14:paraId="52F6094F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负责推进全区义务教育均衡发展和促进教育公平，全面实施素质教育；负责中等及中等以下各类教育的教学改革和中小学教育教学工作；负责扫除青壮年文盲工作。</w:t>
      </w:r>
    </w:p>
    <w:p w14:paraId="51C2D06D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统筹社会力量办学，负责全区民办教育的综合管理工作，规范民办教育办学秩序。</w:t>
      </w:r>
    </w:p>
    <w:p w14:paraId="61EFEA03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负责全区教师工作，执行国家关于各级各类教师资格标准，规划实施全区学校教师和管理人员队伍建设工作，指导教育系统人事制度改革和人才队伍建设工作。</w:t>
      </w:r>
    </w:p>
    <w:p w14:paraId="3DB222F9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负责区教育基本信息的统计、分析工作；会同有关部门组织管理教育对外交流与合作，推广先进教育成果。</w:t>
      </w:r>
    </w:p>
    <w:p w14:paraId="3EA50CFC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9.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负责全区学校的稳定工作和安全教育，协同有关部门处理突发事件，负责指导中小学后勤保障的管理工作，指导教育学会、基金会等社团工作。</w:t>
      </w:r>
    </w:p>
    <w:p w14:paraId="3842E540">
      <w:pPr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10.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承办区政府交办的其他事项。</w:t>
      </w:r>
    </w:p>
    <w:p w14:paraId="4F49738A">
      <w:pPr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仿宋_GB2312"/>
          <w:sz w:val="32"/>
          <w:szCs w:val="32"/>
        </w:rPr>
        <w:t>年度部门工作任务</w:t>
      </w:r>
    </w:p>
    <w:p w14:paraId="78E830C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2021年全区教育体育工作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做到：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一是聚焦教育名区建设不动摇。围绕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教育事业发展规划，全面推进教育现代化，围绕建设教育名区目标，全面聚焦质量提升，推动渭滨教育高质量发展。二是完善推进“六大工程”不动摇。以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习近平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总书记来陕考察重要讲话精神为指导，推动党建工作规范发展；落实立德树人根本任务，从薄弱处改善德育工作，坚持五育并举，全面落实素质教育，培养担当民族复兴大任的时代新人；继续推动名师名校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名校长工程，不断壮大骨干队伍；巩固扩大艺体等比赛成果，保持发展优势；全面做好教育资助工作，确保精准精细。三是协调推动重点工作不动摇。做好学生安全教育，防范校园欺凌，筑牢安全堤坝；加强教育宣传，讲好渭滨教育故事，汇聚发展合力；全力推进川陕路小学迁建项目，继续加大优质教育资源供给。接续奋斗，久久为功，加快推进教育现代化，不断提升办学条件，促进区域教育均衡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办好人民满意的教育继续做出渭滨贡献。</w:t>
      </w:r>
    </w:p>
    <w:p w14:paraId="384625C8">
      <w:pPr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三、部门预算单位构成</w:t>
      </w:r>
    </w:p>
    <w:p w14:paraId="648095A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从预算单位构成看，本部门的部门预算包括部门本级（机关）预算和所属事业单位预算。</w:t>
      </w:r>
    </w:p>
    <w:p w14:paraId="459A5E45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纳入本部门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年部门预算编制范围的二级预算单位共有</w:t>
      </w:r>
      <w:r>
        <w:rPr>
          <w:rFonts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</w:t>
      </w:r>
    </w:p>
    <w:tbl>
      <w:tblPr>
        <w:tblStyle w:val="5"/>
        <w:tblpPr w:leftFromText="180" w:rightFromText="180" w:vertAnchor="text" w:horzAnchor="page" w:tblpXSpec="center" w:tblpY="774"/>
        <w:tblOverlap w:val="never"/>
        <w:tblW w:w="972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8423"/>
      </w:tblGrid>
      <w:tr w14:paraId="34F83E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75ECE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8423" w:type="dxa"/>
            <w:vAlign w:val="center"/>
          </w:tcPr>
          <w:p w14:paraId="30AD373B">
            <w:pPr>
              <w:ind w:firstLine="64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位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称</w:t>
            </w:r>
          </w:p>
        </w:tc>
      </w:tr>
      <w:tr w14:paraId="3A71F7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B23086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423" w:type="dxa"/>
            <w:vAlign w:val="center"/>
          </w:tcPr>
          <w:p w14:paraId="38224B77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宝鸡市渭滨区教育体育局（机关）</w:t>
            </w:r>
          </w:p>
        </w:tc>
      </w:tr>
      <w:tr w14:paraId="63E5FE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06A7D5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423" w:type="dxa"/>
            <w:vAlign w:val="center"/>
          </w:tcPr>
          <w:p w14:paraId="738104FF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宝鸡市渭滨区考试管理中心</w:t>
            </w:r>
          </w:p>
        </w:tc>
      </w:tr>
      <w:tr w14:paraId="6A1E26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4DAC44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8423" w:type="dxa"/>
            <w:vAlign w:val="center"/>
          </w:tcPr>
          <w:p w14:paraId="3468BB81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宝鸡市渭滨区学生资助管理中心</w:t>
            </w:r>
          </w:p>
        </w:tc>
      </w:tr>
      <w:tr w14:paraId="090EA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1C6892C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8423" w:type="dxa"/>
            <w:vAlign w:val="center"/>
          </w:tcPr>
          <w:p w14:paraId="27EC677A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宝鸡市渭滨区教育体育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基建工作中心 </w:t>
            </w:r>
          </w:p>
        </w:tc>
      </w:tr>
      <w:tr w14:paraId="129D28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114B01C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8423" w:type="dxa"/>
            <w:vAlign w:val="center"/>
          </w:tcPr>
          <w:p w14:paraId="3805337F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宝鸡市渭滨区教研室</w:t>
            </w:r>
          </w:p>
        </w:tc>
      </w:tr>
      <w:tr w14:paraId="61C1E0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746CD46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8423" w:type="dxa"/>
            <w:vAlign w:val="center"/>
          </w:tcPr>
          <w:p w14:paraId="48AE38F7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宝鸡市渭滨区电化教育中心</w:t>
            </w:r>
          </w:p>
        </w:tc>
      </w:tr>
      <w:tr w14:paraId="03E551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6533650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8423" w:type="dxa"/>
            <w:vAlign w:val="center"/>
          </w:tcPr>
          <w:p w14:paraId="79C016D1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宝鸡市渭滨区教师进修学校</w:t>
            </w:r>
          </w:p>
        </w:tc>
      </w:tr>
      <w:tr w14:paraId="07919E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52B904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8423" w:type="dxa"/>
            <w:vAlign w:val="center"/>
          </w:tcPr>
          <w:p w14:paraId="26913FCB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宝鸡市渭滨区青少年校外活动中心</w:t>
            </w:r>
          </w:p>
        </w:tc>
      </w:tr>
      <w:tr w14:paraId="04FA1F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36A8309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8423" w:type="dxa"/>
            <w:vAlign w:val="center"/>
          </w:tcPr>
          <w:p w14:paraId="607CDF1A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宝鸡市渭滨区职业教育中心</w:t>
            </w:r>
          </w:p>
        </w:tc>
      </w:tr>
      <w:tr w14:paraId="2D9604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3BC52E4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8423" w:type="dxa"/>
            <w:vAlign w:val="center"/>
          </w:tcPr>
          <w:p w14:paraId="09ED3D61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宝鸡市渭滨中学</w:t>
            </w:r>
          </w:p>
        </w:tc>
      </w:tr>
      <w:tr w14:paraId="29739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5339DE7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8423" w:type="dxa"/>
            <w:vAlign w:val="center"/>
          </w:tcPr>
          <w:p w14:paraId="3AEB5C1F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宝鸡市姜谭高级中学</w:t>
            </w:r>
          </w:p>
        </w:tc>
      </w:tr>
      <w:tr w14:paraId="3F5A15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7A65F9E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8423" w:type="dxa"/>
            <w:vAlign w:val="center"/>
          </w:tcPr>
          <w:p w14:paraId="42240E1B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宝鸡市姜城中学</w:t>
            </w:r>
          </w:p>
        </w:tc>
      </w:tr>
      <w:tr w14:paraId="3B842E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0384569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8423" w:type="dxa"/>
            <w:vAlign w:val="center"/>
          </w:tcPr>
          <w:p w14:paraId="453337BC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宝鸡市烽火中学</w:t>
            </w:r>
          </w:p>
        </w:tc>
      </w:tr>
      <w:tr w14:paraId="60DB1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0CB41B6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8423" w:type="dxa"/>
            <w:vAlign w:val="center"/>
          </w:tcPr>
          <w:p w14:paraId="5937552D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宝鸡市长岭中学</w:t>
            </w:r>
          </w:p>
        </w:tc>
      </w:tr>
      <w:tr w14:paraId="2A3983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69F32E6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8423" w:type="dxa"/>
            <w:vAlign w:val="center"/>
          </w:tcPr>
          <w:p w14:paraId="3E884BA1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宝鸡市清姜路中学</w:t>
            </w:r>
          </w:p>
        </w:tc>
      </w:tr>
      <w:tr w14:paraId="04B7D2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B158D9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8423" w:type="dxa"/>
            <w:vAlign w:val="center"/>
          </w:tcPr>
          <w:p w14:paraId="20352096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宝鸡市金陵中学</w:t>
            </w:r>
          </w:p>
        </w:tc>
      </w:tr>
      <w:tr w14:paraId="097F77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070C956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8423" w:type="dxa"/>
            <w:vAlign w:val="center"/>
          </w:tcPr>
          <w:p w14:paraId="12DB9E07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宝鸡市新建路中学</w:t>
            </w:r>
          </w:p>
        </w:tc>
      </w:tr>
      <w:tr w14:paraId="09C44B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1255FFB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8423" w:type="dxa"/>
            <w:vAlign w:val="center"/>
          </w:tcPr>
          <w:p w14:paraId="4034B6DC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宝鸡市相家庄中学</w:t>
            </w:r>
          </w:p>
        </w:tc>
      </w:tr>
      <w:tr w14:paraId="461C1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0F3F07C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8423" w:type="dxa"/>
            <w:vAlign w:val="center"/>
          </w:tcPr>
          <w:p w14:paraId="076D4904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宝鸡市滨河中学</w:t>
            </w:r>
          </w:p>
        </w:tc>
      </w:tr>
      <w:tr w14:paraId="5EAD79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3769710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8423" w:type="dxa"/>
            <w:vAlign w:val="center"/>
          </w:tcPr>
          <w:p w14:paraId="75F931CA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宝鸡市高家村中学</w:t>
            </w:r>
          </w:p>
        </w:tc>
      </w:tr>
      <w:tr w14:paraId="3564F6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11212E4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8423" w:type="dxa"/>
            <w:vAlign w:val="center"/>
          </w:tcPr>
          <w:p w14:paraId="0F0F4DB8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宝鸡市晁峪初级中学</w:t>
            </w:r>
          </w:p>
        </w:tc>
      </w:tr>
      <w:tr w14:paraId="0AC70C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D1957D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8423" w:type="dxa"/>
            <w:vAlign w:val="center"/>
          </w:tcPr>
          <w:p w14:paraId="1840C111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渭滨区陕西秦川机床子弟学校</w:t>
            </w:r>
          </w:p>
        </w:tc>
      </w:tr>
      <w:tr w14:paraId="341FEC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1BB884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8423" w:type="dxa"/>
            <w:vAlign w:val="center"/>
          </w:tcPr>
          <w:p w14:paraId="4C00B5BF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陕西省宝鸡氮肥厂职工子弟学校</w:t>
            </w:r>
          </w:p>
        </w:tc>
      </w:tr>
      <w:tr w14:paraId="5B324B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18AC386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8423" w:type="dxa"/>
            <w:vAlign w:val="center"/>
          </w:tcPr>
          <w:p w14:paraId="59C9B343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宝鸡石油钢管厂职工子弟学校</w:t>
            </w:r>
          </w:p>
        </w:tc>
      </w:tr>
      <w:tr w14:paraId="7703BC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46A5AA0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8423" w:type="dxa"/>
            <w:vAlign w:val="center"/>
          </w:tcPr>
          <w:p w14:paraId="0028544F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陕西宝鸡二电厂子弟学校</w:t>
            </w:r>
          </w:p>
        </w:tc>
      </w:tr>
      <w:tr w14:paraId="0AAC12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7C894BE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8423" w:type="dxa"/>
            <w:vAlign w:val="center"/>
          </w:tcPr>
          <w:p w14:paraId="286C30C3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宝鸡市渭滨区经二路小学</w:t>
            </w:r>
          </w:p>
        </w:tc>
      </w:tr>
      <w:tr w14:paraId="01503A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45ABF0E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8423" w:type="dxa"/>
            <w:vAlign w:val="center"/>
          </w:tcPr>
          <w:p w14:paraId="153C1C60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宝鸡市渭滨区金陵小学</w:t>
            </w:r>
          </w:p>
        </w:tc>
      </w:tr>
      <w:tr w14:paraId="1D591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6135EC7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8423" w:type="dxa"/>
            <w:vAlign w:val="center"/>
          </w:tcPr>
          <w:p w14:paraId="5513A762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宝鸡市渭滨区清姜小学</w:t>
            </w:r>
          </w:p>
        </w:tc>
      </w:tr>
      <w:tr w14:paraId="34962C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6A54BD6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8423" w:type="dxa"/>
            <w:vAlign w:val="center"/>
          </w:tcPr>
          <w:p w14:paraId="6114C34A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宝鸡市渭滨区新民路小学</w:t>
            </w:r>
          </w:p>
        </w:tc>
      </w:tr>
      <w:tr w14:paraId="5EBDF8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7A72B1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8423" w:type="dxa"/>
            <w:vAlign w:val="center"/>
          </w:tcPr>
          <w:p w14:paraId="7A291B31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宝鸡市渭滨区宝桥小学</w:t>
            </w:r>
          </w:p>
        </w:tc>
      </w:tr>
      <w:tr w14:paraId="530C43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7D5F107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8423" w:type="dxa"/>
            <w:vAlign w:val="center"/>
          </w:tcPr>
          <w:p w14:paraId="5E0296AB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宝鸡市渭滨区宝成小学</w:t>
            </w:r>
          </w:p>
        </w:tc>
      </w:tr>
      <w:tr w14:paraId="7FC897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340B2C3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8423" w:type="dxa"/>
            <w:vAlign w:val="center"/>
          </w:tcPr>
          <w:p w14:paraId="2FF88A23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宝鸡市渭滨区凌云小学</w:t>
            </w:r>
          </w:p>
        </w:tc>
      </w:tr>
      <w:tr w14:paraId="31D97F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352EC37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8423" w:type="dxa"/>
            <w:vAlign w:val="center"/>
          </w:tcPr>
          <w:p w14:paraId="548F3868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宝鸡市渭滨区航天小学</w:t>
            </w:r>
          </w:p>
        </w:tc>
      </w:tr>
      <w:tr w14:paraId="00B447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67E6D2C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8423" w:type="dxa"/>
            <w:vAlign w:val="center"/>
          </w:tcPr>
          <w:p w14:paraId="5ECC1ECA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宝鸡市渭滨区川陕路小学</w:t>
            </w:r>
          </w:p>
        </w:tc>
      </w:tr>
      <w:tr w14:paraId="739B59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775548D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8423" w:type="dxa"/>
            <w:vAlign w:val="center"/>
          </w:tcPr>
          <w:p w14:paraId="49086BC5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宝鸡市渭滨区东四路小学</w:t>
            </w:r>
          </w:p>
        </w:tc>
      </w:tr>
      <w:tr w14:paraId="0C4392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04259A1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8423" w:type="dxa"/>
            <w:vAlign w:val="center"/>
          </w:tcPr>
          <w:p w14:paraId="4DE3B86D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宝鸡市渭滨区龙山小学</w:t>
            </w:r>
          </w:p>
        </w:tc>
      </w:tr>
      <w:tr w14:paraId="6B7A88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4305A7D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8423" w:type="dxa"/>
            <w:vAlign w:val="center"/>
          </w:tcPr>
          <w:p w14:paraId="0FFB465C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宝鸡市渭滨区石鼓镇石鼓小学</w:t>
            </w:r>
          </w:p>
        </w:tc>
      </w:tr>
      <w:tr w14:paraId="4DC3CF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371BCB2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8423" w:type="dxa"/>
            <w:vAlign w:val="center"/>
          </w:tcPr>
          <w:p w14:paraId="7124A8C3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宝鸡市渭滨区神农镇益门中心小学</w:t>
            </w:r>
          </w:p>
        </w:tc>
      </w:tr>
      <w:tr w14:paraId="1788C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138F11E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8423" w:type="dxa"/>
            <w:vAlign w:val="center"/>
          </w:tcPr>
          <w:p w14:paraId="2BD563D0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宝鸡市渭滨区高家镇孔家庄中心小学</w:t>
            </w:r>
          </w:p>
        </w:tc>
      </w:tr>
      <w:tr w14:paraId="0E99D3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38283FB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8423" w:type="dxa"/>
            <w:vAlign w:val="center"/>
          </w:tcPr>
          <w:p w14:paraId="0AA2E6FD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宝鸡市渭滨区广元路幼儿园</w:t>
            </w:r>
          </w:p>
        </w:tc>
      </w:tr>
      <w:tr w14:paraId="014E4C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6AC3360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8423" w:type="dxa"/>
            <w:vAlign w:val="center"/>
          </w:tcPr>
          <w:p w14:paraId="29E00294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宝鸡市渭滨区川陕路幼儿园</w:t>
            </w:r>
          </w:p>
        </w:tc>
      </w:tr>
      <w:tr w14:paraId="13D3F9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0131056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8423" w:type="dxa"/>
            <w:vAlign w:val="center"/>
          </w:tcPr>
          <w:p w14:paraId="5FEE070F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宝鸡市渭滨区龙山幼儿园</w:t>
            </w:r>
          </w:p>
        </w:tc>
      </w:tr>
      <w:tr w14:paraId="6C1A7E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6F552C2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8423" w:type="dxa"/>
            <w:vAlign w:val="center"/>
          </w:tcPr>
          <w:p w14:paraId="770D5B5D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宝鸡市渭滨区石鼓镇中心幼儿园</w:t>
            </w:r>
          </w:p>
        </w:tc>
      </w:tr>
      <w:tr w14:paraId="2736EE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517A631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8423" w:type="dxa"/>
            <w:vAlign w:val="center"/>
          </w:tcPr>
          <w:p w14:paraId="1D28A030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宝鸡市渭滨区神农镇中心幼儿园</w:t>
            </w:r>
          </w:p>
        </w:tc>
      </w:tr>
      <w:tr w14:paraId="5C782A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CellSpacing w:w="0" w:type="dxa"/>
          <w:jc w:val="center"/>
        </w:trPr>
        <w:tc>
          <w:tcPr>
            <w:tcW w:w="1300" w:type="dxa"/>
            <w:vAlign w:val="center"/>
          </w:tcPr>
          <w:p w14:paraId="2C5C12A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8423" w:type="dxa"/>
            <w:vAlign w:val="center"/>
          </w:tcPr>
          <w:p w14:paraId="2FE696AB"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宝鸡市渭滨区高家镇中心幼儿园</w:t>
            </w:r>
          </w:p>
        </w:tc>
      </w:tr>
    </w:tbl>
    <w:p w14:paraId="6C7DD1A2">
      <w:pPr>
        <w:ind w:firstLine="640"/>
        <w:rPr>
          <w:rFonts w:hint="eastAsia" w:ascii="黑体" w:hAnsi="黑体" w:eastAsia="黑体" w:cs="仿宋_GB2312"/>
          <w:sz w:val="32"/>
          <w:szCs w:val="32"/>
        </w:rPr>
      </w:pPr>
    </w:p>
    <w:p w14:paraId="1331C92B">
      <w:pPr>
        <w:numPr>
          <w:ilvl w:val="0"/>
          <w:numId w:val="2"/>
        </w:numPr>
        <w:ind w:firstLine="64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部门人员情况说明</w:t>
      </w:r>
    </w:p>
    <w:p w14:paraId="3F291117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</w:t>
      </w:r>
      <w:r>
        <w:rPr>
          <w:rFonts w:hint="eastAsia" w:ascii="仿宋_GB2312" w:hAnsi="仿宋_GB2312" w:eastAsia="仿宋_GB2312" w:cs="仿宋_GB2312"/>
          <w:sz w:val="32"/>
          <w:szCs w:val="32"/>
        </w:rPr>
        <w:t>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4E1A7CF1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72965" cy="2778760"/>
            <wp:effectExtent l="4445" t="4445" r="8890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54A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 w14:paraId="1E081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年部门预算收支说明</w:t>
      </w:r>
    </w:p>
    <w:p w14:paraId="1377075D"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（一）收支预算总体情况。</w:t>
      </w:r>
    </w:p>
    <w:p w14:paraId="6BA8554E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年本部门预算收入42736.7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上年结转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年本部门预算收入较上年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</w:p>
    <w:p w14:paraId="20DC46F1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上年结转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年本部门预算支出较上年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</w:p>
    <w:p w14:paraId="6419D197">
      <w:pPr>
        <w:widowControl/>
        <w:ind w:firstLine="640" w:firstLineChars="200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</w:p>
    <w:p w14:paraId="364492BC"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（二）财政拨款收支情况。</w:t>
      </w:r>
    </w:p>
    <w:p w14:paraId="5043B597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年本部门财政拨款收入42736.7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</w:rPr>
        <w:t>一般公共预算拨款收入42736.7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年本部门财政拨款收入较上年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</w:p>
    <w:p w14:paraId="0BCC5B09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年本部门财政拨款支出42736.7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</w:rPr>
        <w:t>一般公共预算拨款支出42736.7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年本部门财政拨款支出较上年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</w:p>
    <w:p w14:paraId="7B1AC0D6"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（三）一般公共预算拨款支出明细情况。</w:t>
      </w:r>
    </w:p>
    <w:p w14:paraId="4E11D51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、一般公共预算当年拨款规模变化情况。</w:t>
      </w:r>
    </w:p>
    <w:p w14:paraId="635A5FE1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年本部门当年一般公共预算拨款支出42736.7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2DBF8037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38675" cy="2845435"/>
            <wp:effectExtent l="4445" t="4445" r="5080" b="762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A9F0DF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、支出按功能科目分类的明细情况。</w:t>
      </w:r>
    </w:p>
    <w:p w14:paraId="52DC4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年当年一般公共预算支出42736.7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 w14:paraId="18B7BFB1">
      <w:pPr>
        <w:widowControl/>
        <w:ind w:firstLine="4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ascii="仿宋_GB2312" w:hAnsi="宋体" w:eastAsia="仿宋_GB2312" w:cs="宋体"/>
          <w:kern w:val="0"/>
          <w:sz w:val="32"/>
          <w:szCs w:val="32"/>
        </w:rPr>
        <w:t>2050101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221.75万元，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3407.68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今年将教师奖励性绩效工资单独预算，未列入行政运行科目。</w:t>
      </w:r>
    </w:p>
    <w:p w14:paraId="2F6AF55D"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）学前教育</w:t>
      </w:r>
      <w:r>
        <w:rPr>
          <w:rFonts w:ascii="仿宋_GB2312" w:hAnsi="宋体" w:eastAsia="仿宋_GB2312" w:cs="宋体"/>
          <w:kern w:val="0"/>
          <w:sz w:val="32"/>
          <w:szCs w:val="32"/>
        </w:rPr>
        <w:t>(2050201)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1904.98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353.23万元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幼儿园区级专项补助及幼儿园建设项目等增加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78133BD7"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）小学教育（</w:t>
      </w:r>
      <w:r>
        <w:rPr>
          <w:rFonts w:ascii="仿宋_GB2312" w:hAnsi="宋体" w:eastAsia="仿宋_GB2312" w:cs="宋体"/>
          <w:kern w:val="0"/>
          <w:sz w:val="32"/>
          <w:szCs w:val="32"/>
        </w:rPr>
        <w:t>2050202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）13901.68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2927.88万元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人员和绩效工资增量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E4F7B6A"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）初中教育（</w:t>
      </w:r>
      <w:r>
        <w:rPr>
          <w:rFonts w:ascii="仿宋_GB2312" w:hAnsi="宋体" w:eastAsia="仿宋_GB2312" w:cs="宋体"/>
          <w:kern w:val="0"/>
          <w:sz w:val="32"/>
          <w:szCs w:val="32"/>
        </w:rPr>
        <w:t>2050203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）11042.43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2240.57万元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人员和绩效工资增量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408F99A3">
      <w:pPr>
        <w:widowControl/>
        <w:ind w:firstLine="480"/>
        <w:jc w:val="left"/>
        <w:rPr>
          <w:rFonts w:ascii="仿宋_GB2312" w:hAnsi="宋体" w:eastAsia="仿宋_GB2312" w:cs="宋体"/>
          <w:color w:val="8EB4E3" w:themeColor="text2" w:themeTint="66"/>
          <w:kern w:val="0"/>
          <w:sz w:val="32"/>
          <w:szCs w:val="32"/>
          <w:highlight w:val="none"/>
          <w14:textFill>
            <w14:solidFill>
              <w14:schemeClr w14:val="tx2">
                <w14:lumMod w14:val="40000"/>
                <w14:lumOff w14:val="60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）高中教育（</w:t>
      </w:r>
      <w:r>
        <w:rPr>
          <w:rFonts w:ascii="仿宋_GB2312" w:hAnsi="宋体" w:eastAsia="仿宋_GB2312" w:cs="宋体"/>
          <w:kern w:val="0"/>
          <w:sz w:val="32"/>
          <w:szCs w:val="32"/>
        </w:rPr>
        <w:t>2050204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）7034.7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6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5707.90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1326.86万元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人员和绩效工资增量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08A67A99"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）职业高中教育（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2050304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768.71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168.2万元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职业教育人员经费项目增加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4B432C4D"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）教师进修（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2050801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）124.85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100.41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24.44万元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，主要是事业单位人员经费支出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增加。</w:t>
      </w:r>
    </w:p>
    <w:p w14:paraId="72130417">
      <w:pPr>
        <w:widowControl/>
        <w:ind w:firstLine="4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）教育费附加安排的支出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1000万元， 主要原因是中小学校舍建设项目和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教育费附加安排的支出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760D3C00"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）其他体育支出（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2070399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）71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元，较上年其他体育支出数持平。</w:t>
      </w:r>
    </w:p>
    <w:p w14:paraId="116B4181"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）事业单位离退休（</w:t>
      </w:r>
      <w:r>
        <w:rPr>
          <w:rFonts w:ascii="仿宋_GB2312" w:hAnsi="宋体" w:eastAsia="仿宋_GB2312" w:cs="宋体"/>
          <w:kern w:val="0"/>
          <w:sz w:val="32"/>
          <w:szCs w:val="32"/>
        </w:rPr>
        <w:t>2080502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）43.43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支出数持平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1AC801A3"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）机关事业单位基本养老保险缴费支出（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）3307.7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28.6万元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主要原因是机关事业单位基本养老保险费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系数下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调。</w:t>
      </w:r>
    </w:p>
    <w:p w14:paraId="3A41A006"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）行政单位医疗支出（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2101101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）13.9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6.26万元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新增行政人员及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缴费上调。</w:t>
      </w:r>
    </w:p>
    <w:p w14:paraId="068425EE"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）事业单位医疗支出（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2101102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）2097.2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20.3万元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新增事业人员及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缴费上调。</w:t>
      </w:r>
    </w:p>
    <w:p w14:paraId="4113254C"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）扶贫农村基础设施建设（</w:t>
      </w:r>
      <w:r>
        <w:rPr>
          <w:rFonts w:ascii="仿宋_GB2312" w:hAnsi="宋体" w:eastAsia="仿宋_GB2312" w:cs="宋体"/>
          <w:kern w:val="0"/>
          <w:sz w:val="32"/>
          <w:szCs w:val="32"/>
        </w:rPr>
        <w:t>2130504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）4.3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上年新增扶贫资金农村体育健身设施管理费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 w14:paraId="642DB68E"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、支出按经济科目分类的明细情况</w:t>
      </w:r>
    </w:p>
    <w:p w14:paraId="5CB4F1D8">
      <w:pPr>
        <w:widowControl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按照部门预算支出经济分类科目的类级科目说明</w:t>
      </w:r>
    </w:p>
    <w:p w14:paraId="032FFCBC">
      <w:pPr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年本部门一般公共预算支出</w:t>
      </w:r>
      <w:r>
        <w:rPr>
          <w:rFonts w:hint="eastAsia" w:ascii="仿宋" w:hAnsi="仿宋" w:eastAsia="仿宋" w:cs="仿宋"/>
          <w:sz w:val="32"/>
          <w:szCs w:val="32"/>
        </w:rPr>
        <w:t>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 w14:paraId="5D9D1D6C">
      <w:pPr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工资福利支出（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301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）38466.5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 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4281.72万元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新增人员和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正常调资晋档带来的人员经费增加。</w:t>
      </w:r>
    </w:p>
    <w:p w14:paraId="245B873A">
      <w:pPr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3141.00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382.47万元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原因是中小学公用经费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区级专项经费，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幼儿园经费等支出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270859F4">
      <w:pPr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对个人和家庭补助支出（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303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）1009.23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705.16万元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科目。</w:t>
      </w:r>
    </w:p>
    <w:p w14:paraId="7839AD97">
      <w:pPr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对企业补助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312）120万元，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普惠性幼儿园发展专项经费增加。</w:t>
      </w:r>
    </w:p>
    <w:p w14:paraId="6EF241D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374515" cy="2316480"/>
            <wp:effectExtent l="4445" t="4445" r="21590" b="222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0AFC9C4">
      <w:pPr>
        <w:widowControl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按照政府预算支出经济分类科目的类级科目说明</w:t>
      </w:r>
    </w:p>
    <w:p w14:paraId="51BB571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年本部门一般公共预算支出</w:t>
      </w:r>
      <w:r>
        <w:rPr>
          <w:rFonts w:hint="eastAsia" w:ascii="仿宋" w:hAnsi="仿宋" w:eastAsia="仿宋" w:cs="仿宋"/>
          <w:sz w:val="32"/>
          <w:szCs w:val="32"/>
        </w:rPr>
        <w:t>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 w14:paraId="4AE498A3">
      <w:pPr>
        <w:widowControl/>
        <w:ind w:firstLine="4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机关工资福利支出（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501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）1941.5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4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3980.04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2038.50万元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今年将教师奖励性绩效工资单独预算，未列入此科目。</w:t>
      </w:r>
    </w:p>
    <w:p w14:paraId="77159201">
      <w:pPr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机关商品和服务支出（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502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）1767.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50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123.71万元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，原因是中小学公用经费、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区级专项经费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幼儿园经费等资金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4BF61CF8">
      <w:pPr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对事业单位经常性补助（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505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）37898.6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元，较上年增加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6826.53万元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新增人员和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在职人员正常调资晋档带来的人员经费增长。</w:t>
      </w:r>
    </w:p>
    <w:p w14:paraId="4A6FB6C5">
      <w:pPr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对企业补助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507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0.00万元，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普惠性幼儿园发展专项经费增加。</w:t>
      </w:r>
    </w:p>
    <w:p w14:paraId="38668CC7">
      <w:pPr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对个人和家庭的补助（</w:t>
      </w:r>
      <w:r>
        <w:rPr>
          <w:rFonts w:ascii="仿宋_GB2312" w:hAnsi="宋体" w:eastAsia="仿宋_GB2312" w:cs="宋体"/>
          <w:kern w:val="0"/>
          <w:sz w:val="32"/>
          <w:szCs w:val="32"/>
        </w:rPr>
        <w:t>509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）1009.1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304.07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705.04万元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科目。</w:t>
      </w:r>
    </w:p>
    <w:p w14:paraId="7B6B2B29">
      <w:pPr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4、20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年结转财政资金一般公共预算拨款支出情况。</w:t>
      </w:r>
    </w:p>
    <w:p w14:paraId="76F42465">
      <w:pPr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本部门无20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年结转的一般公共预算拨款资金支出</w:t>
      </w:r>
    </w:p>
    <w:p w14:paraId="4964EC6F"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（四）政府性基金预算支出情况。</w:t>
      </w:r>
    </w:p>
    <w:p w14:paraId="5E03EF5D">
      <w:pPr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当年政府性基金预算支出情况。</w:t>
      </w:r>
    </w:p>
    <w:p w14:paraId="50B49E8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政府性基金预算收支，并已公开空表。</w:t>
      </w:r>
    </w:p>
    <w:p w14:paraId="66C9155F">
      <w:pPr>
        <w:numPr>
          <w:ilvl w:val="0"/>
          <w:numId w:val="3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上年结转政府性基金预算支出情况。</w:t>
      </w:r>
    </w:p>
    <w:p w14:paraId="78871027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年结转的政府性基金预算拨款支出</w:t>
      </w:r>
    </w:p>
    <w:p w14:paraId="6F4FC84F"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（五）国有资本经营预算拨款收支情况。</w:t>
      </w:r>
    </w:p>
    <w:p w14:paraId="1CCE6D01"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26AFA55"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年结转的国有资本经营预算拨款支出</w:t>
      </w:r>
    </w:p>
    <w:p w14:paraId="0E1220F2">
      <w:pPr>
        <w:ind w:firstLine="64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 w14:paraId="17F20981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 w14:paraId="418E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年本部门当年一般公共预算“三公”经费预算支出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0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万元，较上年减少9.37万元（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%），减少的主要原因是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实行厉行节约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。其中：因公出国（境）经费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与上年持平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万元，较上年减少9.37万元（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%），减少的主要原因是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实行厉行节约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与上年持平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；公务用车购置费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与上年持平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B702871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年会议费预算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实行厉行节约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 w14:paraId="53F25FC7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年培训费预算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6634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 w14:paraId="3397E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年底，本部门所属预算单位共有车辆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 w14:paraId="03D3E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年结转的财政拨款支出资产购置。</w:t>
      </w:r>
    </w:p>
    <w:p w14:paraId="0FE7B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八、部门政府采购情况说明</w:t>
      </w:r>
    </w:p>
    <w:p w14:paraId="68EE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年当年本部门政府采购预算共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编入2021年部门综合预算执行</w:t>
      </w:r>
      <w:r>
        <w:rPr>
          <w:rFonts w:hint="eastAsia" w:ascii="仿宋" w:hAnsi="仿宋" w:eastAsia="仿宋" w:cs="仿宋"/>
          <w:sz w:val="32"/>
          <w:szCs w:val="32"/>
        </w:rPr>
        <w:t>，其中政府采购货物类预算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万元、政府采购服务类预算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万元、政府采购工程类预算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万元（详见公开报表中的政府采购表）。</w:t>
      </w:r>
    </w:p>
    <w:p w14:paraId="3D9DC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年结转的政府采购资金支出。</w:t>
      </w:r>
    </w:p>
    <w:p w14:paraId="5FB04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 w14:paraId="5BD88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年本部门绩效目标管理全覆盖，涉及当年一般公共预算拨款42736.7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万元,当年政府性基金预算拨款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 w14:paraId="0A2ED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年结转的财政拨款支出涉及的绩效目标管理。</w:t>
      </w:r>
    </w:p>
    <w:p w14:paraId="784A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 w14:paraId="2B078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增加了机关职工培训和交通费开支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723C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年结转的财政拨款机关运行经费支出。</w:t>
      </w:r>
    </w:p>
    <w:p w14:paraId="22B6BAA6">
      <w:pPr>
        <w:numPr>
          <w:ilvl w:val="0"/>
          <w:numId w:val="4"/>
        </w:num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 w14:paraId="23FB2B12"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011AFCA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1F8D8E59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 w14:paraId="2CC494E8">
      <w:pPr>
        <w:ind w:firstLine="320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（见附件2内容）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5B2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5C26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FD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F8DD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99C4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DD2B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4F4A1"/>
    <w:multiLevelType w:val="singleLevel"/>
    <w:tmpl w:val="B9D4F4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B6BC03"/>
    <w:multiLevelType w:val="singleLevel"/>
    <w:tmpl w:val="ECB6BC0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80D9A99"/>
    <w:multiLevelType w:val="singleLevel"/>
    <w:tmpl w:val="F80D9A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CD6673E"/>
    <w:multiLevelType w:val="singleLevel"/>
    <w:tmpl w:val="7CD6673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2444"/>
    <w:rsid w:val="00004F46"/>
    <w:rsid w:val="00020608"/>
    <w:rsid w:val="00021802"/>
    <w:rsid w:val="00030329"/>
    <w:rsid w:val="00076283"/>
    <w:rsid w:val="001177E3"/>
    <w:rsid w:val="001D3A32"/>
    <w:rsid w:val="00263020"/>
    <w:rsid w:val="002F7F5E"/>
    <w:rsid w:val="00343468"/>
    <w:rsid w:val="00346F09"/>
    <w:rsid w:val="003801D2"/>
    <w:rsid w:val="003C53D0"/>
    <w:rsid w:val="00427816"/>
    <w:rsid w:val="00533A9F"/>
    <w:rsid w:val="00575E68"/>
    <w:rsid w:val="00584A39"/>
    <w:rsid w:val="005B0505"/>
    <w:rsid w:val="005E7576"/>
    <w:rsid w:val="00605763"/>
    <w:rsid w:val="00615BA4"/>
    <w:rsid w:val="0061619F"/>
    <w:rsid w:val="00635F89"/>
    <w:rsid w:val="006410A9"/>
    <w:rsid w:val="006452A3"/>
    <w:rsid w:val="00671D91"/>
    <w:rsid w:val="00736F9C"/>
    <w:rsid w:val="007814E1"/>
    <w:rsid w:val="007D4716"/>
    <w:rsid w:val="00803D11"/>
    <w:rsid w:val="00807005"/>
    <w:rsid w:val="00834C02"/>
    <w:rsid w:val="00863166"/>
    <w:rsid w:val="00881A02"/>
    <w:rsid w:val="00894E25"/>
    <w:rsid w:val="008A707B"/>
    <w:rsid w:val="00902E60"/>
    <w:rsid w:val="0096769F"/>
    <w:rsid w:val="009C62EC"/>
    <w:rsid w:val="009D205F"/>
    <w:rsid w:val="009D324B"/>
    <w:rsid w:val="00A25D21"/>
    <w:rsid w:val="00A52C99"/>
    <w:rsid w:val="00AA5700"/>
    <w:rsid w:val="00AC160B"/>
    <w:rsid w:val="00B3430B"/>
    <w:rsid w:val="00B73927"/>
    <w:rsid w:val="00C35831"/>
    <w:rsid w:val="00C56284"/>
    <w:rsid w:val="00CA5FFF"/>
    <w:rsid w:val="00CB4813"/>
    <w:rsid w:val="00D26F3E"/>
    <w:rsid w:val="00D812A0"/>
    <w:rsid w:val="00D84E60"/>
    <w:rsid w:val="00D867BD"/>
    <w:rsid w:val="00DB142D"/>
    <w:rsid w:val="00DD4858"/>
    <w:rsid w:val="00DD4E2B"/>
    <w:rsid w:val="00DE6C94"/>
    <w:rsid w:val="00E20C25"/>
    <w:rsid w:val="00E21BF7"/>
    <w:rsid w:val="00E32AF1"/>
    <w:rsid w:val="00E65F9D"/>
    <w:rsid w:val="00E70FDF"/>
    <w:rsid w:val="00ED3819"/>
    <w:rsid w:val="00F14F95"/>
    <w:rsid w:val="00F21624"/>
    <w:rsid w:val="00F34CC1"/>
    <w:rsid w:val="00F417E8"/>
    <w:rsid w:val="00F53B27"/>
    <w:rsid w:val="00F716BC"/>
    <w:rsid w:val="00FD3694"/>
    <w:rsid w:val="00FE1412"/>
    <w:rsid w:val="029F7A87"/>
    <w:rsid w:val="04AD70EE"/>
    <w:rsid w:val="061D4683"/>
    <w:rsid w:val="087B7477"/>
    <w:rsid w:val="0A114836"/>
    <w:rsid w:val="0A6B7D7B"/>
    <w:rsid w:val="0AD20970"/>
    <w:rsid w:val="0DD86A41"/>
    <w:rsid w:val="0DF31D40"/>
    <w:rsid w:val="0E596D80"/>
    <w:rsid w:val="0E5D553D"/>
    <w:rsid w:val="0F9D3725"/>
    <w:rsid w:val="1044490B"/>
    <w:rsid w:val="105F2055"/>
    <w:rsid w:val="117604AF"/>
    <w:rsid w:val="121F7B18"/>
    <w:rsid w:val="12216F72"/>
    <w:rsid w:val="14923B6C"/>
    <w:rsid w:val="15BB0D33"/>
    <w:rsid w:val="1634680B"/>
    <w:rsid w:val="18A216C7"/>
    <w:rsid w:val="18CB5F2A"/>
    <w:rsid w:val="1E270B1C"/>
    <w:rsid w:val="1FD51C9A"/>
    <w:rsid w:val="215E1800"/>
    <w:rsid w:val="23770659"/>
    <w:rsid w:val="237B7F50"/>
    <w:rsid w:val="242E3337"/>
    <w:rsid w:val="24CB4C1D"/>
    <w:rsid w:val="295F7412"/>
    <w:rsid w:val="2BB26B38"/>
    <w:rsid w:val="2C350C11"/>
    <w:rsid w:val="2E3515C4"/>
    <w:rsid w:val="302B1D97"/>
    <w:rsid w:val="305E3F51"/>
    <w:rsid w:val="362B7ADA"/>
    <w:rsid w:val="371829E1"/>
    <w:rsid w:val="38AD3FE3"/>
    <w:rsid w:val="3CEE26A9"/>
    <w:rsid w:val="3EE1400E"/>
    <w:rsid w:val="3FA42CA3"/>
    <w:rsid w:val="40FF550A"/>
    <w:rsid w:val="423C4410"/>
    <w:rsid w:val="42B473A0"/>
    <w:rsid w:val="44671A87"/>
    <w:rsid w:val="4467458C"/>
    <w:rsid w:val="4507318B"/>
    <w:rsid w:val="4635106E"/>
    <w:rsid w:val="4A387C86"/>
    <w:rsid w:val="4B992D77"/>
    <w:rsid w:val="4C1D4CCA"/>
    <w:rsid w:val="4C2670BC"/>
    <w:rsid w:val="4F5E7ED3"/>
    <w:rsid w:val="501677A3"/>
    <w:rsid w:val="513912B3"/>
    <w:rsid w:val="52A766C9"/>
    <w:rsid w:val="553D43E9"/>
    <w:rsid w:val="55C61D19"/>
    <w:rsid w:val="5604235A"/>
    <w:rsid w:val="567852EC"/>
    <w:rsid w:val="5964389D"/>
    <w:rsid w:val="5B2078B2"/>
    <w:rsid w:val="5B312786"/>
    <w:rsid w:val="5B3E1695"/>
    <w:rsid w:val="5E412920"/>
    <w:rsid w:val="5E492444"/>
    <w:rsid w:val="60F376D1"/>
    <w:rsid w:val="655A2223"/>
    <w:rsid w:val="66DD0072"/>
    <w:rsid w:val="67B20CF1"/>
    <w:rsid w:val="69C303F8"/>
    <w:rsid w:val="6C6A2ABE"/>
    <w:rsid w:val="6DC27C6A"/>
    <w:rsid w:val="6E0A72E7"/>
    <w:rsid w:val="71967CD2"/>
    <w:rsid w:val="73584857"/>
    <w:rsid w:val="74750A66"/>
    <w:rsid w:val="74E15041"/>
    <w:rsid w:val="75987E3E"/>
    <w:rsid w:val="768F7791"/>
    <w:rsid w:val="775C1463"/>
    <w:rsid w:val="794D6390"/>
    <w:rsid w:val="7A9A0BBB"/>
    <w:rsid w:val="7BEC2E41"/>
    <w:rsid w:val="7CE038B9"/>
    <w:rsid w:val="7D0C3AE1"/>
    <w:rsid w:val="7E8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Header Char"/>
    <w:basedOn w:val="7"/>
    <w:link w:val="3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2020年底本部门人员编制情况图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总编制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应有人数</c:v>
                </c:pt>
                <c:pt idx="1">
                  <c:v>实有人数</c:v>
                </c:pt>
                <c:pt idx="2">
                  <c:v>离退休人数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3202</c:v>
                </c:pt>
                <c:pt idx="1">
                  <c:v>2961</c:v>
                </c:pt>
                <c:pt idx="2">
                  <c:v>1888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应有人数</c:v>
                </c:pt>
                <c:pt idx="1">
                  <c:v>实有人数</c:v>
                </c:pt>
                <c:pt idx="2">
                  <c:v>离退休人数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19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事业单位人员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应有人数</c:v>
                </c:pt>
                <c:pt idx="1">
                  <c:v>实有人数</c:v>
                </c:pt>
                <c:pt idx="2">
                  <c:v>离退休人数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3183</c:v>
                </c:pt>
                <c:pt idx="1">
                  <c:v>2947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应有人数</c:v>
                </c:pt>
                <c:pt idx="1">
                  <c:v>实有人数</c:v>
                </c:pt>
                <c:pt idx="2">
                  <c:v>离退休人数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82574972"/>
        <c:axId val="30757237"/>
      </c:barChart>
      <c:catAx>
        <c:axId val="8825749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757237"/>
        <c:crosses val="autoZero"/>
        <c:auto val="1"/>
        <c:lblAlgn val="ctr"/>
        <c:lblOffset val="100"/>
        <c:noMultiLvlLbl val="0"/>
      </c:catAx>
      <c:valAx>
        <c:axId val="3075723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25749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527a7b0-196e-4c9b-ad2a-6d429dbb642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</a:t>
            </a:r>
            <a:r>
              <a:rPr lang="en-US" altLang="zh-CN" sz="1200"/>
              <a:t>20</a:t>
            </a:r>
            <a:r>
              <a:rPr sz="1200"/>
              <a:t>-202</a:t>
            </a:r>
            <a:r>
              <a:rPr lang="en-US" altLang="zh-CN" sz="1200"/>
              <a:t>1</a:t>
            </a:r>
            <a:r>
              <a:rPr sz="1200"/>
              <a:t>一般公共预算拨款支出图</a:t>
            </a:r>
            <a:endParaRPr sz="1200"/>
          </a:p>
        </c:rich>
      </c:tx>
      <c:layout>
        <c:manualLayout>
          <c:xMode val="edge"/>
          <c:yMode val="edge"/>
          <c:x val="0.25"/>
          <c:y val="0.02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Sheet1!$A$2:$A$6</c15:sqref>
                  </c15:fullRef>
                </c:ext>
              </c:extLst>
              <c:f>Sheet1!$A$2:$A$4</c:f>
              <c:strCache>
                <c:ptCount val="3"/>
                <c:pt idx="0">
                  <c:v>2021年一般公共预算拨款支出</c:v>
                </c:pt>
                <c:pt idx="1">
                  <c:v>2020年一般公共预算拨款支出</c:v>
                </c:pt>
                <c:pt idx="2">
                  <c:v>比上年增加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Sheet1!$B$2:$B$6</c15:sqref>
                  </c15:fullRef>
                </c:ext>
              </c:extLst>
              <c:f>Sheet1!$B$2:$B$4</c:f>
              <c:numCache>
                <c:formatCode>General</c:formatCode>
                <c:ptCount val="3"/>
                <c:pt idx="0">
                  <c:v>42736.76</c:v>
                </c:pt>
              </c:numCache>
            </c:numRef>
          </c:val>
        </c:ser>
        <c:ser>
          <c:idx val="3"/>
          <c:order val="3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Sheet1!$A$2:$A$6</c15:sqref>
                  </c15:fullRef>
                </c:ext>
              </c:extLst>
              <c:f>Sheet1!$A$2:$A$4</c:f>
              <c:strCache>
                <c:ptCount val="3"/>
                <c:pt idx="0">
                  <c:v>2021年一般公共预算拨款支出</c:v>
                </c:pt>
                <c:pt idx="1">
                  <c:v>2020年一般公共预算拨款支出</c:v>
                </c:pt>
                <c:pt idx="2">
                  <c:v>比上年增加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Sheet1!$C$2:$C$6</c15:sqref>
                  </c15:fullRef>
                </c:ext>
              </c:extLst>
              <c:f>Sheet1!$C$2:$C$4</c:f>
              <c:numCache>
                <c:formatCode>General</c:formatCode>
                <c:ptCount val="3"/>
                <c:pt idx="1">
                  <c:v>38362.4</c:v>
                </c:pt>
              </c:numCache>
            </c:numRef>
          </c:val>
        </c:ser>
        <c:ser>
          <c:idx val="4"/>
          <c:order val="4"/>
          <c:tx>
            <c:strRef>
              <c:f>Sheet1!$D$1</c:f>
              <c:strCache>
                <c:ptCount val="1"/>
                <c:pt idx="0">
                  <c:v>系列3</c:v>
                </c:pt>
              </c:strCache>
            </c:strRef>
          </c:tx>
          <c:spPr>
            <a:pattFill prst="pct5">
              <a:fgClr>
                <a:srgbClr val="FFFF00"/>
              </a:fgClr>
              <a:bgClr>
                <a:srgbClr val="FFC000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Sheet1!$A$2:$A$6</c15:sqref>
                  </c15:fullRef>
                </c:ext>
              </c:extLst>
              <c:f>Sheet1!$A$2:$A$4</c:f>
              <c:strCache>
                <c:ptCount val="3"/>
                <c:pt idx="0">
                  <c:v>2021年一般公共预算拨款支出</c:v>
                </c:pt>
                <c:pt idx="1">
                  <c:v>2020年一般公共预算拨款支出</c:v>
                </c:pt>
                <c:pt idx="2">
                  <c:v>比上年增加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Sheet1!$D$2:$D$6</c15:sqref>
                  </c15:fullRef>
                </c:ext>
              </c:extLst>
              <c:f>Sheet1!$D$2:$D$4</c:f>
              <c:numCache>
                <c:formatCode>General</c:formatCode>
                <c:ptCount val="3"/>
                <c:pt idx="2">
                  <c:v>4374.36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788689"/>
        <c:axId val="147484312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hade val="51000"/>
                          <a:satMod val="130000"/>
                        </a:schemeClr>
                      </a:gs>
                      <a:gs pos="80000">
                        <a:schemeClr val="accent2">
                          <a:shade val="93000"/>
                          <a:satMod val="130000"/>
                        </a:schemeClr>
                      </a:gs>
                      <a:gs pos="100000">
                        <a:schemeClr val="accent2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>Sheet1!$A$2:$A$6</c15:sqref>
                        </c15:fullRef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2021年一般公共预算拨款支出</c:v>
                      </c:pt>
                      <c:pt idx="1">
                        <c:v>2020年一般公共预算拨款支出</c:v>
                      </c:pt>
                      <c:pt idx="2">
                        <c:v>比上年增加</c:v>
                      </c:pt>
                    </c:strCache>
                  </c:strRef>
                </c:cat>
              </c15:ser>
            </c15:filteredBarSeries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hade val="51000"/>
                          <a:satMod val="130000"/>
                        </a:schemeClr>
                      </a:gs>
                      <a:gs pos="80000">
                        <a:schemeClr val="accent3">
                          <a:shade val="93000"/>
                          <a:satMod val="130000"/>
                        </a:schemeClr>
                      </a:gs>
                      <a:gs pos="100000">
                        <a:schemeClr val="accent3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>Sheet1!$A$2:$A$6</c15:sqref>
                        </c15:fullRef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2021年一般公共预算拨款支出</c:v>
                      </c:pt>
                      <c:pt idx="1">
                        <c:v>2020年一般公共预算拨款支出</c:v>
                      </c:pt>
                      <c:pt idx="2">
                        <c:v>比上年增加</c:v>
                      </c:pt>
                    </c:strCache>
                  </c:strRef>
                </c:cat>
              </c15:ser>
            </c15:filteredBarSeries>
          </c:ext>
        </c:extLst>
      </c:barChart>
      <c:catAx>
        <c:axId val="4078868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147484312"/>
        <c:crosses val="autoZero"/>
        <c:auto val="1"/>
        <c:lblAlgn val="ctr"/>
        <c:lblOffset val="100"/>
        <c:noMultiLvlLbl val="0"/>
      </c:catAx>
      <c:valAx>
        <c:axId val="14748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4078868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b9d910e-ca85-440c-9a7d-5343444318be}"/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/>
              <a:t>2020-2021</a:t>
            </a:r>
            <a:r>
              <a:rPr altLang="en-US" b="1"/>
              <a:t>年一般公共预算支出（按经济分类的明细表）</a:t>
            </a:r>
            <a:endParaRPr altLang="en-US" b="1"/>
          </a:p>
        </c:rich>
      </c:tx>
      <c:layout>
        <c:manualLayout>
          <c:xMode val="edge"/>
          <c:yMode val="edge"/>
          <c:x val="0.204139121960187"/>
          <c:y val="0.04693353508687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176394960144"/>
          <c:y val="0.00491803278688525"/>
          <c:w val="0.697814348161481"/>
          <c:h val="0.70383606557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工资福利支出 </c:v>
                </c:pt>
                <c:pt idx="1">
                  <c:v>商品和服务支出</c:v>
                </c:pt>
                <c:pt idx="2">
                  <c:v>对个人和家庭补助支出</c:v>
                </c:pt>
                <c:pt idx="3">
                  <c:v>资本性支出（基本建设）</c:v>
                </c:pt>
                <c:pt idx="4">
                  <c:v>资本性支出</c:v>
                </c:pt>
                <c:pt idx="5">
                  <c:v>对企业补助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34184.81</c:v>
                </c:pt>
                <c:pt idx="1">
                  <c:v>2758.53</c:v>
                </c:pt>
                <c:pt idx="2">
                  <c:v>304.07</c:v>
                </c:pt>
                <c:pt idx="3">
                  <c:v>1000</c:v>
                </c:pt>
                <c:pt idx="4">
                  <c:v>15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工资福利支出 </c:v>
                </c:pt>
                <c:pt idx="1">
                  <c:v>商品和服务支出</c:v>
                </c:pt>
                <c:pt idx="2">
                  <c:v>对个人和家庭补助支出</c:v>
                </c:pt>
                <c:pt idx="3">
                  <c:v>资本性支出（基本建设）</c:v>
                </c:pt>
                <c:pt idx="4">
                  <c:v>资本性支出</c:v>
                </c:pt>
                <c:pt idx="5">
                  <c:v>对企业补助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38466.53</c:v>
                </c:pt>
                <c:pt idx="1">
                  <c:v>3141</c:v>
                </c:pt>
                <c:pt idx="2">
                  <c:v>1009.23</c:v>
                </c:pt>
                <c:pt idx="3">
                  <c:v>0</c:v>
                </c:pt>
                <c:pt idx="4">
                  <c:v>0</c:v>
                </c:pt>
                <c:pt idx="5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383975"/>
        <c:axId val="851033927"/>
      </c:barChart>
      <c:catAx>
        <c:axId val="1203839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1033927"/>
        <c:crosses val="autoZero"/>
        <c:auto val="1"/>
        <c:lblAlgn val="ctr"/>
        <c:lblOffset val="100"/>
        <c:noMultiLvlLbl val="0"/>
      </c:catAx>
      <c:valAx>
        <c:axId val="851033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0383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89f8bb0-935c-4f9a-a7a2-bd97a68efb0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4796</Words>
  <Characters>5447</Characters>
  <Lines>0</Lines>
  <Paragraphs>0</Paragraphs>
  <TotalTime>0</TotalTime>
  <ScaleCrop>false</ScaleCrop>
  <LinksUpToDate>false</LinksUpToDate>
  <CharactersWithSpaces>5527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WPS_1678931944</cp:lastModifiedBy>
  <cp:lastPrinted>2018-08-15T09:55:00Z</cp:lastPrinted>
  <dcterms:modified xsi:type="dcterms:W3CDTF">2025-07-14T08:16:42Z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eyJoZGlkIjoiMjE5ZWY1ZTM4M2Q3OTFiNDYyMWIwNTc3NGYxNzk0YjMiLCJ1c2VySWQiOiIxNDgxMDMxNzU2In0=</vt:lpwstr>
  </property>
  <property fmtid="{D5CDD505-2E9C-101B-9397-08002B2CF9AE}" pid="4" name="ICV">
    <vt:lpwstr>9F5541CE6FF440709B7A24BFD54B364D_12</vt:lpwstr>
  </property>
</Properties>
</file>