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29501">
      <w:pPr>
        <w:pStyle w:val="2"/>
        <w:widowControl/>
        <w:spacing w:after="436" w:line="21" w:lineRule="atLeast"/>
        <w:jc w:val="center"/>
        <w:rPr>
          <w:rFonts w:hint="eastAsia" w:asciiTheme="minorEastAsia" w:hAnsiTheme="minorEastAsia" w:eastAsiaTheme="minorEastAsia" w:cstheme="minorEastAsia"/>
          <w:b/>
          <w:bCs/>
          <w:kern w:val="2"/>
          <w:sz w:val="44"/>
          <w:szCs w:val="44"/>
          <w:highlight w:val="none"/>
          <w:lang w:val="en-US" w:eastAsia="zh-CN" w:bidi="ar-SA"/>
        </w:rPr>
      </w:pPr>
      <w:r>
        <w:rPr>
          <w:rFonts w:hint="eastAsia" w:asciiTheme="minorEastAsia" w:hAnsiTheme="minorEastAsia" w:eastAsiaTheme="minorEastAsia" w:cstheme="minorEastAsia"/>
          <w:b/>
          <w:bCs/>
          <w:kern w:val="2"/>
          <w:sz w:val="44"/>
          <w:szCs w:val="44"/>
          <w:highlight w:val="none"/>
          <w:lang w:val="en-US" w:eastAsia="zh-CN" w:bidi="ar-SA"/>
        </w:rPr>
        <w:t>渭滨区神农镇人民政府2021年</w:t>
      </w:r>
    </w:p>
    <w:p w14:paraId="21648028">
      <w:pPr>
        <w:pStyle w:val="2"/>
        <w:widowControl/>
        <w:spacing w:after="436" w:line="21" w:lineRule="atLeast"/>
        <w:jc w:val="center"/>
        <w:rPr>
          <w:rFonts w:hint="eastAsia" w:asciiTheme="minorEastAsia" w:hAnsiTheme="minorEastAsia" w:eastAsiaTheme="minorEastAsia" w:cstheme="minorEastAsia"/>
          <w:b/>
          <w:bCs/>
          <w:kern w:val="2"/>
          <w:sz w:val="44"/>
          <w:szCs w:val="44"/>
          <w:highlight w:val="none"/>
          <w:lang w:val="en-US" w:eastAsia="zh-CN" w:bidi="ar-SA"/>
        </w:rPr>
      </w:pPr>
      <w:r>
        <w:rPr>
          <w:rFonts w:hint="eastAsia" w:asciiTheme="minorEastAsia" w:hAnsiTheme="minorEastAsia" w:eastAsiaTheme="minorEastAsia" w:cstheme="minorEastAsia"/>
          <w:b/>
          <w:bCs/>
          <w:kern w:val="2"/>
          <w:sz w:val="44"/>
          <w:szCs w:val="44"/>
          <w:highlight w:val="none"/>
          <w:lang w:val="en-US" w:eastAsia="zh-CN" w:bidi="ar-SA"/>
        </w:rPr>
        <w:t>部门综合预算</w:t>
      </w:r>
    </w:p>
    <w:p w14:paraId="71C127C0">
      <w:pPr>
        <w:jc w:val="both"/>
        <w:rPr>
          <w:rFonts w:hint="eastAsia"/>
          <w:highlight w:val="none"/>
          <w:lang w:eastAsia="zh-CN"/>
        </w:rPr>
      </w:pPr>
    </w:p>
    <w:p w14:paraId="45BBF479">
      <w:pPr>
        <w:jc w:val="center"/>
        <w:rPr>
          <w:rFonts w:hint="eastAsia"/>
          <w:b/>
          <w:bCs/>
          <w:sz w:val="36"/>
          <w:szCs w:val="36"/>
          <w:highlight w:val="none"/>
          <w:lang w:eastAsia="zh-CN"/>
        </w:rPr>
      </w:pPr>
      <w:r>
        <w:rPr>
          <w:rFonts w:hint="eastAsia"/>
          <w:b/>
          <w:bCs/>
          <w:sz w:val="36"/>
          <w:szCs w:val="36"/>
          <w:highlight w:val="none"/>
          <w:lang w:eastAsia="zh-CN"/>
        </w:rPr>
        <w:t>目录</w:t>
      </w:r>
    </w:p>
    <w:p w14:paraId="62A71A4B">
      <w:pPr>
        <w:jc w:val="center"/>
        <w:rPr>
          <w:rFonts w:hint="eastAsia"/>
          <w:b/>
          <w:bCs/>
          <w:sz w:val="36"/>
          <w:szCs w:val="36"/>
          <w:highlight w:val="none"/>
          <w:lang w:eastAsia="zh-CN"/>
        </w:rPr>
      </w:pPr>
    </w:p>
    <w:p w14:paraId="2D20FAE6">
      <w:pPr>
        <w:jc w:val="left"/>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第一部分</w:t>
      </w:r>
      <w:r>
        <w:rPr>
          <w:rFonts w:hint="eastAsia" w:asciiTheme="minorEastAsia" w:hAnsiTheme="minorEastAsia" w:eastAsiaTheme="minorEastAsia" w:cstheme="minorEastAsia"/>
          <w:b/>
          <w:bCs/>
          <w:sz w:val="32"/>
          <w:szCs w:val="32"/>
          <w:highlight w:val="none"/>
          <w:lang w:val="en-US" w:eastAsia="zh-CN"/>
        </w:rPr>
        <w:t xml:space="preserve"> 部门概况</w:t>
      </w:r>
    </w:p>
    <w:p w14:paraId="19391874">
      <w:pPr>
        <w:jc w:val="left"/>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一、部门主要职责及机构设置</w:t>
      </w:r>
    </w:p>
    <w:p w14:paraId="6B32A42D">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二、2021年年度部门工作任务</w:t>
      </w:r>
    </w:p>
    <w:p w14:paraId="2193F9CA">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三、部门预算单位构成</w:t>
      </w:r>
    </w:p>
    <w:p w14:paraId="583F5B78">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四、部门人员情况说明</w:t>
      </w:r>
    </w:p>
    <w:p w14:paraId="3A7D4FE1">
      <w:p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第二部分</w:t>
      </w:r>
      <w:r>
        <w:rPr>
          <w:rFonts w:hint="eastAsia" w:asciiTheme="minorEastAsia" w:hAnsiTheme="minorEastAsia" w:eastAsiaTheme="minorEastAsia" w:cstheme="minorEastAsia"/>
          <w:b/>
          <w:bCs/>
          <w:sz w:val="32"/>
          <w:szCs w:val="32"/>
          <w:highlight w:val="none"/>
          <w:lang w:val="en-US" w:eastAsia="zh-CN"/>
        </w:rPr>
        <w:t xml:space="preserve"> 收支情况</w:t>
      </w:r>
    </w:p>
    <w:p w14:paraId="6A92145E">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五、2021年部门预算收支说明</w:t>
      </w:r>
    </w:p>
    <w:p w14:paraId="665ECB43">
      <w:p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第三部分</w:t>
      </w:r>
      <w:r>
        <w:rPr>
          <w:rFonts w:hint="eastAsia" w:asciiTheme="minorEastAsia" w:hAnsiTheme="minorEastAsia" w:eastAsiaTheme="minorEastAsia" w:cstheme="minorEastAsia"/>
          <w:b/>
          <w:bCs/>
          <w:sz w:val="32"/>
          <w:szCs w:val="32"/>
          <w:highlight w:val="none"/>
          <w:lang w:val="en-US" w:eastAsia="zh-CN"/>
        </w:rPr>
        <w:t xml:space="preserve">  其他说明情况</w:t>
      </w:r>
    </w:p>
    <w:p w14:paraId="1B2F8FDF">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六、部门预算“三公”经费等情况说明</w:t>
      </w:r>
    </w:p>
    <w:p w14:paraId="542B0B53">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七、部门国有资产占有使用及资产购置情况说明</w:t>
      </w:r>
    </w:p>
    <w:p w14:paraId="16FAC5D3">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八、部门政府采购情况说明</w:t>
      </w:r>
    </w:p>
    <w:p w14:paraId="436B1196">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九、部门预算绩效目标说明</w:t>
      </w:r>
    </w:p>
    <w:p w14:paraId="5B83F35C">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十、机关运行经费安排说明</w:t>
      </w:r>
    </w:p>
    <w:p w14:paraId="2DE994A5">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十一、专业名词解释</w:t>
      </w:r>
    </w:p>
    <w:p w14:paraId="0AA56995">
      <w:pP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第四部分</w:t>
      </w:r>
      <w:r>
        <w:rPr>
          <w:rFonts w:hint="eastAsia" w:asciiTheme="minorEastAsia" w:hAnsiTheme="minorEastAsia" w:eastAsiaTheme="minorEastAsia" w:cstheme="minorEastAsia"/>
          <w:b/>
          <w:bCs/>
          <w:sz w:val="32"/>
          <w:szCs w:val="32"/>
          <w:highlight w:val="none"/>
          <w:lang w:val="en-US" w:eastAsia="zh-CN"/>
        </w:rPr>
        <w:t xml:space="preserve">  公开报表</w:t>
      </w:r>
    </w:p>
    <w:p w14:paraId="27CF7555">
      <w:pPr>
        <w:rPr>
          <w:rFonts w:hint="eastAsia" w:ascii="仿宋" w:hAnsi="仿宋" w:eastAsia="仿宋" w:cs="仿宋"/>
          <w:kern w:val="0"/>
          <w:sz w:val="31"/>
          <w:szCs w:val="31"/>
          <w:shd w:val="clear" w:color="auto" w:fill="FFFFFF"/>
          <w:lang w:val="en-US" w:eastAsia="zh-CN" w:bidi="ar"/>
        </w:rPr>
      </w:pPr>
      <w:r>
        <w:rPr>
          <w:rFonts w:hint="eastAsia" w:ascii="仿宋" w:hAnsi="仿宋" w:eastAsia="仿宋" w:cs="仿宋"/>
          <w:kern w:val="0"/>
          <w:sz w:val="31"/>
          <w:szCs w:val="31"/>
          <w:shd w:val="clear" w:color="auto" w:fill="FFFFFF"/>
          <w:lang w:val="en-US" w:eastAsia="zh-CN" w:bidi="ar"/>
        </w:rPr>
        <w:t>（宝鸡市渭滨区神农镇人民政府综合预算公开表）</w:t>
      </w:r>
    </w:p>
    <w:p w14:paraId="7D163CAF">
      <w:pPr>
        <w:jc w:val="cente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eastAsia="zh-CN"/>
        </w:rPr>
        <w:t>第一部分</w:t>
      </w:r>
      <w:r>
        <w:rPr>
          <w:rFonts w:hint="eastAsia" w:asciiTheme="majorEastAsia" w:hAnsiTheme="majorEastAsia" w:eastAsiaTheme="majorEastAsia" w:cstheme="majorEastAsia"/>
          <w:b/>
          <w:bCs/>
          <w:sz w:val="32"/>
          <w:szCs w:val="32"/>
          <w:highlight w:val="none"/>
          <w:lang w:val="en-US" w:eastAsia="zh-CN"/>
        </w:rPr>
        <w:t xml:space="preserve">  部门概况</w:t>
      </w:r>
    </w:p>
    <w:p w14:paraId="428BA9C2">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0659427F">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一、部门主要职责</w:t>
      </w:r>
      <w:r>
        <w:rPr>
          <w:rFonts w:hint="eastAsia" w:ascii="仿宋_GB2312" w:hAnsi="仿宋_GB2312" w:eastAsia="仿宋_GB2312" w:cs="仿宋_GB2312"/>
          <w:b/>
          <w:bCs/>
          <w:sz w:val="32"/>
          <w:szCs w:val="32"/>
          <w:highlight w:val="none"/>
          <w:lang w:eastAsia="zh-CN"/>
        </w:rPr>
        <w:t>及机构设置</w:t>
      </w:r>
    </w:p>
    <w:p w14:paraId="03C321ED">
      <w:pPr>
        <w:pStyle w:val="3"/>
        <w:widowControl/>
        <w:spacing w:line="555" w:lineRule="atLeast"/>
        <w:ind w:firstLine="600"/>
        <w:textAlignment w:val="baseline"/>
        <w:rPr>
          <w:rFonts w:hint="default"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(一)部门主要职责</w:t>
      </w:r>
    </w:p>
    <w:p w14:paraId="6B345425">
      <w:pPr>
        <w:pStyle w:val="3"/>
        <w:widowControl/>
        <w:spacing w:line="555" w:lineRule="atLeast"/>
        <w:ind w:firstLine="600"/>
        <w:textAlignment w:val="baseline"/>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eastAsia="zh-CN"/>
        </w:rPr>
        <w:t>镇党委、镇政府</w:t>
      </w:r>
      <w:r>
        <w:rPr>
          <w:rFonts w:ascii="仿宋" w:hAnsi="仿宋" w:eastAsia="仿宋" w:cs="仿宋"/>
          <w:sz w:val="31"/>
          <w:szCs w:val="31"/>
          <w:shd w:val="clear" w:color="auto" w:fill="FFFFFF"/>
        </w:rPr>
        <w:t xml:space="preserve">通过组织群众、宣传群众、教育群众、服务群众，切实贯彻落实党和国家在农村的各项方针政策及法律法规，围绕农业、农村、农民搞好服务具体职责是： </w:t>
      </w:r>
    </w:p>
    <w:p w14:paraId="53B1F756">
      <w:pPr>
        <w:pStyle w:val="3"/>
        <w:widowControl/>
        <w:spacing w:line="555" w:lineRule="atLeast"/>
        <w:ind w:firstLine="600"/>
        <w:textAlignment w:val="baseline"/>
        <w:rPr>
          <w:rFonts w:ascii="仿宋" w:hAnsi="仿宋" w:eastAsia="仿宋" w:cs="仿宋"/>
          <w:sz w:val="31"/>
          <w:szCs w:val="31"/>
          <w:shd w:val="clear" w:color="auto" w:fill="FFFFFF"/>
        </w:rPr>
      </w:pPr>
      <w:r>
        <w:rPr>
          <w:rFonts w:ascii="仿宋" w:hAnsi="仿宋" w:eastAsia="仿宋" w:cs="仿宋"/>
          <w:sz w:val="31"/>
          <w:szCs w:val="31"/>
          <w:shd w:val="clear" w:color="auto" w:fill="FFFFFF"/>
        </w:rPr>
        <w:t xml:space="preserve">1、促进经济发展，增加农民收入； </w:t>
      </w:r>
    </w:p>
    <w:p w14:paraId="7577744E">
      <w:pPr>
        <w:pStyle w:val="3"/>
        <w:widowControl/>
        <w:spacing w:line="555" w:lineRule="atLeast"/>
        <w:ind w:firstLine="600"/>
        <w:textAlignment w:val="baseline"/>
        <w:rPr>
          <w:rFonts w:ascii="仿宋" w:hAnsi="仿宋" w:eastAsia="仿宋" w:cs="仿宋"/>
          <w:sz w:val="31"/>
          <w:szCs w:val="31"/>
          <w:shd w:val="clear" w:color="auto" w:fill="FFFFFF"/>
        </w:rPr>
      </w:pPr>
      <w:r>
        <w:rPr>
          <w:rFonts w:ascii="仿宋" w:hAnsi="仿宋" w:eastAsia="仿宋" w:cs="仿宋"/>
          <w:sz w:val="31"/>
          <w:szCs w:val="31"/>
          <w:shd w:val="clear" w:color="auto" w:fill="FFFFFF"/>
        </w:rPr>
        <w:t xml:space="preserve">2、强化公共服务，着力改善民生； </w:t>
      </w:r>
    </w:p>
    <w:p w14:paraId="1F45C9A2">
      <w:pPr>
        <w:pStyle w:val="3"/>
        <w:widowControl/>
        <w:spacing w:line="555" w:lineRule="atLeast"/>
        <w:ind w:firstLine="600"/>
        <w:textAlignment w:val="baseline"/>
        <w:rPr>
          <w:rFonts w:ascii="仿宋" w:hAnsi="仿宋" w:eastAsia="仿宋" w:cs="仿宋"/>
          <w:sz w:val="31"/>
          <w:szCs w:val="31"/>
          <w:shd w:val="clear" w:color="auto" w:fill="FFFFFF"/>
        </w:rPr>
      </w:pPr>
      <w:r>
        <w:rPr>
          <w:rFonts w:ascii="仿宋" w:hAnsi="仿宋" w:eastAsia="仿宋" w:cs="仿宋"/>
          <w:sz w:val="31"/>
          <w:szCs w:val="31"/>
          <w:shd w:val="clear" w:color="auto" w:fill="FFFFFF"/>
        </w:rPr>
        <w:t xml:space="preserve">3、加强社会管理，维护农村稳定； </w:t>
      </w:r>
    </w:p>
    <w:p w14:paraId="588142FE">
      <w:pPr>
        <w:pStyle w:val="3"/>
        <w:widowControl/>
        <w:spacing w:line="555" w:lineRule="atLeast"/>
        <w:ind w:firstLine="600"/>
        <w:textAlignment w:val="baseline"/>
        <w:rPr>
          <w:rFonts w:ascii="仿宋" w:hAnsi="仿宋" w:eastAsia="仿宋" w:cs="仿宋"/>
          <w:sz w:val="31"/>
          <w:szCs w:val="31"/>
          <w:shd w:val="clear" w:color="auto" w:fill="FFFFFF"/>
        </w:rPr>
      </w:pPr>
      <w:r>
        <w:rPr>
          <w:rFonts w:ascii="仿宋" w:hAnsi="仿宋" w:eastAsia="仿宋" w:cs="仿宋"/>
          <w:sz w:val="31"/>
          <w:szCs w:val="31"/>
          <w:shd w:val="clear" w:color="auto" w:fill="FFFFFF"/>
        </w:rPr>
        <w:t xml:space="preserve">4、推动基层民生，促进农村和谐； </w:t>
      </w:r>
    </w:p>
    <w:p w14:paraId="44517EF2">
      <w:pPr>
        <w:ind w:firstLine="620" w:firstLineChars="200"/>
        <w:jc w:val="left"/>
        <w:rPr>
          <w:rFonts w:ascii="仿宋" w:hAnsi="仿宋" w:eastAsia="仿宋" w:cs="仿宋"/>
          <w:sz w:val="31"/>
          <w:szCs w:val="31"/>
          <w:shd w:val="clear" w:color="auto" w:fill="FFFFFF"/>
        </w:rPr>
      </w:pPr>
      <w:r>
        <w:rPr>
          <w:rFonts w:ascii="仿宋" w:hAnsi="仿宋" w:eastAsia="仿宋" w:cs="仿宋"/>
          <w:sz w:val="31"/>
          <w:szCs w:val="31"/>
          <w:shd w:val="clear" w:color="auto" w:fill="FFFFFF"/>
        </w:rPr>
        <w:t>5、规范资金使用，确保专款专用。</w:t>
      </w:r>
    </w:p>
    <w:p w14:paraId="6EE20145">
      <w:pPr>
        <w:ind w:firstLine="620" w:firstLineChars="200"/>
        <w:jc w:val="left"/>
        <w:rPr>
          <w:rFonts w:hint="eastAsia" w:ascii="仿宋" w:hAnsi="仿宋" w:eastAsia="仿宋" w:cs="仿宋"/>
          <w:sz w:val="31"/>
          <w:szCs w:val="31"/>
          <w:shd w:val="clear" w:color="auto" w:fill="FFFFFF"/>
          <w:lang w:eastAsia="zh-CN"/>
        </w:rPr>
      </w:pPr>
      <w:r>
        <w:rPr>
          <w:rFonts w:hint="eastAsia" w:ascii="仿宋" w:hAnsi="仿宋" w:eastAsia="仿宋" w:cs="仿宋"/>
          <w:sz w:val="31"/>
          <w:szCs w:val="31"/>
          <w:shd w:val="clear" w:color="auto" w:fill="FFFFFF"/>
          <w:lang w:eastAsia="zh-CN"/>
        </w:rPr>
        <w:t>（二）机构设置</w:t>
      </w:r>
    </w:p>
    <w:p w14:paraId="4B1872B2">
      <w:pPr>
        <w:pStyle w:val="3"/>
        <w:widowControl/>
        <w:spacing w:line="555" w:lineRule="atLeast"/>
        <w:ind w:firstLine="620" w:firstLineChars="200"/>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eastAsia="zh-CN"/>
        </w:rPr>
        <w:t>神农镇人民政府属于行政单位，正科级建制，内设机构</w:t>
      </w:r>
      <w:r>
        <w:rPr>
          <w:rFonts w:ascii="仿宋" w:hAnsi="仿宋" w:eastAsia="仿宋" w:cs="仿宋"/>
          <w:sz w:val="31"/>
          <w:szCs w:val="31"/>
          <w:shd w:val="clear" w:color="auto" w:fill="FFFFFF"/>
        </w:rPr>
        <w:t>有党委办、政府办、民政办、财政所、劳保所、卫计办、城改办、农经站、文教办、农办、土地所、司法所、</w:t>
      </w:r>
      <w:r>
        <w:rPr>
          <w:rFonts w:hint="eastAsia" w:ascii="仿宋" w:hAnsi="仿宋" w:eastAsia="仿宋" w:cs="仿宋"/>
          <w:sz w:val="31"/>
          <w:szCs w:val="31"/>
          <w:shd w:val="clear" w:color="auto" w:fill="FFFFFF"/>
          <w:lang w:eastAsia="zh-CN"/>
        </w:rPr>
        <w:t>炎帝陵办公室</w:t>
      </w:r>
      <w:r>
        <w:rPr>
          <w:rFonts w:hint="eastAsia" w:ascii="仿宋" w:hAnsi="仿宋" w:eastAsia="仿宋" w:cs="仿宋"/>
          <w:sz w:val="31"/>
          <w:szCs w:val="31"/>
          <w:shd w:val="clear" w:color="auto" w:fill="FFFFFF"/>
          <w:lang w:val="en-US" w:eastAsia="zh-CN"/>
        </w:rPr>
        <w:t>13</w:t>
      </w:r>
      <w:r>
        <w:rPr>
          <w:rFonts w:ascii="仿宋" w:hAnsi="仿宋" w:eastAsia="仿宋" w:cs="仿宋"/>
          <w:sz w:val="31"/>
          <w:szCs w:val="31"/>
          <w:shd w:val="clear" w:color="auto" w:fill="FFFFFF"/>
        </w:rPr>
        <w:t>个部门，具体负责辖区村级组织建设、经济发展、农业产业结构调整、旧城改造、计划生育、劳务培训、输出、困难群众救济及新合疗、养老、综合治理、社会稳定等工作。</w:t>
      </w:r>
    </w:p>
    <w:p w14:paraId="76B279BC">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202</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年度部门工作任务</w:t>
      </w:r>
    </w:p>
    <w:p w14:paraId="0AFBBC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镇工作的总体要求是：以习近平新时代中国特色社会主义思想为指导，深入贯彻落实党的十九大、十九届三中、四中、五中全会精神和习近平总书记来陕考察重要讲话，省、市、区全委会及省委经济工作会议精神，坚持稳中求进的工作总基调，以推动高质量发展实现乡村振兴的主题，贯通落实“五项要求”“五个扎实”，继续做好“六稳”“六保”工作，加快发展特色产业体系，持续深化社会治理，推动全年神农镇2021年预算公开.docx要求的落实，确保“十四五”发展高点起步，良好开局，以优异成绩庆祝建党100周年。</w:t>
      </w:r>
    </w:p>
    <w:p w14:paraId="6BDE58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全镇经济社会发展的主要预期目标是：镇域生产总值增速7.5%，社会固定资产投资增速10%，规模以上工业增加值增速7.5%，社会消费品零售总额增速8%，农村居民人均可支配收入增速10%。</w:t>
      </w:r>
    </w:p>
    <w:p w14:paraId="46D367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（一）突出党建引领、提高政治站位</w:t>
      </w:r>
    </w:p>
    <w:p w14:paraId="5A0FD487">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1.加强理论武装，提高思想认识。</w:t>
      </w:r>
      <w:r>
        <w:rPr>
          <w:rFonts w:hint="eastAsia" w:ascii="仿宋_GB2312" w:hAnsi="仿宋_GB2312" w:eastAsia="仿宋_GB2312" w:cs="仿宋_GB2312"/>
          <w:color w:val="auto"/>
          <w:sz w:val="32"/>
          <w:szCs w:val="32"/>
          <w:highlight w:val="none"/>
          <w:lang w:val="en-US" w:eastAsia="zh-CN"/>
        </w:rPr>
        <w:t>坚持把党的政治建设摆在首位，在强化理论武装，提高思想认识上持续用力。一是要分层抓好党的十九大，十九届三中、四中、五中全会和习近平总书记来陕考察重要讲话，省、市、区委全会及省委经济工作会议的宣讲学习，用党的创新理论武装全体党员干部群众的头脑。二是巩固深化“两学一做”“不忘初心、牢记使命”主题教育成果。</w:t>
      </w:r>
      <w:r>
        <w:rPr>
          <w:rFonts w:hint="default" w:ascii="仿宋_GB2312" w:hAnsi="仿宋_GB2312" w:eastAsia="仿宋_GB2312" w:cs="仿宋_GB2312"/>
          <w:b w:val="0"/>
          <w:bCs/>
          <w:sz w:val="32"/>
          <w:szCs w:val="32"/>
          <w:lang w:val="en-US" w:eastAsia="zh-CN"/>
        </w:rPr>
        <w:t>严格落实</w:t>
      </w:r>
      <w:r>
        <w:rPr>
          <w:rFonts w:hint="eastAsia" w:ascii="仿宋_GB2312" w:hAnsi="仿宋_GB2312" w:eastAsia="仿宋_GB2312" w:cs="仿宋_GB2312"/>
          <w:b w:val="0"/>
          <w:bCs/>
          <w:sz w:val="32"/>
          <w:szCs w:val="32"/>
          <w:lang w:val="en-US" w:eastAsia="zh-CN"/>
        </w:rPr>
        <w:t>区</w:t>
      </w:r>
      <w:r>
        <w:rPr>
          <w:rFonts w:hint="default" w:ascii="仿宋_GB2312" w:hAnsi="仿宋_GB2312" w:eastAsia="仿宋_GB2312" w:cs="仿宋_GB2312"/>
          <w:b w:val="0"/>
          <w:bCs/>
          <w:sz w:val="32"/>
          <w:szCs w:val="32"/>
          <w:lang w:val="en-US" w:eastAsia="zh-CN"/>
        </w:rPr>
        <w:t>委</w:t>
      </w:r>
      <w:r>
        <w:rPr>
          <w:rFonts w:hint="eastAsia" w:ascii="仿宋_GB2312" w:hAnsi="仿宋_GB2312" w:eastAsia="仿宋_GB2312" w:cs="仿宋_GB2312"/>
          <w:b w:val="0"/>
          <w:bCs/>
          <w:sz w:val="32"/>
          <w:szCs w:val="32"/>
          <w:lang w:val="en-US" w:eastAsia="zh-CN"/>
        </w:rPr>
        <w:t>“两学一做”</w:t>
      </w:r>
      <w:r>
        <w:rPr>
          <w:rFonts w:hint="default" w:ascii="仿宋_GB2312" w:hAnsi="仿宋_GB2312" w:eastAsia="仿宋_GB2312" w:cs="仿宋_GB2312"/>
          <w:b w:val="0"/>
          <w:bCs/>
          <w:sz w:val="32"/>
          <w:szCs w:val="32"/>
          <w:lang w:val="en-US" w:eastAsia="zh-CN"/>
        </w:rPr>
        <w:t>“不忘初心、牢记使命”常态化机制，深入学习贯彻党的创新理论，加强理论学习督促指导。大力推进党委理论学习中心组学习理论化、制度化、规范化。定期开展主题党日活动，紧扣学习内容，结合支部和党员实际情况，创新活动形式，提高党员参加组织生活的自觉性，增强对党组织的归属感，使党组织更有凝聚力、影响力。</w:t>
      </w:r>
    </w:p>
    <w:p w14:paraId="18A61C05">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2.加强党的全面领导，形成强大合力。</w:t>
      </w:r>
      <w:r>
        <w:rPr>
          <w:rFonts w:hint="eastAsia" w:ascii="仿宋_GB2312" w:hAnsi="仿宋_GB2312" w:eastAsia="仿宋_GB2312" w:cs="仿宋_GB2312"/>
          <w:color w:val="auto"/>
          <w:sz w:val="32"/>
          <w:szCs w:val="32"/>
          <w:highlight w:val="none"/>
          <w:lang w:val="en-US" w:eastAsia="zh-CN"/>
        </w:rPr>
        <w:t>抓住区委巡察组巡察反馈问题的契机，在加强党委总揽全局，协调各方的领导核心作用上持续用力。</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抓好反馈问题整改，提升党委、支部的凝聚力。认真制定区委巡察组反馈意见的整改方案，明确措施、责任人和整改时限，用问题整改来促进镇党委和各支部工作能力的提升，增强党委、支部的凝聚力。</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支持镇人大、政协学联组的工作，强化对镇政府的监督和民主监督。</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抓牢抓实意识形态工作。</w:t>
      </w:r>
      <w:r>
        <w:rPr>
          <w:rFonts w:hint="default" w:ascii="仿宋_GB2312" w:hAnsi="仿宋_GB2312" w:eastAsia="仿宋_GB2312" w:cs="仿宋_GB2312"/>
          <w:b w:val="0"/>
          <w:bCs/>
          <w:sz w:val="32"/>
          <w:szCs w:val="32"/>
          <w:lang w:val="en-US" w:eastAsia="zh-CN"/>
        </w:rPr>
        <w:t>分认识做好意识形态工作的重要性、紧迫性，增强工作的使命感和责任感。牢牢把握意识形态工作领导权、话语权和正确方向，始终</w:t>
      </w:r>
      <w:r>
        <w:rPr>
          <w:rFonts w:hint="eastAsia" w:ascii="仿宋_GB2312" w:hAnsi="仿宋_GB2312" w:eastAsia="仿宋_GB2312" w:cs="仿宋_GB2312"/>
          <w:b w:val="0"/>
          <w:bCs/>
          <w:sz w:val="32"/>
          <w:szCs w:val="32"/>
          <w:lang w:val="en-US" w:eastAsia="zh-CN"/>
        </w:rPr>
        <w:t>同以习近平同志为核心的党中央保持高度一致</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坚决维护习近平总书记核心地位</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坚决维护党中央权威和集中统一领导</w:t>
      </w:r>
      <w:r>
        <w:rPr>
          <w:rFonts w:hint="default" w:ascii="仿宋_GB2312" w:hAnsi="仿宋_GB2312" w:eastAsia="仿宋_GB2312" w:cs="仿宋_GB2312"/>
          <w:b w:val="0"/>
          <w:bCs/>
          <w:sz w:val="32"/>
          <w:szCs w:val="32"/>
          <w:lang w:val="en-US" w:eastAsia="zh-CN"/>
        </w:rPr>
        <w:t>。通过培训等形式提升机关党员干部舆情分析、判断、应对的能力，提升做好意识形态工作水平。</w:t>
      </w:r>
    </w:p>
    <w:p w14:paraId="7088E7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3.树立党建品牌，建强战斗堡垒</w:t>
      </w:r>
      <w:r>
        <w:rPr>
          <w:rFonts w:hint="eastAsia" w:ascii="仿宋_GB2312" w:hAnsi="仿宋_GB2312" w:eastAsia="仿宋_GB2312" w:cs="仿宋_GB2312"/>
          <w:color w:val="auto"/>
          <w:sz w:val="32"/>
          <w:szCs w:val="32"/>
          <w:highlight w:val="none"/>
          <w:lang w:val="en-US" w:eastAsia="zh-CN"/>
        </w:rPr>
        <w:t>。镇党委继续深化各村“支部+理事会”社会治理品牌的创建，在理事会的职能和作用发挥上进行新的探索和完善，使理事会的工作能力更强，作用发挥更明显，使我镇各村的社会治理水平不断提升，形成我镇独有的党建工作品牌。建立支部书记月例会和季提示工作制度，在抓支部建设规范化上持续用力，不断打造工作有亮点、发展有特点、管理规划化的我真镇党建工作新品牌，年内争取将竹园沟村党支部创建为全省第三批村级党组织标准化建设示范村，将大湾铺村创建为市级文明村。</w:t>
      </w:r>
    </w:p>
    <w:p w14:paraId="6FEF26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（二）突出项目建设，促进经济发展</w:t>
      </w:r>
    </w:p>
    <w:p w14:paraId="2879AB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4.抓住重点项目。</w:t>
      </w:r>
      <w:r>
        <w:rPr>
          <w:rFonts w:hint="eastAsia" w:ascii="仿宋_GB2312" w:hAnsi="仿宋_GB2312" w:eastAsia="仿宋_GB2312" w:cs="仿宋_GB2312"/>
          <w:color w:val="auto"/>
          <w:sz w:val="32"/>
          <w:szCs w:val="32"/>
          <w:highlight w:val="none"/>
          <w:lang w:val="en-US" w:eastAsia="zh-CN"/>
        </w:rPr>
        <w:t>依托全区开展的“项目建设年”活动，将我镇规划的50个“十四五”期间建设项目和计划今年开工的太平庄姜炎印象，茹家庄、益门堡村旧城改造等项目力争进入市区今年“十四五”规划盘子，今年计划培育规上企业1户，各项经济指标在全区及全市排名靠前。</w:t>
      </w:r>
    </w:p>
    <w:p w14:paraId="73C27F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5.发展特色产业。</w:t>
      </w:r>
      <w:r>
        <w:rPr>
          <w:rFonts w:hint="eastAsia" w:ascii="仿宋_GB2312" w:hAnsi="仿宋_GB2312" w:eastAsia="仿宋_GB2312" w:cs="仿宋_GB2312"/>
          <w:color w:val="auto"/>
          <w:sz w:val="32"/>
          <w:szCs w:val="32"/>
          <w:highlight w:val="none"/>
          <w:lang w:val="en-US" w:eastAsia="zh-CN"/>
        </w:rPr>
        <w:t>依托镇农业产业发展联合会和与西北农林科技大学合作的契机在已形成大樱桃、猕猴桃、中蜂、皂刺、核桃等产业品牌的基础上，扩大规范和深加工，提升我镇农业产业的品牌效益，解决好储存和销售难的问题，使特色产业具有真正的特色，明星产业成为真正的明星，争取将我镇创建为全国产业强镇。</w:t>
      </w:r>
    </w:p>
    <w:p w14:paraId="40457F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6.促进文旅融合，推动文旅融合创新发展。</w:t>
      </w:r>
      <w:r>
        <w:rPr>
          <w:rFonts w:hint="eastAsia" w:ascii="仿宋_GB2312" w:hAnsi="仿宋_GB2312" w:eastAsia="仿宋_GB2312" w:cs="仿宋_GB2312"/>
          <w:color w:val="auto"/>
          <w:sz w:val="32"/>
          <w:szCs w:val="32"/>
          <w:highlight w:val="none"/>
          <w:lang w:val="en-US" w:eastAsia="zh-CN"/>
        </w:rPr>
        <w:t>年内将太平庄的农耕体验园与古鱼国公园，大散关遗址、炎帝陵和樱桃小镇联合起来，在挖掘文化底蕴与打造乡村休闲游上做文章。要结合产业发展在做大做强大樱桃节赏花游和采摘农耕体验游上做文章，不断打造文化寻根，自然山水，农耕体验等精品旅游线路，促进文旅融合。</w:t>
      </w:r>
      <w:r>
        <w:rPr>
          <w:rFonts w:hint="eastAsia" w:ascii="仿宋_GB2312" w:hAnsi="仿宋_GB2312" w:eastAsia="仿宋_GB2312" w:cs="仿宋_GB2312"/>
          <w:sz w:val="32"/>
          <w:szCs w:val="32"/>
          <w:lang w:val="en-US" w:eastAsia="zh-CN"/>
        </w:rPr>
        <w:t>争取全年旅游收入同期比增长10%以上，争取年内将我镇创建为国家级旅游强镇。</w:t>
      </w:r>
    </w:p>
    <w:p w14:paraId="5A9D9B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7.优化营商环境，切实开展营商环境专项行动。</w:t>
      </w:r>
      <w:r>
        <w:rPr>
          <w:rFonts w:hint="eastAsia" w:ascii="仿宋_GB2312" w:hAnsi="仿宋_GB2312" w:eastAsia="仿宋_GB2312" w:cs="仿宋_GB2312"/>
          <w:color w:val="auto"/>
          <w:sz w:val="32"/>
          <w:szCs w:val="32"/>
          <w:highlight w:val="none"/>
          <w:lang w:val="en-US" w:eastAsia="zh-CN"/>
        </w:rPr>
        <w:t>落实好“双随机、一公开”监管工作要求，积极主动为辖区企业排忧解难，在最大限度内为引进企业给予优惠政策，加强宣传力度，营造“人人都是营商环境，事事关乎神农形象”的良好氛围。</w:t>
      </w:r>
    </w:p>
    <w:p w14:paraId="5EF38D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（三）突出服务观念，提升工作效率</w:t>
      </w:r>
    </w:p>
    <w:p w14:paraId="698351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8.继续深化国务院政务服务“好差评”试点，提高服务质量。</w:t>
      </w:r>
      <w:r>
        <w:rPr>
          <w:rFonts w:hint="eastAsia" w:ascii="仿宋_GB2312" w:hAnsi="仿宋_GB2312" w:eastAsia="仿宋_GB2312" w:cs="仿宋_GB2312"/>
          <w:color w:val="auto"/>
          <w:sz w:val="32"/>
          <w:szCs w:val="32"/>
          <w:highlight w:val="none"/>
          <w:lang w:val="en-US" w:eastAsia="zh-CN"/>
        </w:rPr>
        <w:t>继续加大投入，将镇便民服务中心和13个村（社区）的便民服务站打造成为功能强大、便捷方便、业务覆盖面广的综合性服务窗口，抓住试点的契机，在完善机制、创新服务载体、提升服务效能。</w:t>
      </w:r>
    </w:p>
    <w:p w14:paraId="3C76C0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9.做好脱贫攻坚成果同乡村振兴有效衔接。</w:t>
      </w:r>
      <w:r>
        <w:rPr>
          <w:rFonts w:hint="eastAsia" w:ascii="仿宋_GB2312" w:hAnsi="仿宋_GB2312" w:eastAsia="仿宋_GB2312" w:cs="仿宋_GB2312"/>
          <w:color w:val="auto"/>
          <w:sz w:val="32"/>
          <w:szCs w:val="32"/>
          <w:highlight w:val="none"/>
          <w:lang w:val="en-US" w:eastAsia="zh-CN"/>
        </w:rPr>
        <w:t>落实“四个不摘”要求，保持帮扶人员、帮扶政策、资金投入的相对稳定。加大特色产业发展，加强农村环境卫生整治力度，倡导和谐文明、团结友爱的乡风形成，在巩固拓展</w:t>
      </w:r>
      <w:bookmarkStart w:id="0" w:name="_GoBack"/>
      <w:bookmarkEnd w:id="0"/>
      <w:r>
        <w:rPr>
          <w:rFonts w:hint="eastAsia" w:ascii="仿宋_GB2312" w:hAnsi="仿宋_GB2312" w:eastAsia="仿宋_GB2312" w:cs="仿宋_GB2312"/>
          <w:color w:val="auto"/>
          <w:sz w:val="32"/>
          <w:szCs w:val="32"/>
          <w:highlight w:val="none"/>
          <w:lang w:val="en-US" w:eastAsia="zh-CN"/>
        </w:rPr>
        <w:t>脱贫攻坚成果的同时，在农村居民增收上持续用力，将我镇打造为精神文明与物质文明均衡发展的新农村。</w:t>
      </w:r>
    </w:p>
    <w:p w14:paraId="5AC2C5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10.抓好民生保障。</w:t>
      </w:r>
      <w:r>
        <w:rPr>
          <w:rFonts w:hint="eastAsia" w:ascii="仿宋_GB2312" w:hAnsi="仿宋_GB2312" w:eastAsia="仿宋_GB2312" w:cs="仿宋_GB2312"/>
          <w:color w:val="auto"/>
          <w:sz w:val="32"/>
          <w:szCs w:val="32"/>
          <w:highlight w:val="none"/>
          <w:lang w:val="en-US" w:eastAsia="zh-CN"/>
        </w:rPr>
        <w:t>扎实推进稳就业保就业十大行动，进一步做好高校毕业生、农民工、退役军人等重点群体，多渠道就业，大力支持留守妇女以村合作社为载体的创业就业活动，年内在各村开展创业就业培训会15次，做好社会保障兜底，进一步健全完善分类施保机制，把各类保障政策精准落实到最需要的困难群体身上，做到应保尽保，应救尽救。推进常态化疫情防控，建立重大疾病医疗保险和救助机制，抓好居家和社区养老服务工作，以各村卫生院提质增效为载体，解决好农村医疗难问题，依托“双替代”在解决好群众取暖问题。以数字化城管考核为抓手，健全完善5个城中村环境卫生、效能秩序管理等考评奖惩长效机制，确保城市精细化管理走在市区前列。</w:t>
      </w:r>
    </w:p>
    <w:p w14:paraId="737148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（四）突出青山绿水，打造亮丽名片</w:t>
      </w:r>
    </w:p>
    <w:p w14:paraId="01DD90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11.打好青山守护战。</w:t>
      </w:r>
      <w:r>
        <w:rPr>
          <w:rFonts w:hint="eastAsia" w:ascii="仿宋_GB2312" w:hAnsi="仿宋_GB2312" w:eastAsia="仿宋_GB2312" w:cs="仿宋_GB2312"/>
          <w:color w:val="auto"/>
          <w:sz w:val="32"/>
          <w:szCs w:val="32"/>
          <w:highlight w:val="none"/>
          <w:lang w:val="en-US" w:eastAsia="zh-CN"/>
        </w:rPr>
        <w:t>认真落实秦岭生态环境保护《条例》，推进秦岭“五乱”问题专项整治，持续改善生态环境质量，当好秦岭生态卫士，守护好中华祖脉。</w:t>
      </w:r>
    </w:p>
    <w:p w14:paraId="52E4A1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12.打好蓝天保卫战。</w:t>
      </w:r>
      <w:r>
        <w:rPr>
          <w:rFonts w:hint="eastAsia" w:ascii="仿宋_GB2312" w:hAnsi="仿宋_GB2312" w:eastAsia="仿宋_GB2312" w:cs="仿宋_GB2312"/>
          <w:color w:val="auto"/>
          <w:sz w:val="32"/>
          <w:szCs w:val="32"/>
          <w:highlight w:val="none"/>
          <w:lang w:val="en-US" w:eastAsia="zh-CN"/>
        </w:rPr>
        <w:t>强化源头管控，确保清洁能源替代规范运行，严控“两高”行业产能，严防“散乱污”企业反弹，做好重污染天气应对，坚决守护好广袤蓝天。</w:t>
      </w:r>
    </w:p>
    <w:p w14:paraId="2196DC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13.打好绿水治理战。</w:t>
      </w:r>
      <w:r>
        <w:rPr>
          <w:rFonts w:hint="eastAsia" w:ascii="仿宋_GB2312" w:hAnsi="仿宋_GB2312" w:eastAsia="仿宋_GB2312" w:cs="仿宋_GB2312"/>
          <w:color w:val="auto"/>
          <w:sz w:val="32"/>
          <w:szCs w:val="32"/>
          <w:highlight w:val="none"/>
          <w:lang w:val="en-US" w:eastAsia="zh-CN"/>
        </w:rPr>
        <w:t>严格落实河湖长制，抓好清姜河等辖区渭河支流的综合治理和水源地保护工程，开展污水处理提质增效三年行动，确保水系环境持续改善。</w:t>
      </w:r>
    </w:p>
    <w:p w14:paraId="2A4A5C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14.打好国土绿化战。</w:t>
      </w:r>
      <w:r>
        <w:rPr>
          <w:rFonts w:hint="eastAsia" w:ascii="仿宋_GB2312" w:hAnsi="仿宋_GB2312" w:eastAsia="仿宋_GB2312" w:cs="仿宋_GB2312"/>
          <w:color w:val="auto"/>
          <w:sz w:val="32"/>
          <w:szCs w:val="32"/>
          <w:highlight w:val="none"/>
          <w:lang w:val="en-US" w:eastAsia="zh-CN"/>
        </w:rPr>
        <w:t>持续推进“森林四围”，创建一批森林乡村，实施土壤污染防治攻坚行动，扎实推进垃圾分类处理，让渭滨大地常绿常青。</w:t>
      </w:r>
    </w:p>
    <w:p w14:paraId="7C7860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15.打好环境整治战。</w:t>
      </w:r>
      <w:r>
        <w:rPr>
          <w:rFonts w:hint="eastAsia" w:ascii="仿宋_GB2312" w:hAnsi="仿宋_GB2312" w:eastAsia="仿宋_GB2312" w:cs="仿宋_GB2312"/>
          <w:color w:val="auto"/>
          <w:sz w:val="32"/>
          <w:szCs w:val="32"/>
          <w:highlight w:val="none"/>
          <w:lang w:val="en-US" w:eastAsia="zh-CN"/>
        </w:rPr>
        <w:t>坚持以城带乡，持续抓好农村人居环境整治，深入实施“四季清洁行动”，大力倡导绿色生活方式，让群众生活环境更舒适更优美。</w:t>
      </w:r>
    </w:p>
    <w:p w14:paraId="1B180B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（五）突出平安建设，提升治理水平</w:t>
      </w:r>
    </w:p>
    <w:p w14:paraId="697DC265">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eastAsia" w:ascii="仿宋_GB2312" w:eastAsia="仿宋_GB2312"/>
          <w:sz w:val="32"/>
          <w:szCs w:val="32"/>
        </w:rPr>
      </w:pPr>
      <w:r>
        <w:rPr>
          <w:rFonts w:hint="eastAsia" w:ascii="仿宋_GB2312" w:hAnsi="仿宋_GB2312" w:eastAsia="仿宋_GB2312" w:cs="仿宋_GB2312"/>
          <w:b/>
          <w:bCs/>
          <w:color w:val="auto"/>
          <w:sz w:val="32"/>
          <w:szCs w:val="32"/>
          <w:highlight w:val="none"/>
          <w:lang w:val="en-US" w:eastAsia="zh-CN"/>
        </w:rPr>
        <w:t>16.持续推进平安建设，净化社会风气。</w:t>
      </w:r>
      <w:r>
        <w:rPr>
          <w:rFonts w:hint="eastAsia" w:ascii="仿宋_GB2312" w:hAnsi="仿宋_GB2312" w:eastAsia="仿宋_GB2312" w:cs="仿宋_GB2312"/>
          <w:sz w:val="32"/>
          <w:szCs w:val="32"/>
          <w:lang w:val="en-US" w:eastAsia="zh-CN"/>
        </w:rPr>
        <w:t>健全完善重大决策社会稳定风险评估机制，扎实开展矛盾纠纷集中排查整治，持续进行平安建设的宣传，深入推进扫黑除恶专项斗争，做到有黑扫黑、无黑除恶、无恶治乱，净化社会风气。成立专项工作组对我镇峪泉二组与世苑大厦、姜城村高宝红等积案进行化解，减少存量、遏制增量。扎实做好安全生产工作，加大检查督察力度，落实</w:t>
      </w:r>
      <w:r>
        <w:rPr>
          <w:rFonts w:hint="eastAsia" w:ascii="仿宋_GB2312" w:eastAsia="仿宋_GB2312"/>
          <w:sz w:val="32"/>
          <w:szCs w:val="32"/>
        </w:rPr>
        <w:t>生产经营单位的主体责任，加强对重点行业、重点领域安全监督培训和专项整治力度，全年</w:t>
      </w:r>
      <w:r>
        <w:rPr>
          <w:rFonts w:hint="eastAsia" w:ascii="仿宋_GB2312" w:eastAsia="仿宋_GB2312"/>
          <w:sz w:val="32"/>
          <w:szCs w:val="32"/>
          <w:lang w:eastAsia="zh-CN"/>
        </w:rPr>
        <w:t>开展4次以上</w:t>
      </w:r>
      <w:r>
        <w:rPr>
          <w:rFonts w:hint="eastAsia" w:ascii="仿宋_GB2312" w:eastAsia="仿宋_GB2312"/>
          <w:sz w:val="32"/>
          <w:szCs w:val="32"/>
        </w:rPr>
        <w:t>安全生产集中整治，统筹抓好森林防火、消防安全、防汛救灾、食品药品安全监管等工作</w:t>
      </w:r>
      <w:r>
        <w:rPr>
          <w:rFonts w:hint="eastAsia" w:ascii="仿宋_GB2312" w:eastAsia="仿宋_GB2312"/>
          <w:sz w:val="32"/>
          <w:szCs w:val="32"/>
          <w:lang w:eastAsia="zh-CN"/>
        </w:rPr>
        <w:t>，</w:t>
      </w:r>
      <w:r>
        <w:rPr>
          <w:rFonts w:hint="eastAsia" w:ascii="仿宋_GB2312" w:eastAsia="仿宋_GB2312"/>
          <w:sz w:val="32"/>
          <w:szCs w:val="32"/>
          <w:lang w:val="en-US" w:eastAsia="zh-CN"/>
        </w:rPr>
        <w:t>确保我镇无重大安全事故发生，</w:t>
      </w:r>
      <w:r>
        <w:rPr>
          <w:rFonts w:hint="eastAsia" w:ascii="仿宋_GB2312" w:eastAsia="仿宋_GB2312"/>
          <w:sz w:val="32"/>
          <w:szCs w:val="32"/>
        </w:rPr>
        <w:t>实现“一控四降”目标</w:t>
      </w:r>
      <w:r>
        <w:rPr>
          <w:rFonts w:hint="eastAsia" w:ascii="仿宋_GB2312" w:eastAsia="仿宋_GB2312"/>
          <w:sz w:val="32"/>
          <w:szCs w:val="32"/>
          <w:lang w:eastAsia="zh-CN"/>
        </w:rPr>
        <w:t>，</w:t>
      </w:r>
      <w:r>
        <w:rPr>
          <w:rFonts w:hint="eastAsia" w:ascii="仿宋_GB2312" w:eastAsia="仿宋_GB2312"/>
          <w:sz w:val="32"/>
          <w:szCs w:val="32"/>
        </w:rPr>
        <w:t>不断提高公共突发事件应急处置水平。</w:t>
      </w:r>
    </w:p>
    <w:p w14:paraId="305D2198">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17.抓好社区治理。</w:t>
      </w:r>
      <w:r>
        <w:rPr>
          <w:rFonts w:hint="eastAsia" w:ascii="仿宋_GB2312" w:hAnsi="仿宋_GB2312" w:eastAsia="仿宋_GB2312" w:cs="仿宋_GB2312"/>
          <w:sz w:val="32"/>
          <w:szCs w:val="32"/>
          <w:lang w:val="en-US" w:eastAsia="zh-CN"/>
        </w:rPr>
        <w:t>在全面完成网格化管理的基础上，积极探索村改居自治治理模式。重点突出村改居后的职能转变和管理模式的转变，加快对姜城堡社区标准化建设和陈家社区正规化建设的步伐，年内依托智慧城市治理平台和社区党组织、自治组织，及时高效解决好社区居民的突出问题，争创国家级社区治理和服务创新实验区。</w:t>
      </w:r>
    </w:p>
    <w:p w14:paraId="2AA96A2B">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default" w:ascii="仿宋_GB2312" w:eastAsia="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18.创建“六好司法所”，提升治理能力。</w:t>
      </w:r>
      <w:r>
        <w:rPr>
          <w:rFonts w:hint="eastAsia" w:ascii="仿宋_GB2312" w:eastAsia="仿宋_GB2312"/>
          <w:sz w:val="32"/>
          <w:szCs w:val="32"/>
          <w:lang w:val="en-US" w:eastAsia="zh-CN"/>
        </w:rPr>
        <w:t>高标准抓好镇司法所的自身建设。镇党委、镇政府按“夺、争、树”目标要求，将镇司法所列为省级“六好司法所”来树立我镇司法所建设的品牌，用自身建设的加强来促进法律法规的落实和人民学法、守法、用法意识的提高，在全镇范围内营造宣传法律、遵守法律，与违法违纪问题作斗争的浓厚氛围。</w:t>
      </w:r>
    </w:p>
    <w:p w14:paraId="13190C91">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default" w:ascii="仿宋_GB2312" w:eastAsia="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19.统筹发展和安全。</w:t>
      </w:r>
      <w:r>
        <w:rPr>
          <w:rFonts w:hint="eastAsia" w:ascii="仿宋_GB2312" w:eastAsia="仿宋_GB2312"/>
          <w:sz w:val="32"/>
          <w:szCs w:val="32"/>
          <w:lang w:val="en-US" w:eastAsia="zh-CN"/>
        </w:rPr>
        <w:t>在政治安全方面，严密防范各类危害政治安全的事件，维护意识形态、网络空间、民族宗教等领域安全。在经济安全方面，加强风险预警防控，实施项目安全风险评估，杜绝项目盲目上马和不切实际行为发生，造成集体经济的损失。在人民生命安全方面，加强公共防治、疾病预防控制、重大疫情防控救治、应急物资保障等体系建设，严格落实安全生产责任制，强化食品药品安全监管，健全隐患排查整治管理机制，切实维护社会大局和谐稳定。</w:t>
      </w:r>
    </w:p>
    <w:p w14:paraId="39F2AE89">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0" w:firstLineChars="200"/>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（六）突出执纪问责，落实全面神农镇2021年预算公开.docx</w:t>
      </w:r>
    </w:p>
    <w:p w14:paraId="2CC02282">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val="0"/>
          <w:kern w:val="2"/>
          <w:sz w:val="32"/>
          <w:szCs w:val="32"/>
          <w:lang w:val="en-US" w:eastAsia="zh-CN" w:bidi="ar-SA"/>
        </w:rPr>
        <w:t>20</w:t>
      </w:r>
      <w:r>
        <w:rPr>
          <w:rFonts w:hint="default" w:ascii="楷体" w:hAnsi="楷体" w:eastAsia="楷体" w:cs="楷体"/>
          <w:b/>
          <w:bCs w:val="0"/>
          <w:kern w:val="2"/>
          <w:sz w:val="32"/>
          <w:szCs w:val="32"/>
          <w:lang w:val="en-US" w:eastAsia="zh-CN" w:bidi="ar-SA"/>
        </w:rPr>
        <w:t>.</w:t>
      </w:r>
      <w:r>
        <w:rPr>
          <w:rFonts w:hint="eastAsia" w:ascii="楷体" w:hAnsi="楷体" w:eastAsia="楷体" w:cs="楷体"/>
          <w:b/>
          <w:bCs w:val="0"/>
          <w:kern w:val="2"/>
          <w:sz w:val="32"/>
          <w:szCs w:val="32"/>
          <w:lang w:val="en-US" w:eastAsia="zh-CN" w:bidi="ar-SA"/>
        </w:rPr>
        <w:t>抓主责主业，增强管党治党的政治责任。</w:t>
      </w:r>
      <w:r>
        <w:rPr>
          <w:rFonts w:hint="eastAsia" w:ascii="仿宋_GB2312" w:hAnsi="仿宋_GB2312" w:eastAsia="仿宋_GB2312" w:cs="仿宋_GB2312"/>
          <w:kern w:val="2"/>
          <w:sz w:val="32"/>
          <w:szCs w:val="32"/>
          <w:lang w:val="en-US" w:eastAsia="zh-CN" w:bidi="ar-SA"/>
        </w:rPr>
        <w:t>各村党组织要严格落实管党治党的主体责任、“一把手”第一责任人职责。巩固深化“两个责任”贯通联动一体落实改革试点观察点成果，将“四张清单”、村干部“小微权利”清单和“四色提醒”督办、村务监督委员会“三个作用”发挥促进职责落实等制度办法进一步进行细化、具体化，用“清单”明确任务，让“提醒督办”促进落实，使“三个作用”发挥畅通监督渠道。</w:t>
      </w:r>
    </w:p>
    <w:p w14:paraId="63D246BA">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val="0"/>
          <w:kern w:val="2"/>
          <w:sz w:val="32"/>
          <w:szCs w:val="32"/>
          <w:lang w:val="en-US" w:eastAsia="zh-CN" w:bidi="ar-SA"/>
        </w:rPr>
        <w:t>21.驰而不息</w:t>
      </w:r>
      <w:r>
        <w:rPr>
          <w:rFonts w:hint="default" w:ascii="楷体" w:hAnsi="楷体" w:eastAsia="楷体" w:cs="楷体"/>
          <w:b/>
          <w:bCs w:val="0"/>
          <w:kern w:val="2"/>
          <w:sz w:val="32"/>
          <w:szCs w:val="32"/>
          <w:lang w:val="en-US" w:eastAsia="zh-CN" w:bidi="ar-SA"/>
        </w:rPr>
        <w:t>抓好“四风”建设。</w:t>
      </w:r>
      <w:r>
        <w:rPr>
          <w:rFonts w:hint="eastAsia" w:ascii="仿宋_GB2312" w:hAnsi="仿宋_GB2312" w:eastAsia="仿宋_GB2312" w:cs="仿宋_GB2312"/>
          <w:sz w:val="32"/>
          <w:szCs w:val="32"/>
          <w:lang w:val="en-US" w:eastAsia="zh-CN"/>
        </w:rPr>
        <w:t>坚持落实“中央八项规定”常态化、长效化，</w:t>
      </w:r>
      <w:r>
        <w:rPr>
          <w:rFonts w:hint="default" w:ascii="仿宋_GB2312" w:hAnsi="仿宋_GB2312" w:eastAsia="仿宋_GB2312" w:cs="仿宋_GB2312"/>
          <w:kern w:val="2"/>
          <w:sz w:val="32"/>
          <w:szCs w:val="32"/>
          <w:lang w:val="en-US" w:eastAsia="zh-CN" w:bidi="ar-SA"/>
        </w:rPr>
        <w:t>增强党的作风建设的自觉性和坚定性。</w:t>
      </w:r>
      <w:r>
        <w:rPr>
          <w:rFonts w:hint="eastAsia" w:ascii="仿宋_GB2312" w:hAnsi="仿宋_GB2312" w:eastAsia="仿宋_GB2312" w:cs="仿宋_GB2312"/>
          <w:sz w:val="32"/>
          <w:szCs w:val="32"/>
          <w:lang w:val="en-US" w:eastAsia="zh-CN"/>
        </w:rPr>
        <w:t>大力纠治“四风”问题，在“四风”问题的变异变种纠治上下功夫，</w:t>
      </w:r>
      <w:r>
        <w:rPr>
          <w:rFonts w:hint="default" w:ascii="仿宋_GB2312" w:hAnsi="仿宋_GB2312" w:eastAsia="仿宋_GB2312" w:cs="仿宋_GB2312"/>
          <w:kern w:val="2"/>
          <w:sz w:val="32"/>
          <w:szCs w:val="32"/>
          <w:lang w:val="en-US" w:eastAsia="zh-CN" w:bidi="ar-SA"/>
        </w:rPr>
        <w:t>保持正风肃纪高压态势，防止“四风”问题反弹回潮、隐形变异。</w:t>
      </w:r>
      <w:r>
        <w:rPr>
          <w:rFonts w:hint="eastAsia" w:ascii="仿宋_GB2312" w:hAnsi="仿宋_GB2312" w:eastAsia="仿宋_GB2312" w:cs="仿宋_GB2312"/>
          <w:sz w:val="32"/>
          <w:szCs w:val="32"/>
          <w:lang w:val="en-US" w:eastAsia="zh-CN"/>
        </w:rPr>
        <w:t>集中开展违规收受礼金礼品问题专项整治，突出扶贫、土地管理、民政保障等领域腐败和作风问题的治理，把村民小组长纳入管理视线，推动反腐败的延伸。坚决克服形式主义和官僚主义，落实“首问负责制”“限时办结投制”，以认真负责的态度落实好干部帮办和一站式办结要求，切实做到法无授权不可为，法定职责必须为。</w:t>
      </w:r>
    </w:p>
    <w:p w14:paraId="74807DCE">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val="0"/>
          <w:kern w:val="2"/>
          <w:sz w:val="32"/>
          <w:szCs w:val="32"/>
          <w:lang w:val="en-US" w:eastAsia="zh-CN" w:bidi="ar-SA"/>
        </w:rPr>
        <w:t>22</w:t>
      </w:r>
      <w:r>
        <w:rPr>
          <w:rFonts w:hint="default" w:ascii="楷体" w:hAnsi="楷体" w:eastAsia="楷体" w:cs="楷体"/>
          <w:b/>
          <w:bCs w:val="0"/>
          <w:kern w:val="2"/>
          <w:sz w:val="32"/>
          <w:szCs w:val="32"/>
          <w:lang w:val="en-US" w:eastAsia="zh-CN" w:bidi="ar-SA"/>
        </w:rPr>
        <w:t>.加强机关党风廉政建设。</w:t>
      </w:r>
      <w:r>
        <w:rPr>
          <w:rFonts w:hint="default" w:ascii="仿宋_GB2312" w:hAnsi="仿宋_GB2312" w:eastAsia="仿宋_GB2312" w:cs="仿宋_GB2312"/>
          <w:kern w:val="2"/>
          <w:sz w:val="32"/>
          <w:szCs w:val="32"/>
          <w:lang w:val="en-US" w:eastAsia="zh-CN" w:bidi="ar-SA"/>
        </w:rPr>
        <w:t>加强警示教育学习，</w:t>
      </w:r>
      <w:r>
        <w:rPr>
          <w:rFonts w:hint="eastAsia" w:ascii="仿宋_GB2312" w:hAnsi="仿宋_GB2312" w:eastAsia="仿宋_GB2312" w:cs="仿宋_GB2312"/>
          <w:sz w:val="32"/>
          <w:szCs w:val="32"/>
          <w:lang w:val="en-US" w:eastAsia="zh-CN"/>
        </w:rPr>
        <w:t>扎实开展“以案促改”警示教育和区委巡察问题整改活动，教育引导党员干部心存敬畏、警钟长鸣，</w:t>
      </w:r>
      <w:r>
        <w:rPr>
          <w:rFonts w:hint="default" w:ascii="仿宋_GB2312" w:hAnsi="仿宋_GB2312" w:eastAsia="仿宋_GB2312" w:cs="仿宋_GB2312"/>
          <w:kern w:val="2"/>
          <w:sz w:val="32"/>
          <w:szCs w:val="32"/>
          <w:lang w:val="en-US" w:eastAsia="zh-CN" w:bidi="ar-SA"/>
        </w:rPr>
        <w:t>推进党风廉政教育常态化，营造良好的廉政氛围，切实把廉政文化融入文明机关创建。充分运用五种形态，经常性开展廉政约谈，对</w:t>
      </w:r>
      <w:r>
        <w:rPr>
          <w:rFonts w:hint="eastAsia" w:ascii="仿宋_GB2312" w:hAnsi="仿宋_GB2312" w:eastAsia="仿宋_GB2312" w:cs="仿宋_GB2312"/>
          <w:kern w:val="2"/>
          <w:sz w:val="32"/>
          <w:szCs w:val="32"/>
          <w:lang w:val="en-US" w:eastAsia="zh-CN" w:bidi="ar-SA"/>
        </w:rPr>
        <w:t>镇村</w:t>
      </w:r>
      <w:r>
        <w:rPr>
          <w:rFonts w:hint="default" w:ascii="仿宋_GB2312" w:hAnsi="仿宋_GB2312" w:eastAsia="仿宋_GB2312" w:cs="仿宋_GB2312"/>
          <w:kern w:val="2"/>
          <w:sz w:val="32"/>
          <w:szCs w:val="32"/>
          <w:lang w:val="en-US" w:eastAsia="zh-CN" w:bidi="ar-SA"/>
        </w:rPr>
        <w:t>党员干部苗头性、倾向性问题及时咬耳扯袖、提醒警惕，有效遏制不良风气。</w:t>
      </w:r>
    </w:p>
    <w:p w14:paraId="1CEDCBD0">
      <w:pPr>
        <w:keepNext w:val="0"/>
        <w:keepLines w:val="0"/>
        <w:pageBreakBefore w:val="0"/>
        <w:widowControl w:val="0"/>
        <w:numPr>
          <w:ilvl w:val="0"/>
          <w:numId w:val="0"/>
        </w:numPr>
        <w:pBdr>
          <w:top w:val="none" w:color="000000" w:sz="0" w:space="0"/>
          <w:left w:val="none" w:color="000000" w:sz="0" w:space="12"/>
          <w:bottom w:val="single" w:color="FFFFFF" w:sz="4" w:space="31"/>
          <w:right w:val="none" w:color="000000" w:sz="0" w:space="0"/>
        </w:pBdr>
        <w:kinsoku/>
        <w:wordWrap/>
        <w:overflowPunct/>
        <w:topLinePunct w:val="0"/>
        <w:autoSpaceDE/>
        <w:autoSpaceDN w:val="0"/>
        <w:bidi w:val="0"/>
        <w:adjustRightInd/>
        <w:snapToGrid/>
        <w:spacing w:line="240" w:lineRule="auto"/>
        <w:ind w:firstLine="643" w:firstLineChars="200"/>
        <w:textAlignment w:val="baseline"/>
        <w:rPr>
          <w:rFonts w:hint="eastAsia" w:ascii="仿宋_GB2312" w:hAnsi="仿宋_GB2312" w:eastAsia="仿宋_GB2312" w:cs="仿宋_GB2312"/>
          <w:b/>
          <w:bCs/>
          <w:sz w:val="32"/>
          <w:szCs w:val="32"/>
          <w:highlight w:val="yellow"/>
        </w:rPr>
      </w:pPr>
      <w:r>
        <w:rPr>
          <w:rFonts w:hint="eastAsia" w:ascii="楷体" w:hAnsi="楷体" w:eastAsia="楷体" w:cs="楷体"/>
          <w:b/>
          <w:bCs w:val="0"/>
          <w:kern w:val="2"/>
          <w:sz w:val="32"/>
          <w:szCs w:val="32"/>
          <w:lang w:val="en-US" w:eastAsia="zh-CN" w:bidi="ar-SA"/>
        </w:rPr>
        <w:t>23</w:t>
      </w:r>
      <w:r>
        <w:rPr>
          <w:rFonts w:hint="default" w:ascii="楷体" w:hAnsi="楷体" w:eastAsia="楷体" w:cs="楷体"/>
          <w:b/>
          <w:bCs w:val="0"/>
          <w:kern w:val="2"/>
          <w:sz w:val="32"/>
          <w:szCs w:val="32"/>
          <w:lang w:val="en-US" w:eastAsia="zh-CN" w:bidi="ar-SA"/>
        </w:rPr>
        <w:t>.巩固巡察整改成果形成长效机制。</w:t>
      </w:r>
      <w:r>
        <w:rPr>
          <w:rFonts w:hint="eastAsia" w:ascii="仿宋_GB2312" w:hAnsi="仿宋_GB2312" w:eastAsia="仿宋_GB2312" w:cs="仿宋_GB2312"/>
          <w:sz w:val="32"/>
          <w:szCs w:val="32"/>
          <w:lang w:val="en-US" w:eastAsia="zh-CN"/>
        </w:rPr>
        <w:t>镇政府完成机关管理制度的修订完善，党委对村级管理考核办法进行修订完善，各支部也要针对镇党委、镇政府的管理办法修订完善村上的管理考核办，形成工作有安排、有检查、有考核、有奖惩的“四有”工作机制。针对重点项目、重点工作进行跟踪问效和监督检查，促进各项工作快速推进。强化考核结果的应用，做到考核与评先树模、评定等效、资金发放直接挂钩，</w:t>
      </w:r>
      <w:r>
        <w:rPr>
          <w:rFonts w:hint="default" w:ascii="仿宋_GB2312" w:hAnsi="仿宋_GB2312" w:eastAsia="仿宋_GB2312" w:cs="仿宋_GB2312"/>
          <w:kern w:val="2"/>
          <w:sz w:val="32"/>
          <w:szCs w:val="32"/>
          <w:lang w:val="en-US" w:eastAsia="zh-CN" w:bidi="ar-SA"/>
        </w:rPr>
        <w:t>着眼于标本兼治，形成长效机制。继续加强制度建设，修订、新建一批长效管用的制度，并坚持抓好执行落实。</w:t>
      </w:r>
    </w:p>
    <w:p w14:paraId="69A3B892">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三、部门预算单位构成</w:t>
      </w:r>
    </w:p>
    <w:p w14:paraId="47EC5836">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从预算单位构成看，本部门的部门预算</w:t>
      </w:r>
      <w:r>
        <w:rPr>
          <w:rFonts w:hint="eastAsia" w:ascii="仿宋_GB2312" w:hAnsi="仿宋_GB2312" w:eastAsia="仿宋_GB2312" w:cs="仿宋_GB2312"/>
          <w:sz w:val="32"/>
          <w:szCs w:val="32"/>
          <w:highlight w:val="none"/>
          <w:lang w:val="en-US" w:eastAsia="zh-CN"/>
        </w:rPr>
        <w:t>包括部门本级（机关）预算。</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79A0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14:paraId="2771EF9F">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14:paraId="06B17E1F">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14:paraId="00956000">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14:paraId="7208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14:paraId="499797CC">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14:paraId="3C4898C6">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宝鸡市渭滨区神农镇本级（机关）</w:t>
            </w:r>
          </w:p>
        </w:tc>
        <w:tc>
          <w:tcPr>
            <w:tcW w:w="2011" w:type="dxa"/>
            <w:vAlign w:val="top"/>
          </w:tcPr>
          <w:p w14:paraId="068A6574">
            <w:pPr>
              <w:ind w:firstLine="640" w:firstLineChars="200"/>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无</w:t>
            </w:r>
          </w:p>
        </w:tc>
      </w:tr>
    </w:tbl>
    <w:p w14:paraId="77B2A699">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四、部门人员情况说明</w:t>
      </w:r>
    </w:p>
    <w:p w14:paraId="7095535C">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2020年底，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53人，其中行政编制31人、事业编制22人；实有人员48人，其中行政24人、事业24人。单位管理的离退休人员22人。</w:t>
      </w:r>
    </w:p>
    <w:p w14:paraId="2A10CFD0">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inline distT="0" distB="0" distL="114300" distR="114300">
            <wp:extent cx="5270500" cy="3828415"/>
            <wp:effectExtent l="4445" t="4445" r="2095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34762C8">
      <w:pPr>
        <w:ind w:firstLine="640"/>
        <w:rPr>
          <w:rFonts w:hint="eastAsia" w:ascii="仿宋_GB2312" w:hAnsi="仿宋_GB2312" w:eastAsia="仿宋_GB2312" w:cs="仿宋_GB2312"/>
          <w:sz w:val="32"/>
          <w:szCs w:val="32"/>
          <w:highlight w:val="none"/>
          <w:lang w:val="en-US" w:eastAsia="zh-CN"/>
        </w:rPr>
      </w:pPr>
    </w:p>
    <w:p w14:paraId="35FA3B4B">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14:paraId="4BF3D39E">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202</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年部门预算收支说明</w:t>
      </w:r>
    </w:p>
    <w:p w14:paraId="027A7D9A">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收支预算总体情况。</w:t>
      </w:r>
    </w:p>
    <w:p w14:paraId="26450220">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2021年本部门预算收入921.29万元，其中一般公共预算拨款收入921.29万元、政府性基金拨款收入0万元，2021年本部门预算收入较上年增加17.12万元，主要原因是落实乡镇补贴调整政策，乡镇补贴预算增加；2021年本部门预算支出921.29万元，其中一般公共预算拨款支出921.29万元、政府性基金拨款支出0万元，2021年本部门预算支出较上年增加17.12万元，落实乡镇补贴调整政策，乡镇补贴预算增加。</w:t>
      </w:r>
    </w:p>
    <w:p w14:paraId="616F70F0">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（二）财政拨款收支情况。</w:t>
      </w:r>
    </w:p>
    <w:p w14:paraId="060BE7F7">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eastAsia="zh-CN"/>
        </w:rPr>
        <w:t>年本部门财政拨款收入</w:t>
      </w:r>
      <w:r>
        <w:rPr>
          <w:rFonts w:hint="eastAsia" w:ascii="仿宋_GB2312" w:hAnsi="仿宋_GB2312" w:eastAsia="仿宋_GB2312" w:cs="仿宋_GB2312"/>
          <w:sz w:val="32"/>
          <w:szCs w:val="32"/>
          <w:highlight w:val="none"/>
          <w:lang w:val="en-US" w:eastAsia="zh-CN"/>
        </w:rPr>
        <w:t>921.29</w:t>
      </w:r>
      <w:r>
        <w:rPr>
          <w:rFonts w:hint="eastAsia" w:ascii="仿宋_GB2312" w:hAnsi="仿宋_GB2312" w:eastAsia="仿宋_GB2312" w:cs="仿宋_GB2312"/>
          <w:sz w:val="32"/>
          <w:szCs w:val="32"/>
          <w:highlight w:val="none"/>
          <w:lang w:eastAsia="zh-CN"/>
        </w:rPr>
        <w:t>万元，其中一般公共预算拨款收入</w:t>
      </w:r>
      <w:r>
        <w:rPr>
          <w:rFonts w:hint="eastAsia" w:ascii="仿宋_GB2312" w:hAnsi="仿宋_GB2312" w:eastAsia="仿宋_GB2312" w:cs="仿宋_GB2312"/>
          <w:sz w:val="32"/>
          <w:szCs w:val="32"/>
          <w:highlight w:val="none"/>
          <w:lang w:val="en-US" w:eastAsia="zh-CN"/>
        </w:rPr>
        <w:t>921.29</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年本部门财政拨款收入较上年增加</w:t>
      </w:r>
      <w:r>
        <w:rPr>
          <w:rFonts w:hint="eastAsia" w:ascii="仿宋_GB2312" w:hAnsi="仿宋_GB2312" w:eastAsia="仿宋_GB2312" w:cs="仿宋_GB2312"/>
          <w:sz w:val="32"/>
          <w:szCs w:val="32"/>
          <w:highlight w:val="none"/>
          <w:lang w:val="en-US" w:eastAsia="zh-CN"/>
        </w:rPr>
        <w:t>17.12</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落实乡镇补贴调整政策，乡镇补贴预算增加</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年本部门财政拨款支出</w:t>
      </w:r>
      <w:r>
        <w:rPr>
          <w:rFonts w:hint="eastAsia" w:ascii="仿宋_GB2312" w:hAnsi="仿宋_GB2312" w:eastAsia="仿宋_GB2312" w:cs="仿宋_GB2312"/>
          <w:sz w:val="32"/>
          <w:szCs w:val="32"/>
          <w:highlight w:val="none"/>
          <w:lang w:val="en-US" w:eastAsia="zh-CN"/>
        </w:rPr>
        <w:t>921.29</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921.29</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年本部门财政拨款支出较上年增加</w:t>
      </w:r>
      <w:r>
        <w:rPr>
          <w:rFonts w:hint="eastAsia" w:ascii="仿宋_GB2312" w:hAnsi="仿宋_GB2312" w:eastAsia="仿宋_GB2312" w:cs="仿宋_GB2312"/>
          <w:sz w:val="32"/>
          <w:szCs w:val="32"/>
          <w:highlight w:val="none"/>
          <w:lang w:val="en-US" w:eastAsia="zh-CN"/>
        </w:rPr>
        <w:t>17.12</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落实乡镇补贴调整政策，乡镇补贴预算增加。</w:t>
      </w:r>
    </w:p>
    <w:p w14:paraId="680A7D62">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（三）一般</w:t>
      </w:r>
      <w:r>
        <w:rPr>
          <w:rFonts w:hint="eastAsia" w:ascii="仿宋_GB2312" w:hAnsi="仿宋_GB2312" w:eastAsia="仿宋_GB2312" w:cs="仿宋_GB2312"/>
          <w:sz w:val="32"/>
          <w:szCs w:val="32"/>
          <w:highlight w:val="none"/>
        </w:rPr>
        <w:t>公共预算拨款支出明细情况。</w:t>
      </w:r>
    </w:p>
    <w:p w14:paraId="0A4EE42E">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14:paraId="7F6B46ED">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年本部门当年一般公共预算拨款支出</w:t>
      </w:r>
      <w:r>
        <w:rPr>
          <w:rFonts w:hint="eastAsia" w:ascii="仿宋_GB2312" w:hAnsi="仿宋_GB2312" w:eastAsia="仿宋_GB2312" w:cs="仿宋_GB2312"/>
          <w:sz w:val="32"/>
          <w:szCs w:val="32"/>
          <w:highlight w:val="none"/>
          <w:lang w:val="en-US" w:eastAsia="zh-CN"/>
        </w:rPr>
        <w:t>921.29</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17.12</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落实乡镇补贴调整政策，乡镇补贴预算增加。</w:t>
      </w:r>
    </w:p>
    <w:p w14:paraId="73316B98">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14:paraId="10854AF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当年一般公共预算支出921.29万元，其中：</w:t>
      </w:r>
    </w:p>
    <w:p w14:paraId="63B230DD">
      <w:pPr>
        <w:ind w:firstLine="64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2010301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633.09万元，较上年增加</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60.82</w:t>
      </w:r>
      <w:r>
        <w:rPr>
          <w:rFonts w:hint="eastAsia" w:ascii="仿宋_GB2312" w:hAnsi="仿宋_GB2312" w:eastAsia="仿宋_GB2312" w:cs="仿宋_GB2312"/>
          <w:sz w:val="32"/>
          <w:szCs w:val="32"/>
          <w:highlight w:val="none"/>
          <w:lang w:eastAsia="zh-CN"/>
        </w:rPr>
        <w:t>万元，人员经费支出项增加；</w:t>
      </w:r>
    </w:p>
    <w:p w14:paraId="6F044073">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）社会保障及就业支出（</w:t>
      </w:r>
      <w:r>
        <w:rPr>
          <w:rFonts w:hint="eastAsia" w:ascii="仿宋_GB2312" w:hAnsi="仿宋_GB2312" w:eastAsia="仿宋_GB2312" w:cs="仿宋_GB2312"/>
          <w:sz w:val="32"/>
          <w:szCs w:val="32"/>
          <w:highlight w:val="none"/>
          <w:lang w:val="en-US" w:eastAsia="zh-CN"/>
        </w:rPr>
        <w:t>2080505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52.8万元，较上年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万元，原因是机关人员减少；</w:t>
      </w:r>
    </w:p>
    <w:p w14:paraId="512675F5">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）卫生健康（</w:t>
      </w:r>
      <w:r>
        <w:rPr>
          <w:rFonts w:hint="eastAsia" w:ascii="仿宋_GB2312" w:hAnsi="仿宋_GB2312" w:eastAsia="仿宋_GB2312" w:cs="仿宋_GB2312"/>
          <w:sz w:val="32"/>
          <w:szCs w:val="32"/>
          <w:highlight w:val="none"/>
          <w:lang w:val="en-US" w:eastAsia="zh-CN"/>
        </w:rPr>
        <w:t>2101101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33.6万元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万元，原因是机关人员减少；</w:t>
      </w:r>
    </w:p>
    <w:p w14:paraId="36D35347">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）农林水支出（</w:t>
      </w:r>
      <w:r>
        <w:rPr>
          <w:rFonts w:hint="eastAsia" w:ascii="仿宋_GB2312" w:hAnsi="仿宋_GB2312" w:eastAsia="仿宋_GB2312" w:cs="仿宋_GB2312"/>
          <w:sz w:val="32"/>
          <w:szCs w:val="32"/>
          <w:highlight w:val="none"/>
          <w:lang w:val="en-US" w:eastAsia="zh-CN"/>
        </w:rPr>
        <w:t>2130705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201.8万元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25.7</w:t>
      </w:r>
      <w:r>
        <w:rPr>
          <w:rFonts w:hint="eastAsia" w:ascii="仿宋_GB2312" w:hAnsi="仿宋_GB2312" w:eastAsia="仿宋_GB2312" w:cs="仿宋_GB2312"/>
          <w:sz w:val="32"/>
          <w:szCs w:val="32"/>
          <w:highlight w:val="none"/>
          <w:lang w:eastAsia="zh-CN"/>
        </w:rPr>
        <w:t>万元，原因是年初预算未包含村级一事一议补助资金。</w:t>
      </w:r>
    </w:p>
    <w:p w14:paraId="6580C9E4">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14:paraId="45E1E8E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2021年本部门当年一般公共预算支出921.29万元，其中：</w:t>
      </w:r>
    </w:p>
    <w:p w14:paraId="30529BB7">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633.27万元，较上年增加34.13</w:t>
      </w:r>
      <w:r>
        <w:rPr>
          <w:rFonts w:hint="eastAsia" w:ascii="仿宋_GB2312" w:hAnsi="仿宋_GB2312" w:eastAsia="仿宋_GB2312" w:cs="仿宋_GB2312"/>
          <w:sz w:val="32"/>
          <w:szCs w:val="32"/>
          <w:highlight w:val="none"/>
          <w:lang w:eastAsia="zh-CN"/>
        </w:rPr>
        <w:t>万元，原因是人员经费支出项增加；</w:t>
      </w:r>
    </w:p>
    <w:p w14:paraId="42F44ED1">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70.63万元，较上年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4.12</w:t>
      </w:r>
      <w:r>
        <w:rPr>
          <w:rFonts w:hint="eastAsia" w:ascii="仿宋_GB2312" w:hAnsi="仿宋_GB2312" w:eastAsia="仿宋_GB2312" w:cs="仿宋_GB2312"/>
          <w:sz w:val="32"/>
          <w:szCs w:val="32"/>
          <w:highlight w:val="none"/>
          <w:lang w:eastAsia="zh-CN"/>
        </w:rPr>
        <w:t>万元，原因是日常公用经费压减、落实厉行节约政策；</w:t>
      </w:r>
    </w:p>
    <w:p w14:paraId="0EF78C37">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对个人和家庭的补助支出（303）217.39万元，较上年增加10.1</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eastAsia="zh-CN"/>
        </w:rPr>
        <w:t>医疗费补助项目）预算到对个人和家庭的补助支出科目。</w:t>
      </w:r>
    </w:p>
    <w:p w14:paraId="225DAF92">
      <w:pPr>
        <w:numPr>
          <w:ilvl w:val="0"/>
          <w:numId w:val="1"/>
        </w:num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w:t>
      </w:r>
    </w:p>
    <w:p w14:paraId="66871AB5">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2021年本部门当年一般公共预算支出921.29万元，其中：</w:t>
      </w:r>
    </w:p>
    <w:p w14:paraId="6B5D8FC1">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633.27万元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较上年增加34.13</w:t>
      </w:r>
      <w:r>
        <w:rPr>
          <w:rFonts w:hint="eastAsia" w:ascii="仿宋_GB2312" w:hAnsi="仿宋_GB2312" w:eastAsia="仿宋_GB2312" w:cs="仿宋_GB2312"/>
          <w:sz w:val="32"/>
          <w:szCs w:val="32"/>
          <w:highlight w:val="none"/>
          <w:lang w:eastAsia="zh-CN"/>
        </w:rPr>
        <w:t>万元，原因是人员经费支出项增加；</w:t>
      </w:r>
    </w:p>
    <w:p w14:paraId="23DFD321">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70.63万元，较上年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4.12</w:t>
      </w:r>
      <w:r>
        <w:rPr>
          <w:rFonts w:hint="eastAsia" w:ascii="仿宋_GB2312" w:hAnsi="仿宋_GB2312" w:eastAsia="仿宋_GB2312" w:cs="仿宋_GB2312"/>
          <w:sz w:val="32"/>
          <w:szCs w:val="32"/>
          <w:highlight w:val="none"/>
          <w:lang w:eastAsia="zh-CN"/>
        </w:rPr>
        <w:t>万元，原因是日常公用经费压减、落实厉行节约政策；</w:t>
      </w:r>
    </w:p>
    <w:p w14:paraId="7B014D51">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对个人和家庭的补助（506）217.39万元，较上年增加10.11万</w:t>
      </w:r>
      <w:r>
        <w:rPr>
          <w:rFonts w:hint="eastAsia" w:ascii="仿宋_GB2312" w:hAnsi="仿宋_GB2312" w:eastAsia="仿宋_GB2312" w:cs="仿宋_GB2312"/>
          <w:sz w:val="32"/>
          <w:szCs w:val="32"/>
          <w:highlight w:val="none"/>
          <w:lang w:eastAsia="zh-CN"/>
        </w:rPr>
        <w:t>元，原因是</w:t>
      </w: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eastAsia="zh-CN"/>
        </w:rPr>
        <w:t>医疗费补助项目）预算到对个人和家庭的补助支出科目。</w:t>
      </w:r>
    </w:p>
    <w:p w14:paraId="771873D8">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D974757">
      <w:pPr>
        <w:ind w:firstLine="640"/>
        <w:rPr>
          <w:rFonts w:hint="eastAsia" w:ascii="仿宋_GB2312" w:hAnsi="仿宋_GB2312" w:eastAsia="仿宋_GB2312" w:cs="仿宋_GB2312"/>
          <w:sz w:val="32"/>
          <w:szCs w:val="32"/>
          <w:highlight w:val="none"/>
          <w:lang w:eastAsia="zh-CN"/>
        </w:rPr>
      </w:pPr>
    </w:p>
    <w:p w14:paraId="0A388718">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4、上年结转财政资金一般公共预算拨款支出情况。</w:t>
      </w:r>
    </w:p>
    <w:p w14:paraId="37BC8E02">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本部门无2020年结转的一般公共预算拨款资金支出。</w:t>
      </w:r>
    </w:p>
    <w:p w14:paraId="1CCE4F7D">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政府性基金预算支出情况。</w:t>
      </w:r>
    </w:p>
    <w:p w14:paraId="3862DC0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14:paraId="33C12363">
      <w:pPr>
        <w:numPr>
          <w:ilvl w:val="0"/>
          <w:numId w:val="2"/>
        </w:num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上年结转政府性基金预算支出情况。</w:t>
      </w:r>
    </w:p>
    <w:p w14:paraId="36FCF41F">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本部门无2020年结转的政府性基金预算拨款支出。</w:t>
      </w:r>
    </w:p>
    <w:p w14:paraId="2169E7C5">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国有资本经营预算拨款收支情况。</w:t>
      </w:r>
    </w:p>
    <w:p w14:paraId="1EDBCA2A">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国有资本经营预算拨款收支</w:t>
      </w:r>
      <w:r>
        <w:rPr>
          <w:rFonts w:hint="eastAsia" w:ascii="仿宋_GB2312" w:hAnsi="仿宋_GB2312" w:eastAsia="仿宋_GB2312" w:cs="仿宋_GB2312"/>
          <w:sz w:val="32"/>
          <w:szCs w:val="32"/>
          <w:highlight w:val="none"/>
          <w:lang w:eastAsia="zh-CN"/>
        </w:rPr>
        <w:t>，并在财政拨款收支总体情况表中列示</w:t>
      </w:r>
      <w:r>
        <w:rPr>
          <w:rFonts w:hint="eastAsia" w:ascii="仿宋_GB2312" w:hAnsi="仿宋_GB2312" w:eastAsia="仿宋_GB2312" w:cs="仿宋_GB2312"/>
          <w:sz w:val="32"/>
          <w:szCs w:val="32"/>
          <w:highlight w:val="none"/>
        </w:rPr>
        <w:t>。</w:t>
      </w:r>
    </w:p>
    <w:p w14:paraId="710C8B2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本部门无2020年结转的国有资本经营预算拨款支出。</w:t>
      </w:r>
    </w:p>
    <w:p w14:paraId="49D8880B">
      <w:pPr>
        <w:ind w:firstLine="640"/>
        <w:rPr>
          <w:rFonts w:hint="eastAsia" w:ascii="仿宋_GB2312" w:hAnsi="仿宋_GB2312" w:eastAsia="仿宋_GB2312" w:cs="仿宋_GB2312"/>
          <w:sz w:val="32"/>
          <w:szCs w:val="32"/>
          <w:highlight w:val="none"/>
          <w:lang w:val="en-US" w:eastAsia="zh-CN"/>
        </w:rPr>
      </w:pPr>
    </w:p>
    <w:p w14:paraId="1A7B0CBF">
      <w:pPr>
        <w:jc w:val="center"/>
        <w:rPr>
          <w:rFonts w:hint="default" w:ascii="仿宋_GB2312" w:hAnsi="仿宋_GB2312" w:eastAsia="仿宋_GB2312" w:cs="仿宋_GB2312"/>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第三部分</w:t>
      </w:r>
      <w:r>
        <w:rPr>
          <w:rFonts w:hint="eastAsia" w:asciiTheme="minorEastAsia" w:hAnsiTheme="minorEastAsia" w:eastAsiaTheme="minorEastAsia" w:cstheme="minorEastAsia"/>
          <w:b/>
          <w:bCs/>
          <w:sz w:val="32"/>
          <w:szCs w:val="32"/>
          <w:highlight w:val="none"/>
          <w:lang w:val="en-US" w:eastAsia="zh-CN"/>
        </w:rPr>
        <w:t xml:space="preserve">  其他说明情况</w:t>
      </w:r>
    </w:p>
    <w:p w14:paraId="79802015">
      <w:pPr>
        <w:ind w:firstLine="640"/>
        <w:rPr>
          <w:rFonts w:hint="eastAsia" w:ascii="仿宋_GB2312" w:hAnsi="仿宋_GB2312" w:eastAsia="仿宋_GB2312" w:cs="仿宋_GB2312"/>
          <w:b/>
          <w:bCs/>
          <w:sz w:val="32"/>
          <w:szCs w:val="32"/>
          <w:highlight w:val="none"/>
          <w:lang w:eastAsia="zh-CN"/>
        </w:rPr>
      </w:pPr>
    </w:p>
    <w:p w14:paraId="0046930A">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部门预算</w:t>
      </w:r>
      <w:r>
        <w:rPr>
          <w:rFonts w:hint="eastAsia" w:ascii="仿宋_GB2312" w:hAnsi="仿宋_GB2312" w:eastAsia="仿宋_GB2312" w:cs="仿宋_GB2312"/>
          <w:b/>
          <w:bCs/>
          <w:sz w:val="32"/>
          <w:szCs w:val="32"/>
          <w:highlight w:val="none"/>
        </w:rPr>
        <w:t>“三公”经费等预算情况</w:t>
      </w:r>
      <w:r>
        <w:rPr>
          <w:rFonts w:hint="eastAsia" w:ascii="仿宋_GB2312" w:hAnsi="仿宋_GB2312" w:eastAsia="仿宋_GB2312" w:cs="仿宋_GB2312"/>
          <w:b/>
          <w:bCs/>
          <w:sz w:val="32"/>
          <w:szCs w:val="32"/>
          <w:highlight w:val="none"/>
          <w:lang w:eastAsia="zh-CN"/>
        </w:rPr>
        <w:t>说明</w:t>
      </w:r>
    </w:p>
    <w:p w14:paraId="6342C3D3">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当年一般公共预算“三公”经费预算支出6万元，与上年保持一致。其中：因公出国（境）经费0万元，与上年保持一致，公务接待费费0万元，与上年保持一致；公务用车运行维护费6万元，与上年保持一致；公务用车购置费0万元，与上年保持一致。</w:t>
      </w:r>
    </w:p>
    <w:p w14:paraId="6DB060A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本部门无2020年结转的‘三公’经费支出。</w:t>
      </w:r>
    </w:p>
    <w:p w14:paraId="77F573D2">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部门国有资产占有使用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14:paraId="6D49DFF4">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2020年底，本部门所属预算单位共有车辆2辆，单价20万元以上的设备0台（套）。2021年当年部门预算安排购置车辆0辆；安排购置单价20万元以上的设备0台（套）。</w:t>
      </w:r>
    </w:p>
    <w:p w14:paraId="2A5AD0C2">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eastAsia="zh-CN"/>
        </w:rPr>
        <w:t>年结转的财政拨款支出资产购置。</w:t>
      </w:r>
    </w:p>
    <w:p w14:paraId="2E6BD7B5">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14:paraId="7B968C66">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2021年当年本</w:t>
      </w:r>
      <w:r>
        <w:rPr>
          <w:rFonts w:hint="eastAsia" w:ascii="仿宋_GB2312" w:hAnsi="仿宋_GB2312" w:eastAsia="仿宋_GB2312" w:cs="仿宋_GB2312"/>
          <w:sz w:val="32"/>
          <w:szCs w:val="32"/>
          <w:highlight w:val="none"/>
          <w:lang w:eastAsia="zh-CN"/>
        </w:rPr>
        <w:t>部门政府采购预算共</w:t>
      </w:r>
      <w:r>
        <w:rPr>
          <w:rFonts w:hint="eastAsia" w:ascii="仿宋_GB2312" w:hAnsi="仿宋_GB2312" w:eastAsia="仿宋_GB2312" w:cs="仿宋_GB2312"/>
          <w:sz w:val="32"/>
          <w:szCs w:val="32"/>
          <w:highlight w:val="none"/>
          <w:lang w:val="en-US" w:eastAsia="zh-CN"/>
        </w:rPr>
        <w:t>1万元，其中政府采购货物类预算1万元、政府采购服务类预算0万元、政府采购工程类预算0万元（详见公开报表中的政府采购表）。</w:t>
      </w:r>
    </w:p>
    <w:p w14:paraId="56904188">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本部门无2020年结转的政府采购资金支出。</w:t>
      </w:r>
    </w:p>
    <w:p w14:paraId="0C29E2B5">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部门预算绩效目标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14:paraId="2CA7578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2021年本部门绩效目标管理全覆盖，涉及当年一般公共预算当年拨款921.29万元,当年政府性基金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14:paraId="4A6F472C">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eastAsia="zh-CN"/>
        </w:rPr>
        <w:t>年结转的财政拨款支出涉及的绩效目标管理。</w:t>
      </w:r>
    </w:p>
    <w:p w14:paraId="310D9DD5">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14:paraId="18D62C02">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当年机关运行经费预算安排70.63万元，较上年减少4.12万元，主要原因是日常公用经费压减。</w:t>
      </w:r>
    </w:p>
    <w:p w14:paraId="1489D76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本部门无2020年结转的财政拨款机关运行费支出。</w:t>
      </w:r>
    </w:p>
    <w:p w14:paraId="04D27A78">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14:paraId="2ACC7698">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14:paraId="135B61DF">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 w:hAnsi="仿宋" w:eastAsia="仿宋" w:cs="仿宋"/>
          <w:kern w:val="2"/>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5F295F29">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14:paraId="7BD1BA09">
      <w:pPr>
        <w:ind w:firstLine="640"/>
        <w:rPr>
          <w:rFonts w:hint="eastAsia" w:ascii="仿宋_GB2312" w:hAnsi="仿宋_GB2312" w:eastAsia="仿宋_GB2312" w:cs="仿宋_GB2312"/>
          <w:sz w:val="32"/>
          <w:szCs w:val="32"/>
          <w:highlight w:val="none"/>
          <w:lang w:eastAsia="zh-CN"/>
        </w:rPr>
      </w:pPr>
      <w:r>
        <w:rPr>
          <w:rFonts w:hint="eastAsia" w:ascii="仿宋" w:hAnsi="仿宋" w:eastAsia="仿宋" w:cs="仿宋"/>
          <w:sz w:val="31"/>
          <w:szCs w:val="31"/>
          <w:shd w:val="clear" w:color="auto" w:fill="FFFFFF"/>
          <w:lang w:eastAsia="zh-CN"/>
        </w:rPr>
        <w:t>（</w:t>
      </w:r>
      <w:r>
        <w:rPr>
          <w:rFonts w:hint="eastAsia" w:ascii="仿宋" w:hAnsi="仿宋" w:eastAsia="仿宋" w:cs="仿宋"/>
          <w:sz w:val="31"/>
          <w:szCs w:val="31"/>
          <w:shd w:val="clear" w:color="auto" w:fill="FFFFFF"/>
        </w:rPr>
        <w:t>神农镇人民政府预算公开报表</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eastAsia="zh-CN"/>
        </w:rPr>
        <w:t>）</w:t>
      </w:r>
    </w:p>
    <w:p w14:paraId="25250567">
      <w:pPr>
        <w:rPr>
          <w:highlight w:val="none"/>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E8E8"/>
    <w:multiLevelType w:val="singleLevel"/>
    <w:tmpl w:val="CB6FE8E8"/>
    <w:lvl w:ilvl="0" w:tentative="0">
      <w:start w:val="2"/>
      <w:numFmt w:val="decimal"/>
      <w:suff w:val="nothing"/>
      <w:lvlText w:val="（%1）"/>
      <w:lvlJc w:val="left"/>
    </w:lvl>
  </w:abstractNum>
  <w:abstractNum w:abstractNumId="1">
    <w:nsid w:val="25F5DC0E"/>
    <w:multiLevelType w:val="singleLevel"/>
    <w:tmpl w:val="25F5DC0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745F"/>
    <w:rsid w:val="00825D49"/>
    <w:rsid w:val="00C00F40"/>
    <w:rsid w:val="03D616D4"/>
    <w:rsid w:val="044538BC"/>
    <w:rsid w:val="04A805C4"/>
    <w:rsid w:val="059F2A0D"/>
    <w:rsid w:val="07CE672F"/>
    <w:rsid w:val="08867E9A"/>
    <w:rsid w:val="09FD68C4"/>
    <w:rsid w:val="0ACC1647"/>
    <w:rsid w:val="0BB62CC2"/>
    <w:rsid w:val="0DCB4BB8"/>
    <w:rsid w:val="0E9A153F"/>
    <w:rsid w:val="148C4AD2"/>
    <w:rsid w:val="14C1360F"/>
    <w:rsid w:val="169C65B3"/>
    <w:rsid w:val="17C870C9"/>
    <w:rsid w:val="183A5DD8"/>
    <w:rsid w:val="19F24C5F"/>
    <w:rsid w:val="1A25019A"/>
    <w:rsid w:val="1A6F701C"/>
    <w:rsid w:val="1DC31186"/>
    <w:rsid w:val="202D63A3"/>
    <w:rsid w:val="20C141B0"/>
    <w:rsid w:val="24E73B22"/>
    <w:rsid w:val="251554EC"/>
    <w:rsid w:val="25BD1492"/>
    <w:rsid w:val="2A452C34"/>
    <w:rsid w:val="2C7B7F79"/>
    <w:rsid w:val="2D3E4FD2"/>
    <w:rsid w:val="2E0420A0"/>
    <w:rsid w:val="35A427DE"/>
    <w:rsid w:val="35A46EDD"/>
    <w:rsid w:val="35B105F9"/>
    <w:rsid w:val="39877766"/>
    <w:rsid w:val="3B0E4478"/>
    <w:rsid w:val="3E2A25EB"/>
    <w:rsid w:val="3F566B65"/>
    <w:rsid w:val="45E5510A"/>
    <w:rsid w:val="460E1C13"/>
    <w:rsid w:val="4A076BC2"/>
    <w:rsid w:val="514C1BF3"/>
    <w:rsid w:val="517F4A76"/>
    <w:rsid w:val="521A35B4"/>
    <w:rsid w:val="56067571"/>
    <w:rsid w:val="562F2C38"/>
    <w:rsid w:val="589F30C4"/>
    <w:rsid w:val="5B4116BB"/>
    <w:rsid w:val="5E1E048F"/>
    <w:rsid w:val="605220B9"/>
    <w:rsid w:val="65BC6FAB"/>
    <w:rsid w:val="66A210E1"/>
    <w:rsid w:val="6A471526"/>
    <w:rsid w:val="6A753CD8"/>
    <w:rsid w:val="6D2B7C29"/>
    <w:rsid w:val="6DA43319"/>
    <w:rsid w:val="724B347F"/>
    <w:rsid w:val="72FF180B"/>
    <w:rsid w:val="787B3FE2"/>
    <w:rsid w:val="7A7B1A42"/>
    <w:rsid w:val="7A7F745F"/>
    <w:rsid w:val="7DBD0CF4"/>
    <w:rsid w:val="7E194932"/>
    <w:rsid w:val="7E953FD1"/>
    <w:rsid w:val="7FF8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manualLayout>
          <c:layoutTarget val="inner"/>
          <c:xMode val="edge"/>
          <c:yMode val="edge"/>
          <c:x val="0.044575"/>
          <c:y val="0.1295"/>
          <c:w val="0.927925"/>
          <c:h val="0.716566666666667"/>
        </c:manualLayout>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Sheet1!$A$2:$A$3</c:f>
              <c:strCache>
                <c:ptCount val="2"/>
                <c:pt idx="0">
                  <c:v>行政人数</c:v>
                </c:pt>
                <c:pt idx="1">
                  <c:v>事业人数</c:v>
                </c:pt>
              </c:strCache>
            </c:strRef>
          </c:cat>
          <c:val>
            <c:numRef>
              <c:f>Sheet1!$B$2:$B$3</c:f>
              <c:numCache>
                <c:formatCode>General</c:formatCode>
                <c:ptCount val="2"/>
                <c:pt idx="0">
                  <c:v>31</c:v>
                </c:pt>
                <c:pt idx="1">
                  <c:v>22</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Sheet1!$A$2:$A$3</c:f>
              <c:strCache>
                <c:ptCount val="2"/>
                <c:pt idx="0">
                  <c:v>行政人数</c:v>
                </c:pt>
                <c:pt idx="1">
                  <c:v>事业人数</c:v>
                </c:pt>
              </c:strCache>
            </c:strRef>
          </c:cat>
          <c:val>
            <c:numRef>
              <c:f>Sheet1!$C$2:$C$3</c:f>
              <c:numCache>
                <c:formatCode>General</c:formatCode>
                <c:ptCount val="2"/>
                <c:pt idx="0">
                  <c:v>24</c:v>
                </c:pt>
                <c:pt idx="1">
                  <c:v>24</c:v>
                </c:pt>
              </c:numCache>
            </c:numRef>
          </c:val>
        </c:ser>
        <c:dLbls>
          <c:showLegendKey val="0"/>
          <c:showVal val="0"/>
          <c:showCatName val="0"/>
          <c:showSerName val="0"/>
          <c:showPercent val="0"/>
          <c:showBubbleSize val="0"/>
        </c:dLbls>
        <c:gapWidth val="219"/>
        <c:overlap val="-27"/>
        <c:axId val="855557044"/>
        <c:axId val="537339651"/>
      </c:barChart>
      <c:catAx>
        <c:axId val="8555570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339651"/>
        <c:crosses val="autoZero"/>
        <c:auto val="1"/>
        <c:lblAlgn val="ctr"/>
        <c:lblOffset val="100"/>
        <c:noMultiLvlLbl val="0"/>
      </c:catAx>
      <c:valAx>
        <c:axId val="5373396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5570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5fd03c-07b8-4b1d-a36e-cdf53814721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预算额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机关工资福利支出</c:v>
                </c:pt>
                <c:pt idx="1">
                  <c:v>机关商品和服务支出</c:v>
                </c:pt>
                <c:pt idx="2">
                  <c:v>对个人和家庭的补助</c:v>
                </c:pt>
              </c:strCache>
            </c:strRef>
          </c:cat>
          <c:val>
            <c:numRef>
              <c:f>Sheet1!$B$2:$B$4</c:f>
              <c:numCache>
                <c:formatCode>General</c:formatCode>
                <c:ptCount val="3"/>
                <c:pt idx="0">
                  <c:v>633.27</c:v>
                </c:pt>
                <c:pt idx="1">
                  <c:v>70.63</c:v>
                </c:pt>
                <c:pt idx="2">
                  <c:v>217.39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20eab28-f0a0-4f18-b166-aebfcc8aa4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7251</Words>
  <Characters>7634</Characters>
  <Lines>0</Lines>
  <Paragraphs>0</Paragraphs>
  <TotalTime>49</TotalTime>
  <ScaleCrop>false</ScaleCrop>
  <LinksUpToDate>false</LinksUpToDate>
  <CharactersWithSpaces>7664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2019-10-12T01:15:00Z</dcterms:created>
  <dc:creator>郭超(退回修改.)</dc:creator>
  <cp:lastModifiedBy>WPS_1723707917</cp:lastModifiedBy>
  <cp:lastPrinted>2021-04-14T01:00:00Z</cp:lastPrinted>
  <dcterms:modified xsi:type="dcterms:W3CDTF">2025-04-14T02:46:31Z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eyJoZGlkIjoiMDJiY2Q5YjRiNTYwMmY3ZmUxZWUxYTZmODc5MjIyZTciLCJ1c2VySWQiOiIxNjIxODU0MzAwIn0=</vt:lpwstr>
  </property>
  <property fmtid="{D5CDD505-2E9C-101B-9397-08002B2CF9AE}" pid="4" name="ICV">
    <vt:lpwstr>E70D438A276C4A82A484288245EE5F5F_12</vt:lpwstr>
  </property>
</Properties>
</file>