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48D77D">
      <w:pPr>
        <w:tabs>
          <w:tab w:val="left" w:pos="6090"/>
        </w:tabs>
        <w:rPr>
          <w:rFonts w:ascii="Times New Roman" w:hAnsi="Times New Roman" w:eastAsia="仿宋_GB2312" w:cs="Times New Roman"/>
          <w:sz w:val="36"/>
          <w:szCs w:val="36"/>
        </w:rPr>
      </w:pPr>
    </w:p>
    <w:p w14:paraId="5ACBA029">
      <w:pPr>
        <w:rPr>
          <w:rFonts w:ascii="Times New Roman" w:hAnsi="Times New Roman" w:eastAsia="仿宋_GB2312" w:cs="Times New Roman"/>
          <w:sz w:val="36"/>
          <w:szCs w:val="36"/>
        </w:rPr>
      </w:pPr>
    </w:p>
    <w:p w14:paraId="4A344E85">
      <w:pPr>
        <w:rPr>
          <w:rFonts w:ascii="Times New Roman" w:hAnsi="Times New Roman" w:eastAsia="仿宋_GB2312" w:cs="Times New Roman"/>
          <w:sz w:val="36"/>
          <w:szCs w:val="36"/>
        </w:rPr>
      </w:pPr>
    </w:p>
    <w:p w14:paraId="552B8851">
      <w:pPr>
        <w:rPr>
          <w:rFonts w:ascii="Times New Roman" w:hAnsi="Times New Roman" w:eastAsia="仿宋_GB2312" w:cs="Times New Roman"/>
          <w:sz w:val="36"/>
          <w:szCs w:val="36"/>
        </w:rPr>
      </w:pPr>
    </w:p>
    <w:p w14:paraId="7DC7BBFD">
      <w:pPr>
        <w:adjustRightInd w:val="0"/>
        <w:snapToGrid w:val="0"/>
        <w:jc w:val="center"/>
        <w:outlineLvl w:val="0"/>
        <w:rPr>
          <w:rFonts w:ascii="Times New Roman" w:hAnsi="Times New Roman" w:eastAsia="方正小标宋_GBK" w:cs="Times New Roman"/>
          <w:bCs/>
          <w:sz w:val="72"/>
          <w:szCs w:val="72"/>
        </w:rPr>
      </w:pPr>
      <w:r>
        <w:rPr>
          <w:rFonts w:ascii="Times New Roman" w:hAnsi="Times New Roman" w:eastAsia="方正小标宋_GBK" w:cs="Times New Roman"/>
          <w:bCs/>
          <w:sz w:val="72"/>
          <w:szCs w:val="72"/>
          <w:lang w:bidi="ar"/>
        </w:rPr>
        <w:t>建设项目环境影响报告表</w:t>
      </w:r>
      <w:r>
        <w:commentReference w:id="0"/>
      </w:r>
    </w:p>
    <w:p w14:paraId="5B42FF50">
      <w:pPr>
        <w:adjustRightInd w:val="0"/>
        <w:snapToGrid w:val="0"/>
        <w:spacing w:before="249" w:beforeLines="80"/>
        <w:jc w:val="center"/>
        <w:rPr>
          <w:rFonts w:ascii="Times New Roman" w:hAnsi="Times New Roman" w:eastAsia="楷体_GB2312" w:cs="Times New Roman"/>
          <w:bCs/>
          <w:sz w:val="48"/>
          <w:szCs w:val="48"/>
        </w:rPr>
      </w:pPr>
      <w:r>
        <w:rPr>
          <w:rFonts w:ascii="Times New Roman" w:hAnsi="Times New Roman" w:eastAsia="楷体_GB2312" w:cs="Times New Roman"/>
          <w:bCs/>
          <w:sz w:val="48"/>
          <w:szCs w:val="48"/>
          <w:lang w:bidi="ar"/>
        </w:rPr>
        <w:t>（污染影响类）</w:t>
      </w:r>
    </w:p>
    <w:p w14:paraId="0ADCEC21">
      <w:pPr>
        <w:adjustRightInd w:val="0"/>
        <w:snapToGrid w:val="0"/>
        <w:spacing w:line="288" w:lineRule="auto"/>
        <w:jc w:val="center"/>
        <w:outlineLvl w:val="0"/>
        <w:rPr>
          <w:rFonts w:ascii="Times New Roman" w:hAnsi="Times New Roman" w:eastAsia="华文仿宋" w:cs="Times New Roman"/>
          <w:kern w:val="44"/>
          <w:sz w:val="44"/>
          <w:szCs w:val="44"/>
        </w:rPr>
      </w:pPr>
    </w:p>
    <w:p w14:paraId="26F2EEE1">
      <w:pPr>
        <w:jc w:val="center"/>
        <w:rPr>
          <w:rFonts w:ascii="Times New Roman" w:hAnsi="Times New Roman" w:eastAsia="仿宋" w:cs="Times New Roman"/>
          <w:sz w:val="52"/>
          <w:szCs w:val="52"/>
        </w:rPr>
      </w:pPr>
    </w:p>
    <w:p w14:paraId="60EDB5A7">
      <w:pPr>
        <w:ind w:firstLine="1040"/>
        <w:rPr>
          <w:rFonts w:ascii="Times New Roman" w:hAnsi="Times New Roman" w:eastAsia="仿宋" w:cs="Times New Roman"/>
          <w:sz w:val="44"/>
          <w:szCs w:val="44"/>
        </w:rPr>
      </w:pPr>
    </w:p>
    <w:p w14:paraId="40418D0C">
      <w:pPr>
        <w:ind w:firstLine="1040"/>
        <w:rPr>
          <w:rFonts w:ascii="Times New Roman" w:hAnsi="Times New Roman" w:eastAsia="仿宋" w:cs="Times New Roman"/>
          <w:sz w:val="44"/>
          <w:szCs w:val="44"/>
        </w:rPr>
      </w:pPr>
    </w:p>
    <w:p w14:paraId="3C7A7636">
      <w:pPr>
        <w:pStyle w:val="4"/>
        <w:rPr>
          <w:rFonts w:ascii="Times New Roman" w:hAnsi="Times New Roman" w:eastAsia="仿宋" w:cs="Times New Roman"/>
          <w:sz w:val="44"/>
          <w:szCs w:val="44"/>
          <w:lang w:val="en-US"/>
        </w:rPr>
      </w:pPr>
    </w:p>
    <w:p w14:paraId="3D3900B5">
      <w:pPr>
        <w:rPr>
          <w:rFonts w:ascii="Times New Roman" w:hAnsi="Times New Roman" w:eastAsia="仿宋" w:cs="Times New Roman"/>
          <w:sz w:val="44"/>
          <w:szCs w:val="44"/>
        </w:rPr>
      </w:pPr>
    </w:p>
    <w:p w14:paraId="634BFB23">
      <w:pPr>
        <w:spacing w:line="360" w:lineRule="auto"/>
        <w:ind w:firstLine="1040"/>
        <w:rPr>
          <w:rFonts w:ascii="Times New Roman" w:hAnsi="Times New Roman" w:eastAsia="仿宋" w:cs="Times New Roman"/>
          <w:sz w:val="44"/>
          <w:szCs w:val="44"/>
        </w:rPr>
      </w:pPr>
    </w:p>
    <w:p w14:paraId="111FC147">
      <w:pPr>
        <w:adjustRightInd w:val="0"/>
        <w:snapToGrid w:val="0"/>
        <w:spacing w:line="360" w:lineRule="auto"/>
        <w:ind w:firstLine="643" w:firstLineChars="200"/>
        <w:rPr>
          <w:rFonts w:ascii="Times New Roman" w:hAnsi="Times New Roman" w:eastAsia="仿宋_GB2312" w:cs="Times New Roman"/>
          <w:b/>
          <w:bCs/>
          <w:sz w:val="32"/>
          <w:szCs w:val="32"/>
          <w:u w:val="single"/>
        </w:rPr>
      </w:pPr>
      <w:r>
        <w:rPr>
          <w:rFonts w:ascii="Times New Roman" w:hAnsi="Times New Roman" w:eastAsia="仿宋_GB2312" w:cs="Times New Roman"/>
          <w:b/>
          <w:bCs/>
          <w:sz w:val="32"/>
          <w:szCs w:val="32"/>
          <w:lang w:bidi="ar"/>
        </w:rPr>
        <w:t>项目名称：</w:t>
      </w:r>
      <w:r>
        <w:rPr>
          <w:rFonts w:hint="eastAsia" w:ascii="Times New Roman" w:hAnsi="Times New Roman" w:eastAsia="仿宋_GB2312" w:cs="Times New Roman"/>
          <w:b/>
          <w:bCs/>
          <w:sz w:val="32"/>
          <w:szCs w:val="32"/>
          <w:u w:val="single"/>
          <w:lang w:bidi="ar"/>
        </w:rPr>
        <w:t xml:space="preserve">     钢零件表面处理生产线扩建项目     </w:t>
      </w:r>
      <w:r>
        <w:rPr>
          <w:rFonts w:ascii="Times New Roman" w:hAnsi="Times New Roman" w:eastAsia="仿宋_GB2312" w:cs="Times New Roman"/>
          <w:b/>
          <w:bCs/>
          <w:sz w:val="32"/>
          <w:szCs w:val="32"/>
          <w:u w:val="single"/>
          <w:lang w:bidi="ar"/>
        </w:rPr>
        <w:t xml:space="preserve"> </w:t>
      </w:r>
    </w:p>
    <w:p w14:paraId="78314497">
      <w:pPr>
        <w:adjustRightInd w:val="0"/>
        <w:snapToGrid w:val="0"/>
        <w:spacing w:line="360" w:lineRule="auto"/>
        <w:ind w:firstLine="643" w:firstLineChars="200"/>
        <w:rPr>
          <w:rFonts w:ascii="Times New Roman" w:hAnsi="Times New Roman" w:eastAsia="仿宋_GB2312" w:cs="Times New Roman"/>
          <w:b/>
          <w:bCs/>
          <w:sz w:val="32"/>
          <w:szCs w:val="32"/>
          <w:u w:val="single"/>
        </w:rPr>
      </w:pPr>
      <w:r>
        <w:rPr>
          <w:rFonts w:ascii="Times New Roman" w:hAnsi="Times New Roman" w:eastAsia="仿宋_GB2312" w:cs="Times New Roman"/>
          <w:b/>
          <w:bCs/>
          <w:sz w:val="32"/>
          <w:szCs w:val="32"/>
          <w:lang w:bidi="ar"/>
        </w:rPr>
        <w:t>建设单位（盖章）：</w:t>
      </w:r>
      <w:r>
        <w:rPr>
          <w:rFonts w:ascii="Times New Roman" w:hAnsi="Times New Roman" w:eastAsia="仿宋_GB2312" w:cs="Times New Roman"/>
          <w:b/>
          <w:bCs/>
          <w:sz w:val="32"/>
          <w:szCs w:val="32"/>
          <w:u w:val="single"/>
          <w:lang w:bidi="ar"/>
        </w:rPr>
        <w:t xml:space="preserve"> </w:t>
      </w:r>
      <w:r>
        <w:rPr>
          <w:rFonts w:hint="eastAsia" w:ascii="Times New Roman" w:hAnsi="Times New Roman" w:eastAsia="仿宋_GB2312" w:cs="Times New Roman"/>
          <w:b/>
          <w:bCs/>
          <w:sz w:val="32"/>
          <w:szCs w:val="32"/>
          <w:u w:val="single"/>
          <w:lang w:bidi="ar"/>
        </w:rPr>
        <w:t>宝鸡天浩泰金属表面处理有限公司</w:t>
      </w:r>
    </w:p>
    <w:p w14:paraId="3F4B277E">
      <w:pPr>
        <w:adjustRightInd w:val="0"/>
        <w:snapToGrid w:val="0"/>
        <w:spacing w:line="360" w:lineRule="auto"/>
        <w:ind w:firstLine="643" w:firstLineChars="200"/>
        <w:rPr>
          <w:rFonts w:ascii="Times New Roman" w:hAnsi="Times New Roman" w:eastAsia="仿宋_GB2312" w:cs="Times New Roman"/>
          <w:b/>
          <w:bCs/>
          <w:sz w:val="32"/>
          <w:szCs w:val="32"/>
          <w:u w:val="single"/>
        </w:rPr>
      </w:pPr>
      <w:r>
        <w:rPr>
          <w:rFonts w:ascii="Times New Roman" w:hAnsi="Times New Roman" w:eastAsia="仿宋_GB2312" w:cs="Times New Roman"/>
          <w:b/>
          <w:bCs/>
          <w:sz w:val="32"/>
          <w:szCs w:val="32"/>
          <w:lang w:bidi="ar"/>
        </w:rPr>
        <w:t>编制日期：</w:t>
      </w:r>
      <w:r>
        <w:rPr>
          <w:rFonts w:ascii="Times New Roman" w:hAnsi="Times New Roman" w:eastAsia="仿宋_GB2312" w:cs="Times New Roman"/>
          <w:b/>
          <w:bCs/>
          <w:sz w:val="32"/>
          <w:szCs w:val="32"/>
          <w:u w:val="single"/>
          <w:lang w:bidi="ar"/>
        </w:rPr>
        <w:t xml:space="preserve"> </w:t>
      </w:r>
      <w:r>
        <w:rPr>
          <w:rFonts w:hint="eastAsia" w:ascii="Times New Roman" w:hAnsi="Times New Roman" w:eastAsia="仿宋_GB2312" w:cs="Times New Roman"/>
          <w:b/>
          <w:bCs/>
          <w:sz w:val="32"/>
          <w:szCs w:val="32"/>
          <w:u w:val="single"/>
          <w:lang w:bidi="ar"/>
        </w:rPr>
        <w:t xml:space="preserve">              </w:t>
      </w:r>
      <w:r>
        <w:rPr>
          <w:rFonts w:ascii="Times New Roman" w:hAnsi="Times New Roman" w:eastAsia="仿宋_GB2312" w:cs="Times New Roman"/>
          <w:b/>
          <w:bCs/>
          <w:sz w:val="32"/>
          <w:szCs w:val="32"/>
          <w:u w:val="single"/>
          <w:lang w:bidi="ar"/>
        </w:rPr>
        <w:t>202</w:t>
      </w:r>
      <w:r>
        <w:rPr>
          <w:rFonts w:hint="eastAsia" w:ascii="Times New Roman" w:hAnsi="Times New Roman" w:eastAsia="仿宋_GB2312" w:cs="Times New Roman"/>
          <w:b/>
          <w:bCs/>
          <w:sz w:val="32"/>
          <w:szCs w:val="32"/>
          <w:u w:val="single"/>
          <w:lang w:bidi="ar"/>
        </w:rPr>
        <w:t>5</w:t>
      </w:r>
      <w:r>
        <w:rPr>
          <w:rFonts w:ascii="Times New Roman" w:hAnsi="Times New Roman" w:eastAsia="仿宋_GB2312" w:cs="Times New Roman"/>
          <w:b/>
          <w:bCs/>
          <w:sz w:val="32"/>
          <w:szCs w:val="32"/>
          <w:u w:val="single"/>
          <w:lang w:bidi="ar"/>
        </w:rPr>
        <w:t>年</w:t>
      </w:r>
      <w:r>
        <w:rPr>
          <w:rFonts w:hint="eastAsia" w:ascii="Times New Roman" w:hAnsi="Times New Roman" w:eastAsia="仿宋_GB2312" w:cs="Times New Roman"/>
          <w:b/>
          <w:bCs/>
          <w:sz w:val="32"/>
          <w:szCs w:val="32"/>
          <w:u w:val="single"/>
          <w:lang w:val="en-US" w:eastAsia="zh-CN" w:bidi="ar"/>
        </w:rPr>
        <w:t>6</w:t>
      </w:r>
      <w:r>
        <w:rPr>
          <w:rFonts w:ascii="Times New Roman" w:hAnsi="Times New Roman" w:eastAsia="仿宋_GB2312" w:cs="Times New Roman"/>
          <w:b/>
          <w:bCs/>
          <w:sz w:val="32"/>
          <w:szCs w:val="32"/>
          <w:u w:val="single"/>
          <w:lang w:bidi="ar"/>
        </w:rPr>
        <w:t xml:space="preserve">月 </w:t>
      </w:r>
      <w:r>
        <w:rPr>
          <w:rFonts w:hint="eastAsia" w:ascii="Times New Roman" w:hAnsi="Times New Roman" w:eastAsia="仿宋_GB2312" w:cs="Times New Roman"/>
          <w:b/>
          <w:bCs/>
          <w:sz w:val="32"/>
          <w:szCs w:val="32"/>
          <w:u w:val="single"/>
          <w:lang w:bidi="ar"/>
        </w:rPr>
        <w:t xml:space="preserve">         </w:t>
      </w:r>
      <w:r>
        <w:rPr>
          <w:rFonts w:ascii="Times New Roman" w:hAnsi="Times New Roman" w:eastAsia="仿宋_GB2312" w:cs="Times New Roman"/>
          <w:b/>
          <w:bCs/>
          <w:sz w:val="32"/>
          <w:szCs w:val="32"/>
          <w:u w:val="single"/>
          <w:lang w:bidi="ar"/>
        </w:rPr>
        <w:t xml:space="preserve">  </w:t>
      </w:r>
    </w:p>
    <w:p w14:paraId="7C612DB8">
      <w:pPr>
        <w:adjustRightInd w:val="0"/>
        <w:snapToGrid w:val="0"/>
        <w:spacing w:line="288" w:lineRule="auto"/>
        <w:ind w:firstLine="1040"/>
        <w:rPr>
          <w:rFonts w:ascii="Times New Roman" w:hAnsi="Times New Roman" w:eastAsia="仿宋_GB2312" w:cs="Times New Roman"/>
          <w:b/>
          <w:bCs/>
          <w:sz w:val="36"/>
          <w:szCs w:val="36"/>
          <w:u w:val="single"/>
        </w:rPr>
      </w:pPr>
      <w:bookmarkStart w:id="0" w:name="_Hlk57884087"/>
    </w:p>
    <w:p w14:paraId="43D02772">
      <w:pPr>
        <w:adjustRightInd w:val="0"/>
        <w:snapToGrid w:val="0"/>
        <w:spacing w:line="288" w:lineRule="auto"/>
        <w:ind w:firstLine="1040"/>
        <w:rPr>
          <w:rFonts w:ascii="Times New Roman" w:hAnsi="Times New Roman" w:eastAsia="仿宋_GB2312" w:cs="Times New Roman"/>
          <w:b/>
          <w:bCs/>
          <w:sz w:val="36"/>
          <w:szCs w:val="36"/>
        </w:rPr>
      </w:pPr>
    </w:p>
    <w:bookmarkEnd w:id="0"/>
    <w:p w14:paraId="70931621">
      <w:pPr>
        <w:adjustRightInd w:val="0"/>
        <w:snapToGrid w:val="0"/>
        <w:spacing w:line="288" w:lineRule="auto"/>
        <w:jc w:val="center"/>
        <w:rPr>
          <w:rFonts w:ascii="Times New Roman" w:hAnsi="Times New Roman" w:eastAsia="楷体_GB2312" w:cs="Times New Roman"/>
          <w:b/>
          <w:bCs/>
          <w:sz w:val="36"/>
          <w:szCs w:val="36"/>
          <w:lang w:bidi="ar"/>
        </w:rPr>
        <w:sectPr>
          <w:pgSz w:w="11906" w:h="16838"/>
          <w:pgMar w:top="1702" w:right="1531" w:bottom="1702" w:left="1531" w:header="851" w:footer="1077" w:gutter="0"/>
          <w:pgNumType w:start="3"/>
          <w:cols w:space="425" w:num="1"/>
          <w:docGrid w:type="lines" w:linePitch="312" w:charSpace="0"/>
        </w:sectPr>
      </w:pPr>
      <w:r>
        <w:rPr>
          <w:rFonts w:ascii="Times New Roman" w:hAnsi="Times New Roman" w:eastAsia="楷体_GB2312" w:cs="Times New Roman"/>
          <w:b/>
          <w:bCs/>
          <w:sz w:val="36"/>
          <w:szCs w:val="36"/>
          <w:lang w:bidi="ar"/>
        </w:rPr>
        <w:t>中华人民共和国生态环境部制</w:t>
      </w:r>
    </w:p>
    <w:p w14:paraId="518B7101">
      <w:pPr>
        <w:pStyle w:val="25"/>
        <w:rPr>
          <w:rFonts w:ascii="Times New Roman" w:hAnsi="Times New Roman" w:cs="Times New Roman"/>
        </w:rPr>
      </w:pPr>
    </w:p>
    <w:p w14:paraId="27E2CFA4">
      <w:pPr>
        <w:spacing w:line="288" w:lineRule="auto"/>
        <w:rPr>
          <w:rFonts w:ascii="Times New Roman" w:hAnsi="Times New Roman" w:eastAsia="仿宋_GB2312" w:cs="Times New Roman"/>
          <w:sz w:val="36"/>
          <w:szCs w:val="36"/>
          <w:lang w:bidi="ar"/>
        </w:rPr>
        <w:sectPr>
          <w:pgSz w:w="11906" w:h="16838"/>
          <w:pgMar w:top="1702" w:right="1531" w:bottom="1702" w:left="1531" w:header="851" w:footer="1077" w:gutter="0"/>
          <w:pgNumType w:start="3"/>
          <w:cols w:space="425" w:num="1"/>
          <w:docGrid w:type="lines" w:linePitch="312" w:charSpace="0"/>
        </w:sectPr>
      </w:pPr>
    </w:p>
    <w:p w14:paraId="033E0C0F">
      <w:pPr>
        <w:pStyle w:val="21"/>
        <w:jc w:val="center"/>
        <w:outlineLvl w:val="0"/>
        <w:rPr>
          <w:rFonts w:hint="default" w:ascii="Times New Roman" w:hAnsi="Times New Roman" w:eastAsia="黑体"/>
          <w:sz w:val="30"/>
          <w:szCs w:val="30"/>
        </w:rPr>
      </w:pPr>
      <w:r>
        <w:rPr>
          <w:rFonts w:hint="default" w:ascii="Times New Roman" w:hAnsi="Times New Roman" w:eastAsia="黑体"/>
          <w:snapToGrid w:val="0"/>
          <w:sz w:val="30"/>
          <w:szCs w:val="30"/>
        </w:rPr>
        <w:t>一、建设项目基本情况</w:t>
      </w:r>
    </w:p>
    <w:tbl>
      <w:tblPr>
        <w:tblStyle w:val="26"/>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63"/>
        <w:gridCol w:w="1969"/>
        <w:gridCol w:w="2123"/>
        <w:gridCol w:w="3834"/>
      </w:tblGrid>
      <w:tr w14:paraId="626873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39" w:type="pct"/>
            <w:tcBorders>
              <w:top w:val="single" w:color="auto" w:sz="8"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15499ED6">
            <w:pPr>
              <w:adjustRightInd w:val="0"/>
              <w:snapToGrid w:val="0"/>
              <w:jc w:val="center"/>
              <w:rPr>
                <w:rFonts w:ascii="Times New Roman" w:hAnsi="Times New Roman" w:eastAsia="宋体" w:cs="Times New Roman"/>
                <w:szCs w:val="21"/>
                <w:lang w:bidi="ar"/>
              </w:rPr>
            </w:pPr>
            <w:r>
              <w:rPr>
                <w:rFonts w:ascii="Times New Roman" w:hAnsi="Times New Roman" w:eastAsia="宋体" w:cs="Times New Roman"/>
                <w:szCs w:val="21"/>
                <w:lang w:bidi="ar"/>
              </w:rPr>
              <w:t>建设项目</w:t>
            </w:r>
          </w:p>
          <w:p w14:paraId="4336DA5E">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名称</w:t>
            </w:r>
          </w:p>
        </w:tc>
        <w:tc>
          <w:tcPr>
            <w:tcW w:w="4360" w:type="pct"/>
            <w:gridSpan w:val="3"/>
            <w:tcBorders>
              <w:top w:val="single" w:color="auto" w:sz="8" w:space="0"/>
              <w:left w:val="single" w:color="auto" w:sz="4" w:space="0"/>
              <w:bottom w:val="single" w:color="auto" w:sz="4" w:space="0"/>
              <w:right w:val="single" w:color="auto" w:sz="8" w:space="0"/>
            </w:tcBorders>
            <w:shd w:val="clear" w:color="auto" w:fill="auto"/>
            <w:vAlign w:val="center"/>
          </w:tcPr>
          <w:p w14:paraId="2BCECF13">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钢零件表面处理生产线扩建项目</w:t>
            </w:r>
          </w:p>
        </w:tc>
      </w:tr>
      <w:tr w14:paraId="65FC47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639"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38A95225">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项目代码</w:t>
            </w:r>
          </w:p>
        </w:tc>
        <w:tc>
          <w:tcPr>
            <w:tcW w:w="4360" w:type="pct"/>
            <w:gridSpan w:val="3"/>
            <w:tcBorders>
              <w:top w:val="single" w:color="auto" w:sz="4" w:space="0"/>
              <w:left w:val="single" w:color="auto" w:sz="4" w:space="0"/>
              <w:bottom w:val="single" w:color="auto" w:sz="4" w:space="0"/>
              <w:right w:val="single" w:color="auto" w:sz="8" w:space="0"/>
            </w:tcBorders>
            <w:shd w:val="clear" w:color="auto" w:fill="auto"/>
            <w:vAlign w:val="center"/>
          </w:tcPr>
          <w:p w14:paraId="3116A2E0">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2504</w:t>
            </w:r>
            <w:r>
              <w:rPr>
                <w:rFonts w:ascii="Times New Roman" w:hAnsi="Times New Roman" w:eastAsia="宋体" w:cs="Times New Roman"/>
                <w:szCs w:val="21"/>
              </w:rPr>
              <w:t>-610302-04-01-</w:t>
            </w:r>
            <w:r>
              <w:rPr>
                <w:rFonts w:hint="eastAsia" w:ascii="Times New Roman" w:hAnsi="Times New Roman" w:eastAsia="宋体" w:cs="Times New Roman"/>
                <w:szCs w:val="21"/>
              </w:rPr>
              <w:t>372229</w:t>
            </w:r>
          </w:p>
        </w:tc>
      </w:tr>
      <w:tr w14:paraId="04AD9A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39"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59D364F7">
            <w:pPr>
              <w:adjustRightInd w:val="0"/>
              <w:snapToGrid w:val="0"/>
              <w:jc w:val="center"/>
              <w:rPr>
                <w:rFonts w:ascii="Times New Roman" w:hAnsi="Times New Roman" w:eastAsia="宋体" w:cs="Times New Roman"/>
                <w:szCs w:val="21"/>
                <w:lang w:bidi="ar"/>
              </w:rPr>
            </w:pPr>
            <w:r>
              <w:rPr>
                <w:rFonts w:ascii="Times New Roman" w:hAnsi="Times New Roman" w:eastAsia="宋体" w:cs="Times New Roman"/>
                <w:szCs w:val="21"/>
                <w:lang w:bidi="ar"/>
              </w:rPr>
              <w:t>建设单位</w:t>
            </w:r>
          </w:p>
          <w:p w14:paraId="2A32997A">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联系人</w:t>
            </w:r>
          </w:p>
        </w:tc>
        <w:tc>
          <w:tcPr>
            <w:tcW w:w="1083" w:type="pct"/>
            <w:tcBorders>
              <w:top w:val="single" w:color="auto" w:sz="4" w:space="0"/>
              <w:left w:val="single" w:color="auto" w:sz="4" w:space="0"/>
              <w:bottom w:val="single" w:color="auto" w:sz="4" w:space="0"/>
              <w:right w:val="single" w:color="auto" w:sz="4" w:space="0"/>
            </w:tcBorders>
            <w:shd w:val="clear" w:color="auto" w:fill="auto"/>
            <w:vAlign w:val="center"/>
          </w:tcPr>
          <w:p w14:paraId="282EA117">
            <w:pPr>
              <w:adjustRightInd w:val="0"/>
              <w:snapToGrid w:val="0"/>
              <w:jc w:val="center"/>
              <w:rPr>
                <w:rFonts w:ascii="Times New Roman" w:hAnsi="Times New Roman" w:eastAsia="宋体" w:cs="Times New Roman"/>
                <w:szCs w:val="21"/>
                <w:lang w:bidi="ar"/>
              </w:rPr>
            </w:pPr>
            <w:r>
              <w:rPr>
                <w:rFonts w:hint="eastAsia" w:ascii="Times New Roman" w:hAnsi="Times New Roman" w:eastAsia="宋体" w:cs="Times New Roman"/>
                <w:szCs w:val="21"/>
              </w:rPr>
              <w:t>陈敬</w:t>
            </w:r>
          </w:p>
        </w:tc>
        <w:tc>
          <w:tcPr>
            <w:tcW w:w="1168" w:type="pct"/>
            <w:tcBorders>
              <w:top w:val="single" w:color="auto" w:sz="4" w:space="0"/>
              <w:left w:val="single" w:color="auto" w:sz="4" w:space="0"/>
              <w:bottom w:val="single" w:color="auto" w:sz="4" w:space="0"/>
              <w:right w:val="single" w:color="auto" w:sz="4" w:space="0"/>
            </w:tcBorders>
            <w:shd w:val="clear" w:color="auto" w:fill="auto"/>
            <w:vAlign w:val="center"/>
          </w:tcPr>
          <w:p w14:paraId="772048B4">
            <w:pPr>
              <w:adjustRightInd w:val="0"/>
              <w:snapToGrid w:val="0"/>
              <w:jc w:val="center"/>
              <w:rPr>
                <w:rFonts w:ascii="Times New Roman" w:hAnsi="Times New Roman" w:eastAsia="宋体" w:cs="Times New Roman"/>
                <w:szCs w:val="21"/>
                <w:lang w:bidi="ar"/>
              </w:rPr>
            </w:pPr>
            <w:r>
              <w:rPr>
                <w:rFonts w:ascii="Times New Roman" w:hAnsi="Times New Roman" w:eastAsia="宋体" w:cs="Times New Roman"/>
                <w:szCs w:val="21"/>
                <w:lang w:bidi="ar"/>
              </w:rPr>
              <w:t>联系方式</w:t>
            </w:r>
          </w:p>
        </w:tc>
        <w:tc>
          <w:tcPr>
            <w:tcW w:w="2108" w:type="pct"/>
            <w:tcBorders>
              <w:top w:val="single" w:color="auto" w:sz="4" w:space="0"/>
              <w:left w:val="single" w:color="auto" w:sz="4" w:space="0"/>
              <w:bottom w:val="single" w:color="auto" w:sz="4" w:space="0"/>
              <w:right w:val="single" w:color="auto" w:sz="8" w:space="0"/>
            </w:tcBorders>
            <w:shd w:val="clear" w:color="auto" w:fill="auto"/>
            <w:vAlign w:val="center"/>
          </w:tcPr>
          <w:p w14:paraId="432BD77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13571191930</w:t>
            </w:r>
          </w:p>
        </w:tc>
      </w:tr>
      <w:tr w14:paraId="710F27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39"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4E388A16">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建设地点</w:t>
            </w:r>
          </w:p>
        </w:tc>
        <w:tc>
          <w:tcPr>
            <w:tcW w:w="4360" w:type="pct"/>
            <w:gridSpan w:val="3"/>
            <w:tcBorders>
              <w:top w:val="single" w:color="auto" w:sz="4" w:space="0"/>
              <w:left w:val="single" w:color="auto" w:sz="4" w:space="0"/>
              <w:bottom w:val="single" w:color="auto" w:sz="4" w:space="0"/>
              <w:right w:val="single" w:color="auto" w:sz="8" w:space="0"/>
            </w:tcBorders>
            <w:shd w:val="clear" w:color="auto" w:fill="auto"/>
            <w:vAlign w:val="center"/>
          </w:tcPr>
          <w:p w14:paraId="218C20FF">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u w:val="single"/>
              </w:rPr>
              <w:t xml:space="preserve">陕西 </w:t>
            </w:r>
            <w:r>
              <w:rPr>
                <w:rFonts w:ascii="Times New Roman" w:hAnsi="Times New Roman" w:eastAsia="宋体" w:cs="Times New Roman"/>
                <w:szCs w:val="21"/>
              </w:rPr>
              <w:t xml:space="preserve">省 </w:t>
            </w:r>
            <w:r>
              <w:rPr>
                <w:rFonts w:ascii="Times New Roman" w:hAnsi="Times New Roman" w:eastAsia="宋体" w:cs="Times New Roman"/>
                <w:szCs w:val="21"/>
                <w:u w:val="single"/>
              </w:rPr>
              <w:t xml:space="preserve">宝鸡 </w:t>
            </w:r>
            <w:r>
              <w:rPr>
                <w:rFonts w:ascii="Times New Roman" w:hAnsi="Times New Roman" w:eastAsia="宋体" w:cs="Times New Roman"/>
                <w:szCs w:val="21"/>
              </w:rPr>
              <w:t>市</w:t>
            </w:r>
            <w:r>
              <w:rPr>
                <w:rFonts w:hint="eastAsia" w:ascii="Times New Roman" w:hAnsi="Times New Roman" w:eastAsia="宋体" w:cs="Times New Roman"/>
                <w:szCs w:val="21"/>
                <w:u w:val="single"/>
              </w:rPr>
              <w:t>渭滨</w:t>
            </w:r>
            <w:r>
              <w:rPr>
                <w:rFonts w:hint="eastAsia" w:ascii="Times New Roman" w:hAnsi="Times New Roman" w:eastAsia="宋体" w:cs="Times New Roman"/>
                <w:szCs w:val="21"/>
              </w:rPr>
              <w:t>区</w:t>
            </w:r>
            <w:r>
              <w:rPr>
                <w:rFonts w:hint="eastAsia" w:ascii="Times New Roman" w:hAnsi="Times New Roman" w:eastAsia="宋体" w:cs="Times New Roman"/>
                <w:szCs w:val="21"/>
                <w:u w:val="single"/>
              </w:rPr>
              <w:t>巨福路37号秦成集团3号厂房</w:t>
            </w:r>
          </w:p>
        </w:tc>
      </w:tr>
      <w:tr w14:paraId="36B2E5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39"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140F6DE2">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地理坐标</w:t>
            </w:r>
          </w:p>
        </w:tc>
        <w:tc>
          <w:tcPr>
            <w:tcW w:w="4360" w:type="pct"/>
            <w:gridSpan w:val="3"/>
            <w:tcBorders>
              <w:top w:val="single" w:color="auto" w:sz="4" w:space="0"/>
              <w:left w:val="single" w:color="auto" w:sz="4" w:space="0"/>
              <w:bottom w:val="single" w:color="auto" w:sz="4" w:space="0"/>
              <w:right w:val="single" w:color="auto" w:sz="8" w:space="0"/>
            </w:tcBorders>
            <w:shd w:val="clear" w:color="auto" w:fill="auto"/>
            <w:vAlign w:val="center"/>
          </w:tcPr>
          <w:p w14:paraId="69B5DD65">
            <w:pPr>
              <w:jc w:val="center"/>
              <w:rPr>
                <w:rFonts w:ascii="Times New Roman" w:hAnsi="Times New Roman" w:eastAsia="宋体" w:cs="Times New Roman"/>
                <w:szCs w:val="21"/>
              </w:rPr>
            </w:pPr>
            <w:r>
              <w:rPr>
                <w:rFonts w:ascii="Times New Roman" w:hAnsi="Times New Roman" w:cs="Times New Roman"/>
                <w:szCs w:val="21"/>
              </w:rPr>
              <w:t>（</w:t>
            </w:r>
            <w:r>
              <w:rPr>
                <w:rFonts w:ascii="Times New Roman" w:hAnsi="Times New Roman" w:cs="Times New Roman"/>
                <w:szCs w:val="21"/>
                <w:u w:val="single"/>
              </w:rPr>
              <w:t>107</w:t>
            </w:r>
            <w:r>
              <w:rPr>
                <w:rFonts w:ascii="Times New Roman" w:hAnsi="Times New Roman" w:cs="Times New Roman"/>
                <w:szCs w:val="21"/>
              </w:rPr>
              <w:t>度</w:t>
            </w:r>
            <w:r>
              <w:rPr>
                <w:rFonts w:hint="eastAsia" w:ascii="Times New Roman" w:hAnsi="Times New Roman" w:cs="Times New Roman"/>
                <w:szCs w:val="21"/>
                <w:u w:val="single"/>
              </w:rPr>
              <w:t>05</w:t>
            </w:r>
            <w:r>
              <w:rPr>
                <w:rFonts w:ascii="Times New Roman" w:hAnsi="Times New Roman" w:cs="Times New Roman"/>
                <w:szCs w:val="21"/>
              </w:rPr>
              <w:t>分</w:t>
            </w:r>
            <w:r>
              <w:rPr>
                <w:rFonts w:hint="eastAsia" w:ascii="Times New Roman" w:hAnsi="Times New Roman" w:cs="Times New Roman"/>
                <w:szCs w:val="21"/>
                <w:u w:val="single"/>
              </w:rPr>
              <w:t>29</w:t>
            </w:r>
            <w:r>
              <w:rPr>
                <w:rFonts w:ascii="Times New Roman" w:hAnsi="Times New Roman" w:cs="Times New Roman"/>
                <w:szCs w:val="21"/>
                <w:u w:val="single"/>
              </w:rPr>
              <w:t>.0</w:t>
            </w:r>
            <w:r>
              <w:rPr>
                <w:rFonts w:hint="eastAsia" w:ascii="Times New Roman" w:hAnsi="Times New Roman" w:cs="Times New Roman"/>
                <w:szCs w:val="21"/>
                <w:u w:val="single"/>
              </w:rPr>
              <w:t>71</w:t>
            </w:r>
            <w:r>
              <w:rPr>
                <w:rFonts w:ascii="Times New Roman" w:hAnsi="Times New Roman" w:cs="Times New Roman"/>
                <w:spacing w:val="-3"/>
                <w:szCs w:val="21"/>
              </w:rPr>
              <w:t>秒，</w:t>
            </w:r>
            <w:r>
              <w:rPr>
                <w:rFonts w:ascii="Times New Roman" w:hAnsi="Times New Roman" w:cs="Times New Roman"/>
                <w:szCs w:val="21"/>
                <w:u w:val="single"/>
              </w:rPr>
              <w:t>34</w:t>
            </w:r>
            <w:r>
              <w:rPr>
                <w:rFonts w:ascii="Times New Roman" w:hAnsi="Times New Roman" w:cs="Times New Roman"/>
                <w:szCs w:val="21"/>
              </w:rPr>
              <w:t>度</w:t>
            </w:r>
            <w:r>
              <w:rPr>
                <w:rFonts w:ascii="Times New Roman" w:hAnsi="Times New Roman" w:cs="Times New Roman"/>
                <w:szCs w:val="21"/>
                <w:u w:val="single"/>
              </w:rPr>
              <w:t>2</w:t>
            </w:r>
            <w:r>
              <w:rPr>
                <w:rFonts w:hint="eastAsia" w:ascii="Times New Roman" w:hAnsi="Times New Roman" w:cs="Times New Roman"/>
                <w:szCs w:val="21"/>
                <w:u w:val="single"/>
              </w:rPr>
              <w:t>1</w:t>
            </w:r>
            <w:r>
              <w:rPr>
                <w:rFonts w:ascii="Times New Roman" w:hAnsi="Times New Roman" w:cs="Times New Roman"/>
                <w:spacing w:val="-3"/>
                <w:szCs w:val="21"/>
              </w:rPr>
              <w:t>分</w:t>
            </w:r>
            <w:r>
              <w:rPr>
                <w:rFonts w:hint="eastAsia" w:ascii="Times New Roman" w:hAnsi="Times New Roman" w:cs="Times New Roman"/>
                <w:spacing w:val="-3"/>
                <w:szCs w:val="21"/>
                <w:u w:val="single"/>
              </w:rPr>
              <w:t>5</w:t>
            </w:r>
            <w:r>
              <w:rPr>
                <w:rFonts w:ascii="Times New Roman" w:hAnsi="Times New Roman" w:cs="Times New Roman"/>
                <w:spacing w:val="-3"/>
                <w:szCs w:val="21"/>
                <w:u w:val="single"/>
              </w:rPr>
              <w:t>0.</w:t>
            </w:r>
            <w:r>
              <w:rPr>
                <w:rFonts w:hint="eastAsia" w:ascii="Times New Roman" w:hAnsi="Times New Roman" w:cs="Times New Roman"/>
                <w:spacing w:val="-3"/>
                <w:szCs w:val="21"/>
                <w:u w:val="single"/>
              </w:rPr>
              <w:t>25</w:t>
            </w:r>
            <w:r>
              <w:rPr>
                <w:rFonts w:ascii="Times New Roman" w:hAnsi="Times New Roman" w:cs="Times New Roman"/>
                <w:spacing w:val="-3"/>
                <w:szCs w:val="21"/>
                <w:u w:val="single"/>
              </w:rPr>
              <w:t>3秒</w:t>
            </w:r>
            <w:r>
              <w:rPr>
                <w:rFonts w:ascii="Times New Roman" w:hAnsi="Times New Roman" w:cs="Times New Roman"/>
                <w:szCs w:val="21"/>
              </w:rPr>
              <w:t>）</w:t>
            </w:r>
          </w:p>
        </w:tc>
      </w:tr>
      <w:tr w14:paraId="04C5AB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639"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69C8CDDD">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国民经济</w:t>
            </w:r>
          </w:p>
          <w:p w14:paraId="36E06D26">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行业类别</w:t>
            </w:r>
          </w:p>
        </w:tc>
        <w:tc>
          <w:tcPr>
            <w:tcW w:w="1083" w:type="pct"/>
            <w:tcBorders>
              <w:top w:val="single" w:color="auto" w:sz="4" w:space="0"/>
              <w:left w:val="single" w:color="auto" w:sz="4" w:space="0"/>
              <w:bottom w:val="single" w:color="auto" w:sz="4" w:space="0"/>
              <w:right w:val="single" w:color="auto" w:sz="4" w:space="0"/>
            </w:tcBorders>
            <w:shd w:val="clear" w:color="auto" w:fill="auto"/>
            <w:vAlign w:val="center"/>
          </w:tcPr>
          <w:p w14:paraId="52EB69F3">
            <w:pPr>
              <w:pStyle w:val="39"/>
              <w:autoSpaceDE w:val="0"/>
              <w:autoSpaceDN w:val="0"/>
              <w:adjustRightInd w:val="0"/>
              <w:snapToGrid w:val="0"/>
              <w:jc w:val="center"/>
              <w:rPr>
                <w:rFonts w:ascii="Times New Roman" w:hAnsi="Times New Roman" w:eastAsia="宋体" w:cs="Times New Roman"/>
                <w:szCs w:val="21"/>
                <w:lang w:val="en-US" w:bidi="ar-SA"/>
              </w:rPr>
            </w:pPr>
            <w:r>
              <w:rPr>
                <w:rFonts w:ascii="Times New Roman" w:hAnsi="Times New Roman" w:eastAsia="宋体" w:cs="Times New Roman"/>
                <w:szCs w:val="21"/>
                <w:lang w:val="en-US" w:bidi="ar-SA"/>
              </w:rPr>
              <w:t>C3</w:t>
            </w:r>
            <w:r>
              <w:rPr>
                <w:rFonts w:hint="eastAsia" w:ascii="Times New Roman" w:hAnsi="Times New Roman" w:eastAsia="宋体" w:cs="Times New Roman"/>
                <w:szCs w:val="21"/>
                <w:lang w:val="en-US" w:bidi="ar-SA"/>
              </w:rPr>
              <w:t>360金属表面处理及热处理加工</w:t>
            </w:r>
          </w:p>
        </w:tc>
        <w:tc>
          <w:tcPr>
            <w:tcW w:w="1168" w:type="pct"/>
            <w:tcBorders>
              <w:top w:val="single" w:color="auto" w:sz="4" w:space="0"/>
              <w:left w:val="single" w:color="auto" w:sz="4" w:space="0"/>
              <w:bottom w:val="single" w:color="auto" w:sz="4" w:space="0"/>
              <w:right w:val="single" w:color="auto" w:sz="4" w:space="0"/>
            </w:tcBorders>
            <w:shd w:val="clear" w:color="auto" w:fill="auto"/>
            <w:vAlign w:val="center"/>
          </w:tcPr>
          <w:p w14:paraId="1C535199">
            <w:pPr>
              <w:adjustRightInd w:val="0"/>
              <w:snapToGrid w:val="0"/>
              <w:jc w:val="center"/>
              <w:rPr>
                <w:rFonts w:ascii="Times New Roman" w:hAnsi="Times New Roman" w:eastAsia="宋体" w:cs="Times New Roman"/>
                <w:szCs w:val="21"/>
              </w:rPr>
            </w:pPr>
            <w:bookmarkStart w:id="1" w:name="_Hlk49843745"/>
            <w:r>
              <w:rPr>
                <w:rFonts w:ascii="Times New Roman" w:hAnsi="Times New Roman" w:eastAsia="宋体" w:cs="Times New Roman"/>
                <w:szCs w:val="21"/>
              </w:rPr>
              <w:t>建设项目</w:t>
            </w:r>
          </w:p>
          <w:p w14:paraId="166F400A">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行业类别</w:t>
            </w:r>
            <w:bookmarkEnd w:id="1"/>
          </w:p>
        </w:tc>
        <w:tc>
          <w:tcPr>
            <w:tcW w:w="2108" w:type="pct"/>
            <w:tcBorders>
              <w:top w:val="single" w:color="auto" w:sz="4" w:space="0"/>
              <w:left w:val="single" w:color="auto" w:sz="4" w:space="0"/>
              <w:bottom w:val="single" w:color="auto" w:sz="4" w:space="0"/>
              <w:right w:val="single" w:color="auto" w:sz="8" w:space="0"/>
            </w:tcBorders>
            <w:shd w:val="clear" w:color="auto" w:fill="auto"/>
            <w:vAlign w:val="center"/>
          </w:tcPr>
          <w:p w14:paraId="3EB5DC85">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三十、</w:t>
            </w:r>
            <w:r>
              <w:rPr>
                <w:rFonts w:hint="eastAsia" w:ascii="Times New Roman" w:hAnsi="Times New Roman" w:eastAsia="宋体" w:cs="Times New Roman"/>
                <w:szCs w:val="21"/>
              </w:rPr>
              <w:t>金属制品业</w:t>
            </w:r>
            <w:r>
              <w:rPr>
                <w:rFonts w:ascii="Times New Roman" w:hAnsi="Times New Roman" w:eastAsia="宋体" w:cs="Times New Roman"/>
                <w:szCs w:val="21"/>
              </w:rPr>
              <w:t>-</w:t>
            </w:r>
          </w:p>
          <w:p w14:paraId="1D81DE71">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w:t>
            </w:r>
            <w:r>
              <w:rPr>
                <w:rFonts w:ascii="Times New Roman" w:hAnsi="Times New Roman" w:eastAsia="宋体" w:cs="Times New Roman"/>
                <w:szCs w:val="21"/>
              </w:rPr>
              <w:t>7、</w:t>
            </w:r>
            <w:r>
              <w:rPr>
                <w:rFonts w:hint="eastAsia" w:ascii="Times New Roman" w:hAnsi="Times New Roman" w:eastAsia="宋体" w:cs="Times New Roman"/>
                <w:szCs w:val="21"/>
              </w:rPr>
              <w:t>金属表面处理及热处理加工</w:t>
            </w:r>
          </w:p>
        </w:tc>
      </w:tr>
      <w:tr w14:paraId="7DBB50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639"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145ACD75">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建设性质</w:t>
            </w:r>
          </w:p>
        </w:tc>
        <w:tc>
          <w:tcPr>
            <w:tcW w:w="1083" w:type="pct"/>
            <w:tcBorders>
              <w:top w:val="single" w:color="auto" w:sz="4" w:space="0"/>
              <w:left w:val="single" w:color="auto" w:sz="4" w:space="0"/>
              <w:bottom w:val="single" w:color="auto" w:sz="4" w:space="0"/>
              <w:right w:val="single" w:color="auto" w:sz="4" w:space="0"/>
            </w:tcBorders>
            <w:shd w:val="clear" w:color="auto" w:fill="auto"/>
            <w:vAlign w:val="center"/>
          </w:tcPr>
          <w:p w14:paraId="78FB9DAC">
            <w:pPr>
              <w:jc w:val="left"/>
              <w:rPr>
                <w:rFonts w:ascii="Times New Roman" w:hAnsi="Times New Roman" w:eastAsia="宋体" w:cs="Times New Roman"/>
                <w:szCs w:val="21"/>
              </w:rPr>
            </w:pPr>
            <w:r>
              <w:rPr>
                <w:rFonts w:hint="eastAsia" w:ascii="Times New Roman" w:hAnsi="Times New Roman" w:eastAsia="宋体" w:cs="Times New Roman"/>
                <w:szCs w:val="21"/>
                <w:lang w:bidi="ar"/>
              </w:rPr>
              <w:t>□</w:t>
            </w:r>
            <w:r>
              <w:rPr>
                <w:rFonts w:ascii="Times New Roman" w:hAnsi="Times New Roman" w:eastAsia="宋体" w:cs="Times New Roman"/>
                <w:szCs w:val="21"/>
                <w:lang w:bidi="ar"/>
              </w:rPr>
              <w:t>新建</w:t>
            </w:r>
          </w:p>
          <w:p w14:paraId="4F3318CB">
            <w:pPr>
              <w:jc w:val="left"/>
              <w:rPr>
                <w:rFonts w:ascii="Times New Roman" w:hAnsi="Times New Roman" w:eastAsia="宋体" w:cs="Times New Roman"/>
                <w:szCs w:val="21"/>
              </w:rPr>
            </w:pPr>
            <w:r>
              <w:rPr>
                <w:rFonts w:hint="eastAsia" w:ascii="Times New Roman" w:hAnsi="Times New Roman" w:eastAsia="宋体" w:cs="Times New Roman"/>
                <w:szCs w:val="21"/>
                <w:lang w:bidi="ar"/>
              </w:rPr>
              <w:t>□</w:t>
            </w:r>
            <w:r>
              <w:rPr>
                <w:rFonts w:ascii="Times New Roman" w:hAnsi="Times New Roman" w:eastAsia="宋体" w:cs="Times New Roman"/>
                <w:szCs w:val="21"/>
                <w:lang w:bidi="ar"/>
              </w:rPr>
              <w:t>改建</w:t>
            </w:r>
          </w:p>
          <w:p w14:paraId="18866EF6">
            <w:pPr>
              <w:jc w:val="left"/>
              <w:rPr>
                <w:rFonts w:ascii="Times New Roman" w:hAnsi="Times New Roman" w:eastAsia="宋体" w:cs="Times New Roman"/>
                <w:szCs w:val="21"/>
              </w:rPr>
            </w:pPr>
            <w:r>
              <w:rPr>
                <w:rFonts w:hint="eastAsia" w:ascii="Times New Roman" w:hAnsi="Times New Roman" w:eastAsia="宋体" w:cs="Times New Roman"/>
                <w:szCs w:val="21"/>
                <w:lang w:bidi="ar"/>
              </w:rPr>
              <w:t>☑</w:t>
            </w:r>
            <w:r>
              <w:rPr>
                <w:rFonts w:ascii="Times New Roman" w:hAnsi="Times New Roman" w:eastAsia="宋体" w:cs="Times New Roman"/>
                <w:szCs w:val="21"/>
                <w:lang w:bidi="ar"/>
              </w:rPr>
              <w:t>扩建</w:t>
            </w:r>
          </w:p>
          <w:p w14:paraId="1A1C1209">
            <w:pPr>
              <w:jc w:val="left"/>
              <w:rPr>
                <w:rFonts w:ascii="Times New Roman" w:hAnsi="Times New Roman" w:eastAsia="宋体" w:cs="Times New Roman"/>
                <w:szCs w:val="21"/>
              </w:rPr>
            </w:pPr>
            <w:r>
              <w:rPr>
                <w:rFonts w:hint="eastAsia" w:ascii="Times New Roman" w:hAnsi="Times New Roman" w:eastAsia="宋体" w:cs="Times New Roman"/>
                <w:szCs w:val="21"/>
                <w:lang w:bidi="ar"/>
              </w:rPr>
              <w:t>□</w:t>
            </w:r>
            <w:r>
              <w:rPr>
                <w:rFonts w:ascii="Times New Roman" w:hAnsi="Times New Roman" w:eastAsia="宋体" w:cs="Times New Roman"/>
                <w:szCs w:val="21"/>
                <w:lang w:bidi="ar"/>
              </w:rPr>
              <w:t>技术改造</w:t>
            </w:r>
          </w:p>
        </w:tc>
        <w:tc>
          <w:tcPr>
            <w:tcW w:w="1168" w:type="pct"/>
            <w:tcBorders>
              <w:top w:val="single" w:color="auto" w:sz="4" w:space="0"/>
              <w:left w:val="single" w:color="auto" w:sz="4" w:space="0"/>
              <w:bottom w:val="single" w:color="auto" w:sz="4" w:space="0"/>
              <w:right w:val="single" w:color="auto" w:sz="4" w:space="0"/>
            </w:tcBorders>
            <w:shd w:val="clear" w:color="auto" w:fill="auto"/>
            <w:vAlign w:val="center"/>
          </w:tcPr>
          <w:p w14:paraId="009A6572">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建设项目</w:t>
            </w:r>
          </w:p>
          <w:p w14:paraId="2D496A41">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申报情形</w:t>
            </w:r>
          </w:p>
        </w:tc>
        <w:tc>
          <w:tcPr>
            <w:tcW w:w="2108" w:type="pct"/>
            <w:tcBorders>
              <w:top w:val="single" w:color="auto" w:sz="4" w:space="0"/>
              <w:left w:val="single" w:color="auto" w:sz="4" w:space="0"/>
              <w:bottom w:val="single" w:color="auto" w:sz="4" w:space="0"/>
              <w:right w:val="single" w:color="auto" w:sz="8" w:space="0"/>
            </w:tcBorders>
            <w:shd w:val="clear" w:color="auto" w:fill="auto"/>
            <w:vAlign w:val="center"/>
          </w:tcPr>
          <w:p w14:paraId="7406E8B7">
            <w:pPr>
              <w:jc w:val="left"/>
              <w:rPr>
                <w:rFonts w:ascii="Times New Roman" w:hAnsi="Times New Roman" w:eastAsia="宋体" w:cs="Times New Roman"/>
                <w:szCs w:val="21"/>
              </w:rPr>
            </w:pPr>
            <w:r>
              <w:rPr>
                <w:rFonts w:ascii="Times New Roman" w:hAnsi="Times New Roman" w:eastAsia="宋体" w:cs="Times New Roman"/>
                <w:szCs w:val="21"/>
                <w:lang w:bidi="ar"/>
              </w:rPr>
              <w:t>☑首次申报项目</w:t>
            </w:r>
          </w:p>
          <w:p w14:paraId="0D646178">
            <w:pPr>
              <w:jc w:val="left"/>
              <w:rPr>
                <w:rFonts w:ascii="Times New Roman" w:hAnsi="Times New Roman" w:eastAsia="宋体" w:cs="Times New Roman"/>
                <w:szCs w:val="21"/>
              </w:rPr>
            </w:pPr>
            <w:r>
              <w:rPr>
                <w:rFonts w:hint="eastAsia" w:ascii="Times New Roman" w:hAnsi="Times New Roman" w:eastAsia="宋体" w:cs="Times New Roman"/>
                <w:szCs w:val="21"/>
                <w:lang w:bidi="ar"/>
              </w:rPr>
              <w:t>□</w:t>
            </w:r>
            <w:r>
              <w:rPr>
                <w:rFonts w:ascii="Times New Roman" w:hAnsi="Times New Roman" w:eastAsia="宋体" w:cs="Times New Roman"/>
                <w:szCs w:val="21"/>
                <w:lang w:bidi="ar"/>
              </w:rPr>
              <w:t>不予批准后再次申报项目</w:t>
            </w:r>
          </w:p>
          <w:p w14:paraId="74BF5E6F">
            <w:pPr>
              <w:jc w:val="left"/>
              <w:rPr>
                <w:rFonts w:ascii="Times New Roman" w:hAnsi="Times New Roman" w:eastAsia="宋体" w:cs="Times New Roman"/>
                <w:szCs w:val="21"/>
              </w:rPr>
            </w:pPr>
            <w:r>
              <w:rPr>
                <w:rFonts w:hint="eastAsia" w:ascii="Times New Roman" w:hAnsi="Times New Roman" w:eastAsia="宋体" w:cs="Times New Roman"/>
                <w:szCs w:val="21"/>
                <w:lang w:bidi="ar"/>
              </w:rPr>
              <w:t>□</w:t>
            </w:r>
            <w:r>
              <w:rPr>
                <w:rFonts w:ascii="Times New Roman" w:hAnsi="Times New Roman" w:eastAsia="宋体" w:cs="Times New Roman"/>
                <w:szCs w:val="21"/>
                <w:lang w:bidi="ar"/>
              </w:rPr>
              <w:t>超五年重新审核项目</w:t>
            </w:r>
          </w:p>
          <w:p w14:paraId="06DE4A7C">
            <w:pPr>
              <w:jc w:val="left"/>
              <w:rPr>
                <w:rFonts w:ascii="Times New Roman" w:hAnsi="Times New Roman" w:eastAsia="宋体" w:cs="Times New Roman"/>
                <w:szCs w:val="21"/>
              </w:rPr>
            </w:pPr>
            <w:commentRangeStart w:id="1"/>
            <w:commentRangeStart w:id="2"/>
            <w:r>
              <w:rPr>
                <w:rFonts w:hint="eastAsia" w:ascii="Times New Roman" w:hAnsi="Times New Roman" w:eastAsia="宋体" w:cs="Times New Roman"/>
                <w:szCs w:val="21"/>
                <w:lang w:bidi="ar"/>
              </w:rPr>
              <w:t>□</w:t>
            </w:r>
            <w:r>
              <w:rPr>
                <w:rFonts w:ascii="Times New Roman" w:hAnsi="Times New Roman" w:eastAsia="宋体" w:cs="Times New Roman"/>
                <w:szCs w:val="21"/>
                <w:lang w:bidi="ar"/>
              </w:rPr>
              <w:t>重大变动重新报批项目</w:t>
            </w:r>
            <w:commentRangeEnd w:id="1"/>
            <w:r>
              <w:commentReference w:id="1"/>
            </w:r>
            <w:commentRangeEnd w:id="2"/>
            <w:r>
              <w:commentReference w:id="2"/>
            </w:r>
          </w:p>
        </w:tc>
      </w:tr>
      <w:tr w14:paraId="0D6FC8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639"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14A17B82">
            <w:pPr>
              <w:adjustRightInd w:val="0"/>
              <w:snapToGrid w:val="0"/>
              <w:jc w:val="center"/>
              <w:rPr>
                <w:rFonts w:ascii="Times New Roman" w:hAnsi="Times New Roman" w:eastAsia="宋体" w:cs="Times New Roman"/>
                <w:szCs w:val="21"/>
                <w:lang w:bidi="ar"/>
              </w:rPr>
            </w:pPr>
            <w:r>
              <w:rPr>
                <w:rFonts w:ascii="Times New Roman" w:hAnsi="Times New Roman" w:eastAsia="宋体" w:cs="Times New Roman"/>
                <w:szCs w:val="21"/>
                <w:lang w:bidi="ar"/>
              </w:rPr>
              <w:t>项目备案</w:t>
            </w:r>
          </w:p>
          <w:p w14:paraId="1F72267E">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部门</w:t>
            </w:r>
          </w:p>
        </w:tc>
        <w:tc>
          <w:tcPr>
            <w:tcW w:w="1083" w:type="pct"/>
            <w:tcBorders>
              <w:top w:val="single" w:color="auto" w:sz="4" w:space="0"/>
              <w:left w:val="single" w:color="auto" w:sz="4" w:space="0"/>
              <w:bottom w:val="single" w:color="auto" w:sz="4" w:space="0"/>
              <w:right w:val="single" w:color="auto" w:sz="4" w:space="0"/>
            </w:tcBorders>
            <w:shd w:val="clear" w:color="auto" w:fill="auto"/>
            <w:vAlign w:val="center"/>
          </w:tcPr>
          <w:p w14:paraId="4127085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lang w:bidi="ar"/>
              </w:rPr>
              <w:t>渭滨区</w:t>
            </w:r>
            <w:r>
              <w:rPr>
                <w:rFonts w:ascii="Times New Roman" w:hAnsi="Times New Roman" w:eastAsia="宋体" w:cs="Times New Roman"/>
                <w:szCs w:val="21"/>
                <w:lang w:bidi="ar"/>
              </w:rPr>
              <w:t>发展和改革局</w:t>
            </w:r>
          </w:p>
        </w:tc>
        <w:tc>
          <w:tcPr>
            <w:tcW w:w="1168" w:type="pct"/>
            <w:tcBorders>
              <w:top w:val="single" w:color="auto" w:sz="4" w:space="0"/>
              <w:left w:val="single" w:color="auto" w:sz="4" w:space="0"/>
              <w:bottom w:val="single" w:color="auto" w:sz="4" w:space="0"/>
              <w:right w:val="single" w:color="auto" w:sz="4" w:space="0"/>
            </w:tcBorders>
            <w:shd w:val="clear" w:color="auto" w:fill="auto"/>
            <w:vAlign w:val="center"/>
          </w:tcPr>
          <w:p w14:paraId="08444EF4">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项目审批（核准/</w:t>
            </w:r>
          </w:p>
          <w:p w14:paraId="7A52BF13">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备案）文号（选填）</w:t>
            </w:r>
          </w:p>
        </w:tc>
        <w:tc>
          <w:tcPr>
            <w:tcW w:w="2108" w:type="pct"/>
            <w:tcBorders>
              <w:top w:val="single" w:color="auto" w:sz="4" w:space="0"/>
              <w:left w:val="single" w:color="auto" w:sz="4" w:space="0"/>
              <w:bottom w:val="single" w:color="auto" w:sz="4" w:space="0"/>
              <w:right w:val="single" w:color="auto" w:sz="8" w:space="0"/>
            </w:tcBorders>
            <w:shd w:val="clear" w:color="auto" w:fill="auto"/>
            <w:vAlign w:val="center"/>
          </w:tcPr>
          <w:p w14:paraId="238D7011">
            <w:pPr>
              <w:adjustRightInd w:val="0"/>
              <w:snapToGrid w:val="0"/>
              <w:jc w:val="center"/>
              <w:rPr>
                <w:rFonts w:ascii="Times New Roman" w:hAnsi="Times New Roman" w:eastAsia="宋体" w:cs="Times New Roman"/>
                <w:szCs w:val="21"/>
              </w:rPr>
            </w:pPr>
            <w:r>
              <w:rPr>
                <w:rFonts w:ascii="Times New Roman" w:hAnsi="Times New Roman" w:cs="Times New Roman"/>
                <w:szCs w:val="21"/>
              </w:rPr>
              <w:t>/</w:t>
            </w:r>
          </w:p>
        </w:tc>
      </w:tr>
      <w:tr w14:paraId="41625F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39"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0603AF28">
            <w:pPr>
              <w:adjustRightInd w:val="0"/>
              <w:snapToGrid w:val="0"/>
              <w:jc w:val="center"/>
              <w:rPr>
                <w:rFonts w:ascii="Times New Roman" w:hAnsi="Times New Roman" w:eastAsia="宋体" w:cs="Times New Roman"/>
                <w:szCs w:val="21"/>
                <w:lang w:bidi="ar"/>
              </w:rPr>
            </w:pPr>
            <w:r>
              <w:rPr>
                <w:rFonts w:ascii="Times New Roman" w:hAnsi="Times New Roman" w:eastAsia="宋体" w:cs="Times New Roman"/>
                <w:szCs w:val="21"/>
                <w:lang w:bidi="ar"/>
              </w:rPr>
              <w:t>总投资</w:t>
            </w:r>
          </w:p>
          <w:p w14:paraId="20DEFD2B">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（万元）</w:t>
            </w:r>
          </w:p>
        </w:tc>
        <w:tc>
          <w:tcPr>
            <w:tcW w:w="1083" w:type="pct"/>
            <w:tcBorders>
              <w:top w:val="single" w:color="auto" w:sz="4" w:space="0"/>
              <w:left w:val="single" w:color="auto" w:sz="4" w:space="0"/>
              <w:bottom w:val="single" w:color="auto" w:sz="4" w:space="0"/>
              <w:right w:val="single" w:color="auto" w:sz="4" w:space="0"/>
            </w:tcBorders>
            <w:shd w:val="clear" w:color="auto" w:fill="auto"/>
            <w:vAlign w:val="center"/>
          </w:tcPr>
          <w:p w14:paraId="0DD0225A">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80</w:t>
            </w:r>
          </w:p>
        </w:tc>
        <w:tc>
          <w:tcPr>
            <w:tcW w:w="1168" w:type="pct"/>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14:paraId="6C326006">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环保投资（万元）</w:t>
            </w:r>
          </w:p>
        </w:tc>
        <w:tc>
          <w:tcPr>
            <w:tcW w:w="2108" w:type="pct"/>
            <w:tcBorders>
              <w:top w:val="single" w:color="auto" w:sz="4" w:space="0"/>
              <w:left w:val="single" w:color="auto" w:sz="4" w:space="0"/>
              <w:bottom w:val="single" w:color="auto" w:sz="4" w:space="0"/>
              <w:right w:val="single" w:color="auto" w:sz="8" w:space="0"/>
            </w:tcBorders>
            <w:shd w:val="clear" w:color="auto" w:fill="auto"/>
            <w:vAlign w:val="center"/>
          </w:tcPr>
          <w:p w14:paraId="670C1E52">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bCs/>
                <w:szCs w:val="21"/>
              </w:rPr>
              <w:t>8.2</w:t>
            </w:r>
          </w:p>
        </w:tc>
      </w:tr>
      <w:tr w14:paraId="48F30B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39"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76E44562">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环保投资占比（%）</w:t>
            </w:r>
          </w:p>
        </w:tc>
        <w:tc>
          <w:tcPr>
            <w:tcW w:w="1083" w:type="pct"/>
            <w:tcBorders>
              <w:top w:val="single" w:color="auto" w:sz="4" w:space="0"/>
              <w:left w:val="single" w:color="auto" w:sz="4" w:space="0"/>
              <w:bottom w:val="single" w:color="auto" w:sz="4" w:space="0"/>
              <w:right w:val="single" w:color="auto" w:sz="4" w:space="0"/>
            </w:tcBorders>
            <w:shd w:val="clear" w:color="auto" w:fill="auto"/>
            <w:vAlign w:val="center"/>
          </w:tcPr>
          <w:p w14:paraId="521BF0DB">
            <w:pPr>
              <w:adjustRightInd w:val="0"/>
              <w:snapToGrid w:val="0"/>
              <w:jc w:val="center"/>
              <w:rPr>
                <w:rFonts w:ascii="Times New Roman" w:hAnsi="Times New Roman" w:cs="Times New Roman"/>
                <w:szCs w:val="21"/>
              </w:rPr>
            </w:pPr>
            <w:r>
              <w:rPr>
                <w:rFonts w:hint="eastAsia" w:ascii="Times New Roman" w:hAnsi="Times New Roman" w:cs="Times New Roman"/>
                <w:szCs w:val="21"/>
              </w:rPr>
              <w:t>10.25</w:t>
            </w:r>
          </w:p>
        </w:tc>
        <w:tc>
          <w:tcPr>
            <w:tcW w:w="1168" w:type="pct"/>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14:paraId="3FB1DBC4">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施工工期</w:t>
            </w:r>
          </w:p>
        </w:tc>
        <w:tc>
          <w:tcPr>
            <w:tcW w:w="2108" w:type="pct"/>
            <w:tcBorders>
              <w:top w:val="single" w:color="auto" w:sz="4" w:space="0"/>
              <w:left w:val="single" w:color="auto" w:sz="4" w:space="0"/>
              <w:bottom w:val="single" w:color="auto" w:sz="4" w:space="0"/>
              <w:right w:val="single" w:color="auto" w:sz="8" w:space="0"/>
            </w:tcBorders>
            <w:shd w:val="clear" w:color="auto" w:fill="auto"/>
            <w:vAlign w:val="center"/>
          </w:tcPr>
          <w:p w14:paraId="66E8107B">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4个月</w:t>
            </w:r>
          </w:p>
        </w:tc>
      </w:tr>
      <w:tr w14:paraId="596337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39"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3F69BC0B">
            <w:pPr>
              <w:adjustRightInd w:val="0"/>
              <w:snapToGrid w:val="0"/>
              <w:jc w:val="center"/>
              <w:rPr>
                <w:rFonts w:ascii="Times New Roman" w:hAnsi="Times New Roman" w:eastAsia="宋体" w:cs="Times New Roman"/>
                <w:szCs w:val="21"/>
                <w:lang w:bidi="ar"/>
              </w:rPr>
            </w:pPr>
            <w:r>
              <w:rPr>
                <w:rFonts w:ascii="Times New Roman" w:hAnsi="Times New Roman" w:eastAsia="宋体" w:cs="Times New Roman"/>
                <w:szCs w:val="21"/>
                <w:lang w:bidi="ar"/>
              </w:rPr>
              <w:t>是否开工</w:t>
            </w:r>
          </w:p>
          <w:p w14:paraId="05059EF5">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建设</w:t>
            </w:r>
          </w:p>
        </w:tc>
        <w:tc>
          <w:tcPr>
            <w:tcW w:w="1083" w:type="pct"/>
            <w:tcBorders>
              <w:top w:val="single" w:color="auto" w:sz="4" w:space="0"/>
              <w:left w:val="single" w:color="auto" w:sz="4" w:space="0"/>
              <w:bottom w:val="single" w:color="auto" w:sz="4" w:space="0"/>
              <w:right w:val="single" w:color="auto" w:sz="4" w:space="0"/>
            </w:tcBorders>
            <w:shd w:val="clear" w:color="auto" w:fill="auto"/>
            <w:vAlign w:val="center"/>
          </w:tcPr>
          <w:p w14:paraId="2FCD5DD4">
            <w:pPr>
              <w:adjustRightInd w:val="0"/>
              <w:snapToGrid w:val="0"/>
              <w:rPr>
                <w:rFonts w:ascii="Times New Roman" w:hAnsi="Times New Roman" w:eastAsia="宋体" w:cs="Times New Roman"/>
                <w:szCs w:val="21"/>
              </w:rPr>
            </w:pPr>
            <w:r>
              <w:rPr>
                <w:rFonts w:ascii="Times New Roman" w:hAnsi="Times New Roman" w:eastAsia="宋体" w:cs="Times New Roman"/>
                <w:szCs w:val="21"/>
                <w:lang w:bidi="ar"/>
              </w:rPr>
              <w:t>☑否</w:t>
            </w:r>
          </w:p>
          <w:p w14:paraId="3366347B">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lang w:bidi="ar"/>
              </w:rPr>
              <w:t>□</w:t>
            </w:r>
            <w:r>
              <w:rPr>
                <w:rFonts w:ascii="Times New Roman" w:hAnsi="Times New Roman" w:eastAsia="宋体" w:cs="Times New Roman"/>
                <w:szCs w:val="21"/>
                <w:lang w:bidi="ar"/>
              </w:rPr>
              <w:t>是：</w:t>
            </w:r>
            <w:r>
              <w:rPr>
                <w:rFonts w:ascii="Times New Roman" w:hAnsi="Times New Roman" w:eastAsia="宋体" w:cs="Times New Roman"/>
                <w:szCs w:val="21"/>
                <w:u w:val="single"/>
                <w:lang w:bidi="ar"/>
              </w:rPr>
              <w:t xml:space="preserve"> </w:t>
            </w:r>
          </w:p>
        </w:tc>
        <w:tc>
          <w:tcPr>
            <w:tcW w:w="1168" w:type="pct"/>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14:paraId="31FBA236">
            <w:pPr>
              <w:adjustRightInd w:val="0"/>
              <w:snapToGrid w:val="0"/>
              <w:jc w:val="center"/>
              <w:rPr>
                <w:rFonts w:ascii="Times New Roman" w:hAnsi="Times New Roman" w:eastAsia="宋体" w:cs="Times New Roman"/>
                <w:szCs w:val="21"/>
              </w:rPr>
            </w:pPr>
            <w:r>
              <w:rPr>
                <w:rFonts w:ascii="Times New Roman" w:hAnsi="Times New Roman" w:eastAsia="宋体" w:cs="Times New Roman"/>
                <w:spacing w:val="-6"/>
                <w:szCs w:val="21"/>
                <w:lang w:bidi="ar"/>
              </w:rPr>
              <w:t>用地面积（m</w:t>
            </w:r>
            <w:r>
              <w:rPr>
                <w:rFonts w:ascii="Times New Roman" w:hAnsi="Times New Roman" w:eastAsia="宋体" w:cs="Times New Roman"/>
                <w:spacing w:val="-6"/>
                <w:szCs w:val="21"/>
                <w:vertAlign w:val="superscript"/>
                <w:lang w:bidi="ar"/>
              </w:rPr>
              <w:t>2</w:t>
            </w:r>
            <w:r>
              <w:rPr>
                <w:rFonts w:ascii="Times New Roman" w:hAnsi="Times New Roman" w:eastAsia="宋体" w:cs="Times New Roman"/>
                <w:spacing w:val="-6"/>
                <w:szCs w:val="21"/>
                <w:lang w:bidi="ar"/>
              </w:rPr>
              <w:t>）</w:t>
            </w:r>
          </w:p>
        </w:tc>
        <w:tc>
          <w:tcPr>
            <w:tcW w:w="2108" w:type="pct"/>
            <w:tcBorders>
              <w:top w:val="single" w:color="auto" w:sz="4" w:space="0"/>
              <w:left w:val="single" w:color="auto" w:sz="4" w:space="0"/>
              <w:bottom w:val="single" w:color="auto" w:sz="4" w:space="0"/>
              <w:right w:val="single" w:color="auto" w:sz="8" w:space="0"/>
            </w:tcBorders>
            <w:shd w:val="clear" w:color="auto" w:fill="auto"/>
            <w:vAlign w:val="center"/>
          </w:tcPr>
          <w:p w14:paraId="48DF55A8">
            <w:pPr>
              <w:jc w:val="center"/>
              <w:rPr>
                <w:rFonts w:ascii="Times New Roman" w:hAnsi="Times New Roman" w:eastAsia="宋体" w:cs="Times New Roman"/>
                <w:szCs w:val="21"/>
              </w:rPr>
            </w:pPr>
            <w:r>
              <w:rPr>
                <w:rFonts w:hint="eastAsia" w:ascii="Times New Roman" w:hAnsi="Times New Roman" w:eastAsia="宋体" w:cs="Times New Roman"/>
                <w:szCs w:val="21"/>
                <w:lang w:bidi="ar"/>
              </w:rPr>
              <w:t>3083，</w:t>
            </w:r>
            <w:r>
              <w:rPr>
                <w:rFonts w:ascii="Times New Roman" w:hAnsi="Times New Roman" w:eastAsia="宋体" w:cs="Times New Roman"/>
                <w:szCs w:val="21"/>
                <w:lang w:bidi="ar"/>
              </w:rPr>
              <w:t>依托现有车间内空地进行扩建，不新增用地</w:t>
            </w:r>
          </w:p>
        </w:tc>
      </w:tr>
      <w:tr w14:paraId="5D9C06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71" w:hRule="atLeast"/>
          <w:jc w:val="center"/>
        </w:trPr>
        <w:tc>
          <w:tcPr>
            <w:tcW w:w="639" w:type="pct"/>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14:paraId="431CA777">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lang w:bidi="ar"/>
              </w:rPr>
              <w:t>专项评价设置情况</w:t>
            </w:r>
          </w:p>
        </w:tc>
        <w:tc>
          <w:tcPr>
            <w:tcW w:w="4360" w:type="pct"/>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14:paraId="497BF91F">
            <w:pPr>
              <w:pStyle w:val="39"/>
              <w:autoSpaceDE w:val="0"/>
              <w:autoSpaceDN w:val="0"/>
              <w:adjustRightInd w:val="0"/>
              <w:snapToGrid w:val="0"/>
              <w:jc w:val="center"/>
              <w:rPr>
                <w:rFonts w:ascii="Times New Roman" w:hAnsi="Times New Roman" w:eastAsia="宋体" w:cs="Times New Roman"/>
                <w:kern w:val="0"/>
                <w:szCs w:val="21"/>
                <w:lang w:val="en-US"/>
              </w:rPr>
            </w:pPr>
            <w:r>
              <w:rPr>
                <w:rFonts w:ascii="Times New Roman" w:hAnsi="Times New Roman" w:cs="Times New Roman" w:eastAsiaTheme="minorEastAsia"/>
                <w:szCs w:val="21"/>
                <w:lang w:val="en-US"/>
              </w:rPr>
              <w:t>无</w:t>
            </w:r>
          </w:p>
        </w:tc>
      </w:tr>
      <w:tr w14:paraId="674630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35" w:hRule="atLeast"/>
          <w:jc w:val="center"/>
        </w:trPr>
        <w:tc>
          <w:tcPr>
            <w:tcW w:w="639" w:type="pct"/>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14:paraId="213E612C">
            <w:pPr>
              <w:autoSpaceDE w:val="0"/>
              <w:autoSpaceDN w:val="0"/>
              <w:adjustRightInd w:val="0"/>
              <w:snapToGrid w:val="0"/>
              <w:jc w:val="center"/>
              <w:rPr>
                <w:rFonts w:ascii="Times New Roman" w:hAnsi="Times New Roman" w:eastAsia="宋体" w:cs="Times New Roman"/>
                <w:szCs w:val="21"/>
                <w:lang w:bidi="ar"/>
              </w:rPr>
            </w:pPr>
            <w:r>
              <w:rPr>
                <w:rFonts w:ascii="Times New Roman" w:hAnsi="Times New Roman" w:eastAsia="宋体" w:cs="Times New Roman"/>
                <w:szCs w:val="21"/>
                <w:lang w:bidi="ar"/>
              </w:rPr>
              <w:t>规划</w:t>
            </w:r>
          </w:p>
          <w:p w14:paraId="721E9511">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szCs w:val="21"/>
                <w:lang w:bidi="ar"/>
              </w:rPr>
              <w:t>情况</w:t>
            </w:r>
          </w:p>
        </w:tc>
        <w:tc>
          <w:tcPr>
            <w:tcW w:w="4360" w:type="pct"/>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14:paraId="29EF486C">
            <w:pPr>
              <w:autoSpaceDE w:val="0"/>
              <w:autoSpaceDN w:val="0"/>
              <w:adjustRightInd w:val="0"/>
              <w:snapToGrid w:val="0"/>
              <w:spacing w:line="360" w:lineRule="auto"/>
              <w:rPr>
                <w:rFonts w:ascii="Times New Roman" w:hAnsi="Times New Roman" w:cs="Times New Roman"/>
                <w:szCs w:val="21"/>
              </w:rPr>
            </w:pPr>
            <w:r>
              <w:rPr>
                <w:rFonts w:ascii="Times New Roman" w:hAnsi="Times New Roman" w:cs="Times New Roman"/>
                <w:szCs w:val="21"/>
              </w:rPr>
              <w:t>规划名称：《姜谭经济技术开发区总体规划（2019-2035）》</w:t>
            </w:r>
          </w:p>
          <w:p w14:paraId="21B91BF9">
            <w:pPr>
              <w:autoSpaceDE w:val="0"/>
              <w:autoSpaceDN w:val="0"/>
              <w:adjustRightInd w:val="0"/>
              <w:snapToGrid w:val="0"/>
              <w:spacing w:line="360" w:lineRule="auto"/>
              <w:rPr>
                <w:rFonts w:ascii="Times New Roman" w:hAnsi="Times New Roman" w:cs="Times New Roman"/>
                <w:szCs w:val="21"/>
              </w:rPr>
            </w:pPr>
            <w:r>
              <w:rPr>
                <w:rFonts w:ascii="Times New Roman" w:hAnsi="Times New Roman" w:cs="Times New Roman"/>
                <w:szCs w:val="21"/>
              </w:rPr>
              <w:t>审批机关</w:t>
            </w:r>
            <w:r>
              <w:rPr>
                <w:rFonts w:hint="eastAsia" w:ascii="Times New Roman" w:hAnsi="Times New Roman" w:cs="Times New Roman"/>
                <w:szCs w:val="21"/>
              </w:rPr>
              <w:t>：</w:t>
            </w:r>
            <w:r>
              <w:rPr>
                <w:rFonts w:ascii="Times New Roman" w:hAnsi="Times New Roman" w:cs="Times New Roman"/>
                <w:szCs w:val="21"/>
              </w:rPr>
              <w:t>陕西省人民政府</w:t>
            </w:r>
            <w:r>
              <w:rPr>
                <w:rFonts w:hint="eastAsia" w:ascii="Times New Roman" w:hAnsi="Times New Roman" w:cs="Times New Roman"/>
                <w:szCs w:val="21"/>
              </w:rPr>
              <w:t>；</w:t>
            </w:r>
          </w:p>
          <w:p w14:paraId="729267B7">
            <w:pPr>
              <w:autoSpaceDE w:val="0"/>
              <w:autoSpaceDN w:val="0"/>
              <w:adjustRightInd w:val="0"/>
              <w:snapToGrid w:val="0"/>
              <w:spacing w:line="360" w:lineRule="auto"/>
              <w:rPr>
                <w:rFonts w:ascii="Times New Roman" w:hAnsi="Times New Roman" w:eastAsia="宋体" w:cs="Times New Roman"/>
                <w:kern w:val="0"/>
                <w:szCs w:val="21"/>
              </w:rPr>
            </w:pPr>
            <w:r>
              <w:rPr>
                <w:rFonts w:hint="eastAsia" w:ascii="Times New Roman" w:hAnsi="Times New Roman" w:cs="Times New Roman"/>
                <w:szCs w:val="21"/>
              </w:rPr>
              <w:t>审批文件：</w:t>
            </w:r>
            <w:r>
              <w:rPr>
                <w:rFonts w:ascii="Times New Roman" w:hAnsi="Times New Roman" w:cs="Times New Roman"/>
                <w:szCs w:val="21"/>
              </w:rPr>
              <w:t>陕政函〔2021〕29号</w:t>
            </w:r>
            <w:r>
              <w:rPr>
                <w:rFonts w:hint="eastAsia" w:ascii="Times New Roman" w:hAnsi="Times New Roman" w:cs="Times New Roman"/>
                <w:szCs w:val="21"/>
              </w:rPr>
              <w:t>。</w:t>
            </w:r>
          </w:p>
        </w:tc>
      </w:tr>
      <w:tr w14:paraId="0DDCD4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444" w:hRule="atLeast"/>
          <w:jc w:val="center"/>
        </w:trPr>
        <w:tc>
          <w:tcPr>
            <w:tcW w:w="639" w:type="pct"/>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14:paraId="702B2213">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规划环境影响</w:t>
            </w:r>
          </w:p>
          <w:p w14:paraId="2593D249">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szCs w:val="21"/>
                <w:lang w:bidi="ar"/>
              </w:rPr>
              <w:t>评价情况</w:t>
            </w:r>
          </w:p>
        </w:tc>
        <w:tc>
          <w:tcPr>
            <w:tcW w:w="4360" w:type="pct"/>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14:paraId="2DD6CFF7">
            <w:pPr>
              <w:autoSpaceDE w:val="0"/>
              <w:autoSpaceDN w:val="0"/>
              <w:adjustRightInd w:val="0"/>
              <w:snapToGrid w:val="0"/>
              <w:spacing w:line="360" w:lineRule="auto"/>
              <w:rPr>
                <w:rFonts w:ascii="Times New Roman" w:hAnsi="Times New Roman" w:cs="Times New Roman"/>
                <w:szCs w:val="21"/>
              </w:rPr>
            </w:pPr>
          </w:p>
          <w:p w14:paraId="313B1DB2">
            <w:pPr>
              <w:autoSpaceDE w:val="0"/>
              <w:autoSpaceDN w:val="0"/>
              <w:adjustRightInd w:val="0"/>
              <w:snapToGrid w:val="0"/>
              <w:spacing w:line="360" w:lineRule="auto"/>
              <w:rPr>
                <w:rFonts w:ascii="Times New Roman" w:hAnsi="Times New Roman" w:cs="Times New Roman"/>
                <w:szCs w:val="21"/>
              </w:rPr>
            </w:pPr>
          </w:p>
          <w:p w14:paraId="09373BEA">
            <w:pPr>
              <w:autoSpaceDE w:val="0"/>
              <w:autoSpaceDN w:val="0"/>
              <w:adjustRightInd w:val="0"/>
              <w:snapToGrid w:val="0"/>
              <w:spacing w:line="360" w:lineRule="auto"/>
              <w:rPr>
                <w:rFonts w:ascii="Times New Roman" w:hAnsi="Times New Roman" w:cs="Times New Roman"/>
                <w:szCs w:val="21"/>
              </w:rPr>
            </w:pPr>
            <w:r>
              <w:rPr>
                <w:rFonts w:ascii="Times New Roman" w:hAnsi="Times New Roman" w:cs="Times New Roman"/>
                <w:szCs w:val="21"/>
              </w:rPr>
              <w:t>文件名称：《姜谭经济技术开发区总体规划（2019-2035）环境影响报告书》</w:t>
            </w:r>
          </w:p>
          <w:p w14:paraId="7EA4EBDA">
            <w:pPr>
              <w:autoSpaceDE w:val="0"/>
              <w:autoSpaceDN w:val="0"/>
              <w:adjustRightInd w:val="0"/>
              <w:snapToGrid w:val="0"/>
              <w:spacing w:line="360" w:lineRule="auto"/>
              <w:rPr>
                <w:rFonts w:ascii="Times New Roman" w:hAnsi="Times New Roman" w:cs="Times New Roman"/>
                <w:szCs w:val="21"/>
              </w:rPr>
            </w:pPr>
            <w:r>
              <w:rPr>
                <w:rFonts w:ascii="Times New Roman" w:hAnsi="Times New Roman" w:cs="Times New Roman"/>
                <w:szCs w:val="21"/>
              </w:rPr>
              <w:t>审查机关：</w:t>
            </w:r>
            <w:r>
              <w:rPr>
                <w:rFonts w:hint="eastAsia" w:ascii="Times New Roman" w:hAnsi="Times New Roman" w:cs="Times New Roman"/>
                <w:szCs w:val="21"/>
              </w:rPr>
              <w:t>陕西省生态环境厅</w:t>
            </w:r>
          </w:p>
          <w:p w14:paraId="32623FC1">
            <w:pPr>
              <w:autoSpaceDE w:val="0"/>
              <w:autoSpaceDN w:val="0"/>
              <w:adjustRightInd w:val="0"/>
              <w:snapToGrid w:val="0"/>
              <w:spacing w:line="360" w:lineRule="auto"/>
              <w:rPr>
                <w:rFonts w:ascii="Times New Roman" w:hAnsi="Times New Roman" w:cs="Times New Roman"/>
                <w:szCs w:val="21"/>
              </w:rPr>
            </w:pPr>
            <w:r>
              <w:rPr>
                <w:rFonts w:ascii="Times New Roman" w:hAnsi="Times New Roman" w:cs="Times New Roman"/>
                <w:szCs w:val="21"/>
              </w:rPr>
              <w:t>审查</w:t>
            </w:r>
            <w:r>
              <w:rPr>
                <w:rFonts w:hint="eastAsia" w:ascii="Times New Roman" w:hAnsi="Times New Roman" w:cs="Times New Roman"/>
                <w:szCs w:val="21"/>
              </w:rPr>
              <w:t>文件</w:t>
            </w:r>
            <w:r>
              <w:rPr>
                <w:rFonts w:ascii="Times New Roman" w:hAnsi="Times New Roman" w:cs="Times New Roman"/>
                <w:szCs w:val="21"/>
              </w:rPr>
              <w:t>：《关于姜谭经济技术开发区总体规划（2019-2035）环境影响报告书审查意见的函》（陕环环评函〔2020〕44号）</w:t>
            </w:r>
          </w:p>
          <w:p w14:paraId="74C4AF65">
            <w:pPr>
              <w:autoSpaceDE w:val="0"/>
              <w:autoSpaceDN w:val="0"/>
              <w:adjustRightInd w:val="0"/>
              <w:snapToGrid w:val="0"/>
              <w:spacing w:line="360" w:lineRule="auto"/>
              <w:rPr>
                <w:rFonts w:ascii="Times New Roman" w:hAnsi="Times New Roman" w:cs="Times New Roman"/>
                <w:szCs w:val="21"/>
              </w:rPr>
            </w:pPr>
          </w:p>
        </w:tc>
      </w:tr>
      <w:tr w14:paraId="108F09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39" w:type="pct"/>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14:paraId="40450C68">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 w:val="24"/>
                <w:lang w:bidi="ar"/>
              </w:rPr>
              <w:t>规划及规划环境影响评价符合性分析</w:t>
            </w:r>
          </w:p>
        </w:tc>
        <w:tc>
          <w:tcPr>
            <w:tcW w:w="4360" w:type="pct"/>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14:paraId="7B58DA75">
            <w:pPr>
              <w:autoSpaceDE w:val="0"/>
              <w:autoSpaceDN w:val="0"/>
              <w:adjustRightInd w:val="0"/>
              <w:snapToGrid w:val="0"/>
              <w:spacing w:line="360" w:lineRule="auto"/>
              <w:jc w:val="left"/>
              <w:rPr>
                <w:rFonts w:ascii="Times New Roman" w:hAnsi="Times New Roman" w:cs="Times New Roman"/>
                <w:b/>
                <w:bCs/>
                <w:sz w:val="24"/>
              </w:rPr>
            </w:pPr>
            <w:r>
              <w:rPr>
                <w:rFonts w:ascii="Times New Roman" w:hAnsi="Times New Roman" w:cs="Times New Roman"/>
                <w:b/>
                <w:bCs/>
                <w:kern w:val="0"/>
                <w:sz w:val="24"/>
              </w:rPr>
              <w:t>1、项目与规划</w:t>
            </w:r>
            <w:r>
              <w:rPr>
                <w:rFonts w:ascii="Times New Roman" w:hAnsi="Times New Roman" w:cs="Times New Roman"/>
                <w:b/>
                <w:bCs/>
                <w:sz w:val="24"/>
              </w:rPr>
              <w:t>符合性分析。</w:t>
            </w:r>
          </w:p>
          <w:p w14:paraId="25247AE8">
            <w:pPr>
              <w:autoSpaceDE w:val="0"/>
              <w:autoSpaceDN w:val="0"/>
              <w:adjustRightInd w:val="0"/>
              <w:snapToGrid w:val="0"/>
              <w:spacing w:line="360" w:lineRule="auto"/>
              <w:ind w:firstLine="480" w:firstLineChars="200"/>
              <w:rPr>
                <w:rFonts w:ascii="Times New Roman" w:hAnsi="Times New Roman" w:eastAsia="宋体" w:cs="Times New Roman"/>
                <w:b/>
                <w:bCs/>
                <w:kern w:val="0"/>
                <w:sz w:val="24"/>
              </w:rPr>
            </w:pPr>
            <w:r>
              <w:rPr>
                <w:rFonts w:ascii="Times New Roman" w:hAnsi="Times New Roman" w:eastAsia="宋体" w:cs="Times New Roman"/>
                <w:kern w:val="0"/>
                <w:sz w:val="24"/>
              </w:rPr>
              <w:t>本项目与规划的符合性分析详见下表。</w:t>
            </w:r>
          </w:p>
          <w:p w14:paraId="3018AF19">
            <w:pPr>
              <w:autoSpaceDE w:val="0"/>
              <w:autoSpaceDN w:val="0"/>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kern w:val="0"/>
                <w:szCs w:val="21"/>
              </w:rPr>
              <w:t>表1-1 项目与</w:t>
            </w:r>
            <w:r>
              <w:rPr>
                <w:rFonts w:ascii="Times New Roman" w:hAnsi="Times New Roman" w:eastAsia="宋体" w:cs="Times New Roman"/>
                <w:b/>
                <w:bCs/>
                <w:szCs w:val="21"/>
              </w:rPr>
              <w:t>规划符合性分析</w:t>
            </w:r>
            <w:r>
              <w:rPr>
                <w:rFonts w:hint="eastAsia" w:ascii="Times New Roman" w:hAnsi="Times New Roman" w:eastAsia="宋体" w:cs="Times New Roman"/>
                <w:b/>
                <w:bCs/>
                <w:szCs w:val="21"/>
              </w:rPr>
              <w:t>一览表</w:t>
            </w:r>
          </w:p>
          <w:tbl>
            <w:tblPr>
              <w:tblStyle w:val="26"/>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0"/>
              <w:gridCol w:w="1666"/>
              <w:gridCol w:w="2915"/>
              <w:gridCol w:w="1819"/>
              <w:gridCol w:w="917"/>
            </w:tblGrid>
            <w:tr w14:paraId="546A84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3" w:type="pct"/>
                  <w:tcBorders>
                    <w:tl2br w:val="nil"/>
                    <w:tr2bl w:val="nil"/>
                  </w:tcBorders>
                  <w:vAlign w:val="center"/>
                </w:tcPr>
                <w:p w14:paraId="08289F60">
                  <w:pPr>
                    <w:adjustRightInd w:val="0"/>
                    <w:snapToGrid w:val="0"/>
                    <w:jc w:val="center"/>
                    <w:rPr>
                      <w:rFonts w:ascii="Times New Roman" w:hAnsi="Times New Roman" w:cs="Times New Roman"/>
                      <w:szCs w:val="21"/>
                    </w:rPr>
                  </w:pPr>
                  <w:r>
                    <w:rPr>
                      <w:rFonts w:ascii="Times New Roman" w:hAnsi="Times New Roman" w:cs="Times New Roman"/>
                      <w:szCs w:val="21"/>
                    </w:rPr>
                    <w:t>序号</w:t>
                  </w:r>
                </w:p>
              </w:tc>
              <w:tc>
                <w:tcPr>
                  <w:tcW w:w="1080" w:type="pct"/>
                  <w:tcBorders>
                    <w:tl2br w:val="nil"/>
                    <w:tr2bl w:val="nil"/>
                  </w:tcBorders>
                  <w:vAlign w:val="center"/>
                </w:tcPr>
                <w:p w14:paraId="7828B26F">
                  <w:pPr>
                    <w:adjustRightInd w:val="0"/>
                    <w:snapToGrid w:val="0"/>
                    <w:jc w:val="center"/>
                    <w:rPr>
                      <w:rFonts w:ascii="Times New Roman" w:hAnsi="Times New Roman" w:cs="Times New Roman"/>
                      <w:szCs w:val="21"/>
                    </w:rPr>
                  </w:pPr>
                  <w:r>
                    <w:rPr>
                      <w:rFonts w:ascii="Times New Roman" w:hAnsi="Times New Roman" w:cs="Times New Roman"/>
                      <w:szCs w:val="21"/>
                    </w:rPr>
                    <w:t>规划名称</w:t>
                  </w:r>
                </w:p>
              </w:tc>
              <w:tc>
                <w:tcPr>
                  <w:tcW w:w="1891" w:type="pct"/>
                  <w:tcBorders>
                    <w:tl2br w:val="nil"/>
                    <w:tr2bl w:val="nil"/>
                  </w:tcBorders>
                  <w:vAlign w:val="center"/>
                </w:tcPr>
                <w:p w14:paraId="4978BBE6">
                  <w:pPr>
                    <w:adjustRightInd w:val="0"/>
                    <w:snapToGrid w:val="0"/>
                    <w:jc w:val="center"/>
                    <w:rPr>
                      <w:rFonts w:ascii="Times New Roman" w:hAnsi="Times New Roman" w:cs="Times New Roman"/>
                      <w:szCs w:val="21"/>
                    </w:rPr>
                  </w:pPr>
                  <w:r>
                    <w:rPr>
                      <w:rFonts w:ascii="Times New Roman" w:hAnsi="Times New Roman" w:cs="Times New Roman"/>
                      <w:szCs w:val="21"/>
                    </w:rPr>
                    <w:t>规划要求</w:t>
                  </w:r>
                </w:p>
              </w:tc>
              <w:tc>
                <w:tcPr>
                  <w:tcW w:w="1180" w:type="pct"/>
                  <w:tcBorders>
                    <w:tl2br w:val="nil"/>
                    <w:tr2bl w:val="nil"/>
                  </w:tcBorders>
                  <w:vAlign w:val="center"/>
                </w:tcPr>
                <w:p w14:paraId="5B7A131E">
                  <w:pPr>
                    <w:adjustRightInd w:val="0"/>
                    <w:snapToGrid w:val="0"/>
                    <w:jc w:val="center"/>
                    <w:rPr>
                      <w:rFonts w:ascii="Times New Roman" w:hAnsi="Times New Roman" w:cs="Times New Roman"/>
                      <w:szCs w:val="21"/>
                    </w:rPr>
                  </w:pPr>
                  <w:r>
                    <w:rPr>
                      <w:rFonts w:ascii="Times New Roman" w:hAnsi="Times New Roman" w:cs="Times New Roman"/>
                      <w:szCs w:val="21"/>
                    </w:rPr>
                    <w:t>本项目情况</w:t>
                  </w:r>
                </w:p>
              </w:tc>
              <w:tc>
                <w:tcPr>
                  <w:tcW w:w="594" w:type="pct"/>
                  <w:tcBorders>
                    <w:tl2br w:val="nil"/>
                    <w:tr2bl w:val="nil"/>
                  </w:tcBorders>
                  <w:vAlign w:val="center"/>
                </w:tcPr>
                <w:p w14:paraId="7AC66972">
                  <w:pPr>
                    <w:adjustRightInd w:val="0"/>
                    <w:snapToGrid w:val="0"/>
                    <w:jc w:val="center"/>
                    <w:rPr>
                      <w:rFonts w:ascii="Times New Roman" w:hAnsi="Times New Roman" w:cs="Times New Roman"/>
                      <w:szCs w:val="21"/>
                    </w:rPr>
                  </w:pPr>
                  <w:r>
                    <w:rPr>
                      <w:rFonts w:ascii="Times New Roman" w:hAnsi="Times New Roman" w:cs="Times New Roman"/>
                      <w:szCs w:val="21"/>
                    </w:rPr>
                    <w:t>符合性</w:t>
                  </w:r>
                </w:p>
              </w:tc>
            </w:tr>
            <w:tr w14:paraId="65CF3C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6" w:hRule="atLeast"/>
              </w:trPr>
              <w:tc>
                <w:tcPr>
                  <w:tcW w:w="253" w:type="pct"/>
                  <w:tcBorders>
                    <w:tl2br w:val="nil"/>
                    <w:tr2bl w:val="nil"/>
                  </w:tcBorders>
                  <w:vAlign w:val="center"/>
                </w:tcPr>
                <w:p w14:paraId="3876FA95">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1080" w:type="pct"/>
                  <w:vMerge w:val="restart"/>
                  <w:tcBorders>
                    <w:tl2br w:val="nil"/>
                    <w:tr2bl w:val="nil"/>
                  </w:tcBorders>
                  <w:vAlign w:val="center"/>
                </w:tcPr>
                <w:p w14:paraId="7AE3770A">
                  <w:pPr>
                    <w:adjustRightInd w:val="0"/>
                    <w:snapToGrid w:val="0"/>
                    <w:jc w:val="center"/>
                    <w:rPr>
                      <w:rFonts w:ascii="Times New Roman" w:hAnsi="Times New Roman" w:cs="Times New Roman"/>
                      <w:szCs w:val="21"/>
                    </w:rPr>
                  </w:pPr>
                  <w:r>
                    <w:rPr>
                      <w:rFonts w:ascii="Times New Roman" w:hAnsi="Times New Roman" w:cs="Times New Roman"/>
                      <w:szCs w:val="21"/>
                    </w:rPr>
                    <w:t>《姜谭经济技术开发区总体规划（2019-2035）》</w:t>
                  </w:r>
                </w:p>
              </w:tc>
              <w:tc>
                <w:tcPr>
                  <w:tcW w:w="1891" w:type="pct"/>
                  <w:tcBorders>
                    <w:tl2br w:val="nil"/>
                    <w:tr2bl w:val="nil"/>
                  </w:tcBorders>
                  <w:shd w:val="clear" w:color="auto" w:fill="auto"/>
                  <w:vAlign w:val="center"/>
                </w:tcPr>
                <w:p w14:paraId="30C116A2">
                  <w:pPr>
                    <w:adjustRightInd w:val="0"/>
                    <w:snapToGrid w:val="0"/>
                    <w:jc w:val="left"/>
                    <w:rPr>
                      <w:rFonts w:ascii="Times New Roman" w:hAnsi="Times New Roman" w:cs="Times New Roman"/>
                      <w:color w:val="auto"/>
                      <w:szCs w:val="21"/>
                    </w:rPr>
                  </w:pPr>
                  <w:r>
                    <w:rPr>
                      <w:rFonts w:ascii="Times New Roman" w:hAnsi="Times New Roman" w:cs="Times New Roman"/>
                      <w:b/>
                      <w:bCs/>
                      <w:color w:val="auto"/>
                      <w:szCs w:val="21"/>
                    </w:rPr>
                    <w:t>规划范围</w:t>
                  </w:r>
                  <w:r>
                    <w:rPr>
                      <w:rFonts w:ascii="Times New Roman" w:hAnsi="Times New Roman" w:cs="Times New Roman"/>
                      <w:color w:val="auto"/>
                      <w:szCs w:val="21"/>
                    </w:rPr>
                    <w:t>：北至宝鸡市城市快速路——海棠路，西至宝鸡西互通式立交，南与高家镇建成区相衔接，东距宝成铁路</w:t>
                  </w:r>
                </w:p>
                <w:p w14:paraId="243794F0">
                  <w:pPr>
                    <w:adjustRightInd w:val="0"/>
                    <w:snapToGrid w:val="0"/>
                    <w:jc w:val="left"/>
                    <w:rPr>
                      <w:rFonts w:ascii="Times New Roman" w:hAnsi="Times New Roman" w:cs="Times New Roman" w:eastAsiaTheme="minorEastAsia"/>
                      <w:color w:val="auto"/>
                      <w:kern w:val="2"/>
                      <w:sz w:val="21"/>
                      <w:szCs w:val="21"/>
                      <w:lang w:val="en-US" w:eastAsia="zh-CN" w:bidi="ar-SA"/>
                    </w:rPr>
                  </w:pPr>
                  <w:r>
                    <w:rPr>
                      <w:rFonts w:ascii="Times New Roman" w:hAnsi="Times New Roman" w:cs="Times New Roman"/>
                      <w:color w:val="auto"/>
                      <w:szCs w:val="21"/>
                    </w:rPr>
                    <w:t>30米经济技术开发区规划面积5.15平方公里。</w:t>
                  </w:r>
                </w:p>
              </w:tc>
              <w:tc>
                <w:tcPr>
                  <w:tcW w:w="1180" w:type="pct"/>
                  <w:tcBorders>
                    <w:tl2br w:val="nil"/>
                    <w:tr2bl w:val="nil"/>
                  </w:tcBorders>
                  <w:shd w:val="clear" w:color="auto" w:fill="auto"/>
                  <w:vAlign w:val="center"/>
                </w:tcPr>
                <w:p w14:paraId="7D92C567">
                  <w:pPr>
                    <w:adjustRightInd w:val="0"/>
                    <w:snapToGrid w:val="0"/>
                    <w:jc w:val="left"/>
                    <w:rPr>
                      <w:rFonts w:hint="eastAsia" w:ascii="Times New Roman" w:hAnsi="Times New Roman" w:cs="Times New Roman" w:eastAsiaTheme="minorEastAsia"/>
                      <w:color w:val="auto"/>
                      <w:kern w:val="2"/>
                      <w:sz w:val="21"/>
                      <w:szCs w:val="21"/>
                      <w:lang w:val="en-US" w:eastAsia="zh-CN" w:bidi="ar-SA"/>
                    </w:rPr>
                  </w:pPr>
                  <w:r>
                    <w:rPr>
                      <w:rFonts w:ascii="Times New Roman" w:hAnsi="Times New Roman" w:cs="Times New Roman"/>
                      <w:color w:val="auto"/>
                      <w:szCs w:val="21"/>
                    </w:rPr>
                    <w:t>本项目位于</w:t>
                  </w:r>
                  <w:r>
                    <w:rPr>
                      <w:rFonts w:hint="eastAsia" w:ascii="Times New Roman" w:hAnsi="Times New Roman" w:cs="Times New Roman"/>
                      <w:color w:val="auto"/>
                      <w:szCs w:val="21"/>
                    </w:rPr>
                    <w:t>巨福路南侧</w:t>
                  </w:r>
                  <w:r>
                    <w:rPr>
                      <w:rFonts w:ascii="Times New Roman" w:hAnsi="Times New Roman" w:cs="Times New Roman"/>
                      <w:color w:val="auto"/>
                      <w:szCs w:val="21"/>
                    </w:rPr>
                    <w:t>，兴渭二路以</w:t>
                  </w:r>
                  <w:r>
                    <w:rPr>
                      <w:rFonts w:hint="eastAsia" w:ascii="Times New Roman" w:hAnsi="Times New Roman" w:cs="Times New Roman"/>
                      <w:color w:val="auto"/>
                      <w:szCs w:val="21"/>
                    </w:rPr>
                    <w:t>东</w:t>
                  </w:r>
                  <w:r>
                    <w:rPr>
                      <w:rFonts w:ascii="Times New Roman" w:hAnsi="Times New Roman" w:cs="Times New Roman"/>
                      <w:color w:val="auto"/>
                      <w:szCs w:val="21"/>
                    </w:rPr>
                    <w:t>，</w:t>
                  </w:r>
                  <w:r>
                    <w:rPr>
                      <w:rFonts w:hint="eastAsia" w:ascii="Times New Roman" w:hAnsi="Times New Roman" w:cs="Times New Roman"/>
                      <w:color w:val="auto"/>
                      <w:szCs w:val="21"/>
                    </w:rPr>
                    <w:t>秦成集团院内</w:t>
                  </w:r>
                  <w:r>
                    <w:rPr>
                      <w:rFonts w:ascii="Times New Roman" w:hAnsi="Times New Roman" w:cs="Times New Roman"/>
                      <w:color w:val="auto"/>
                      <w:szCs w:val="21"/>
                    </w:rPr>
                    <w:t>，属于姜谭经济技术开发区规划范围内</w:t>
                  </w:r>
                  <w:r>
                    <w:rPr>
                      <w:rFonts w:hint="eastAsia" w:ascii="Times New Roman" w:hAnsi="Times New Roman" w:cs="Times New Roman"/>
                      <w:color w:val="auto"/>
                      <w:szCs w:val="21"/>
                      <w:lang w:eastAsia="zh-CN"/>
                    </w:rPr>
                    <w:t>。</w:t>
                  </w:r>
                </w:p>
              </w:tc>
              <w:tc>
                <w:tcPr>
                  <w:tcW w:w="594" w:type="pct"/>
                  <w:tcBorders>
                    <w:tl2br w:val="nil"/>
                    <w:tr2bl w:val="nil"/>
                  </w:tcBorders>
                  <w:shd w:val="clear" w:color="auto" w:fill="auto"/>
                  <w:vAlign w:val="center"/>
                </w:tcPr>
                <w:p w14:paraId="4D8FE7E1">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ascii="Times New Roman" w:hAnsi="Times New Roman" w:cs="Times New Roman"/>
                      <w:color w:val="auto"/>
                      <w:szCs w:val="21"/>
                    </w:rPr>
                    <w:t>符合</w:t>
                  </w:r>
                </w:p>
              </w:tc>
            </w:tr>
            <w:tr w14:paraId="185790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6" w:hRule="atLeast"/>
              </w:trPr>
              <w:tc>
                <w:tcPr>
                  <w:tcW w:w="253" w:type="pct"/>
                  <w:tcBorders>
                    <w:tl2br w:val="nil"/>
                    <w:tr2bl w:val="nil"/>
                  </w:tcBorders>
                  <w:vAlign w:val="center"/>
                </w:tcPr>
                <w:p w14:paraId="6779A5A6">
                  <w:pPr>
                    <w:adjustRightInd w:val="0"/>
                    <w:snapToGrid w:val="0"/>
                    <w:jc w:val="center"/>
                    <w:rPr>
                      <w:rFonts w:ascii="Times New Roman" w:hAnsi="Times New Roman" w:cs="Times New Roman"/>
                      <w:szCs w:val="21"/>
                    </w:rPr>
                  </w:pPr>
                  <w:r>
                    <w:rPr>
                      <w:rFonts w:ascii="Times New Roman" w:hAnsi="Times New Roman" w:cs="Times New Roman"/>
                      <w:szCs w:val="21"/>
                    </w:rPr>
                    <w:t>2</w:t>
                  </w:r>
                </w:p>
              </w:tc>
              <w:tc>
                <w:tcPr>
                  <w:tcW w:w="1080" w:type="pct"/>
                  <w:vMerge w:val="continue"/>
                  <w:tcBorders>
                    <w:tl2br w:val="nil"/>
                    <w:tr2bl w:val="nil"/>
                  </w:tcBorders>
                  <w:vAlign w:val="center"/>
                </w:tcPr>
                <w:p w14:paraId="640ABBCC">
                  <w:pPr>
                    <w:adjustRightInd w:val="0"/>
                    <w:snapToGrid w:val="0"/>
                    <w:jc w:val="center"/>
                    <w:rPr>
                      <w:rFonts w:ascii="Times New Roman" w:hAnsi="Times New Roman" w:cs="Times New Roman"/>
                      <w:szCs w:val="21"/>
                    </w:rPr>
                  </w:pPr>
                </w:p>
              </w:tc>
              <w:tc>
                <w:tcPr>
                  <w:tcW w:w="1891" w:type="pct"/>
                  <w:tcBorders>
                    <w:tl2br w:val="nil"/>
                    <w:tr2bl w:val="nil"/>
                  </w:tcBorders>
                  <w:shd w:val="clear" w:color="auto" w:fill="auto"/>
                  <w:vAlign w:val="center"/>
                </w:tcPr>
                <w:p w14:paraId="692EEF4D">
                  <w:pPr>
                    <w:adjustRightInd w:val="0"/>
                    <w:snapToGrid w:val="0"/>
                    <w:jc w:val="left"/>
                    <w:rPr>
                      <w:rFonts w:ascii="Times New Roman" w:hAnsi="Times New Roman" w:cs="Times New Roman" w:eastAsiaTheme="minorEastAsia"/>
                      <w:color w:val="auto"/>
                      <w:kern w:val="2"/>
                      <w:sz w:val="21"/>
                      <w:szCs w:val="21"/>
                      <w:lang w:val="en-US" w:eastAsia="zh-CN" w:bidi="ar-SA"/>
                    </w:rPr>
                  </w:pPr>
                  <w:r>
                    <w:rPr>
                      <w:rFonts w:ascii="Times New Roman" w:hAnsi="Times New Roman" w:cs="Times New Roman"/>
                      <w:b/>
                      <w:bCs/>
                      <w:color w:val="auto"/>
                      <w:szCs w:val="21"/>
                    </w:rPr>
                    <w:t>规划定位</w:t>
                  </w:r>
                  <w:r>
                    <w:rPr>
                      <w:rFonts w:ascii="Times New Roman" w:hAnsi="Times New Roman" w:cs="Times New Roman"/>
                      <w:color w:val="auto"/>
                      <w:szCs w:val="21"/>
                    </w:rPr>
                    <w:t>：姜谭经济技术开发</w:t>
                  </w:r>
                  <w:r>
                    <w:rPr>
                      <w:rFonts w:hint="eastAsia" w:ascii="Times New Roman" w:hAnsi="Times New Roman" w:cs="Times New Roman"/>
                      <w:color w:val="auto"/>
                      <w:szCs w:val="21"/>
                      <w:lang w:eastAsia="zh-CN"/>
                    </w:rPr>
                    <w:t>区将</w:t>
                  </w:r>
                  <w:r>
                    <w:rPr>
                      <w:rFonts w:ascii="Times New Roman" w:hAnsi="Times New Roman" w:cs="Times New Roman"/>
                      <w:color w:val="auto"/>
                      <w:szCs w:val="21"/>
                    </w:rPr>
                    <w:t>打造成为集高端装备制造、轨道交通和电子信息三大产业为主体的创新型、开放合作型工业园区。</w:t>
                  </w:r>
                </w:p>
              </w:tc>
              <w:tc>
                <w:tcPr>
                  <w:tcW w:w="1180" w:type="pct"/>
                  <w:tcBorders>
                    <w:tl2br w:val="nil"/>
                    <w:tr2bl w:val="nil"/>
                  </w:tcBorders>
                  <w:shd w:val="clear" w:color="auto" w:fill="auto"/>
                  <w:vAlign w:val="center"/>
                </w:tcPr>
                <w:p w14:paraId="404F04A2">
                  <w:pPr>
                    <w:adjustRightInd w:val="0"/>
                    <w:snapToGrid w:val="0"/>
                    <w:jc w:val="left"/>
                    <w:rPr>
                      <w:rFonts w:hint="eastAsia" w:ascii="Times New Roman" w:hAnsi="Times New Roman" w:cs="Times New Roman" w:eastAsiaTheme="minorEastAsia"/>
                      <w:color w:val="auto"/>
                      <w:kern w:val="2"/>
                      <w:sz w:val="21"/>
                      <w:szCs w:val="21"/>
                      <w:lang w:val="en-US" w:eastAsia="zh-CN" w:bidi="ar-SA"/>
                    </w:rPr>
                  </w:pPr>
                  <w:r>
                    <w:rPr>
                      <w:rFonts w:ascii="Times New Roman" w:hAnsi="Times New Roman" w:cs="Times New Roman"/>
                      <w:color w:val="auto"/>
                      <w:szCs w:val="21"/>
                    </w:rPr>
                    <w:t>本项目位于姜谭经济技术开发区总体规划范围内，</w:t>
                  </w:r>
                  <w:r>
                    <w:rPr>
                      <w:rFonts w:hint="eastAsia" w:ascii="Times New Roman" w:hAnsi="Times New Roman" w:cs="Times New Roman"/>
                      <w:color w:val="auto"/>
                      <w:szCs w:val="21"/>
                    </w:rPr>
                    <w:t>本项目产品为</w:t>
                  </w:r>
                  <w:r>
                    <w:rPr>
                      <w:rFonts w:hint="eastAsia" w:ascii="Times New Roman" w:hAnsi="Times New Roman" w:cs="Times New Roman"/>
                      <w:color w:val="auto"/>
                      <w:szCs w:val="21"/>
                      <w:lang w:val="en-US" w:eastAsia="zh-CN"/>
                    </w:rPr>
                    <w:t>自动喷漆</w:t>
                  </w:r>
                  <w:r>
                    <w:rPr>
                      <w:rFonts w:hint="eastAsia" w:ascii="Times New Roman" w:hAnsi="Times New Roman" w:cs="Times New Roman"/>
                      <w:color w:val="auto"/>
                      <w:szCs w:val="21"/>
                    </w:rPr>
                    <w:t>钢零件，主要用于铁路轨道</w:t>
                  </w:r>
                  <w:r>
                    <w:rPr>
                      <w:rFonts w:ascii="Times New Roman" w:hAnsi="Times New Roman" w:cs="Times New Roman"/>
                      <w:color w:val="auto"/>
                      <w:szCs w:val="21"/>
                    </w:rPr>
                    <w:t>，</w:t>
                  </w:r>
                  <w:r>
                    <w:rPr>
                      <w:rFonts w:hint="eastAsia" w:ascii="Times New Roman" w:hAnsi="Times New Roman" w:cs="Times New Roman"/>
                      <w:color w:val="auto"/>
                      <w:szCs w:val="21"/>
                    </w:rPr>
                    <w:t>应属于轨道交通的配套产业</w:t>
                  </w:r>
                  <w:r>
                    <w:rPr>
                      <w:rFonts w:hint="eastAsia" w:ascii="Times New Roman" w:hAnsi="Times New Roman" w:cs="Times New Roman"/>
                      <w:color w:val="auto"/>
                      <w:szCs w:val="21"/>
                      <w:lang w:eastAsia="zh-CN"/>
                    </w:rPr>
                    <w:t>。</w:t>
                  </w:r>
                </w:p>
              </w:tc>
              <w:tc>
                <w:tcPr>
                  <w:tcW w:w="594" w:type="pct"/>
                  <w:tcBorders>
                    <w:tl2br w:val="nil"/>
                    <w:tr2bl w:val="nil"/>
                  </w:tcBorders>
                  <w:shd w:val="clear" w:color="auto" w:fill="auto"/>
                  <w:vAlign w:val="center"/>
                </w:tcPr>
                <w:p w14:paraId="7071EF7D">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ascii="Times New Roman" w:hAnsi="Times New Roman" w:cs="Times New Roman"/>
                      <w:color w:val="auto"/>
                      <w:szCs w:val="21"/>
                    </w:rPr>
                    <w:t>符合</w:t>
                  </w:r>
                </w:p>
              </w:tc>
            </w:tr>
            <w:tr w14:paraId="165D0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1" w:hRule="atLeast"/>
              </w:trPr>
              <w:tc>
                <w:tcPr>
                  <w:tcW w:w="253" w:type="pct"/>
                  <w:tcBorders>
                    <w:tl2br w:val="nil"/>
                    <w:tr2bl w:val="nil"/>
                  </w:tcBorders>
                  <w:vAlign w:val="center"/>
                </w:tcPr>
                <w:p w14:paraId="3F7AD853">
                  <w:pPr>
                    <w:adjustRightInd w:val="0"/>
                    <w:snapToGrid w:val="0"/>
                    <w:jc w:val="center"/>
                    <w:rPr>
                      <w:rFonts w:ascii="Times New Roman" w:hAnsi="Times New Roman" w:cs="Times New Roman"/>
                      <w:szCs w:val="21"/>
                    </w:rPr>
                  </w:pPr>
                  <w:r>
                    <w:rPr>
                      <w:rFonts w:ascii="Times New Roman" w:hAnsi="Times New Roman" w:cs="Times New Roman"/>
                      <w:szCs w:val="21"/>
                    </w:rPr>
                    <w:t>3</w:t>
                  </w:r>
                </w:p>
              </w:tc>
              <w:tc>
                <w:tcPr>
                  <w:tcW w:w="1080" w:type="pct"/>
                  <w:vMerge w:val="continue"/>
                  <w:tcBorders>
                    <w:tl2br w:val="nil"/>
                    <w:tr2bl w:val="nil"/>
                  </w:tcBorders>
                  <w:vAlign w:val="center"/>
                </w:tcPr>
                <w:p w14:paraId="1DF1C4D5">
                  <w:pPr>
                    <w:adjustRightInd w:val="0"/>
                    <w:snapToGrid w:val="0"/>
                    <w:jc w:val="center"/>
                    <w:rPr>
                      <w:rFonts w:ascii="Times New Roman" w:hAnsi="Times New Roman" w:cs="Times New Roman"/>
                      <w:szCs w:val="21"/>
                    </w:rPr>
                  </w:pPr>
                </w:p>
              </w:tc>
              <w:tc>
                <w:tcPr>
                  <w:tcW w:w="1891" w:type="pct"/>
                  <w:tcBorders>
                    <w:tl2br w:val="nil"/>
                    <w:tr2bl w:val="nil"/>
                  </w:tcBorders>
                  <w:shd w:val="clear" w:color="auto" w:fill="auto"/>
                  <w:vAlign w:val="center"/>
                </w:tcPr>
                <w:p w14:paraId="719FB8EC">
                  <w:pPr>
                    <w:adjustRightInd w:val="0"/>
                    <w:snapToGrid w:val="0"/>
                    <w:jc w:val="left"/>
                    <w:rPr>
                      <w:rFonts w:ascii="Times New Roman" w:hAnsi="Times New Roman" w:cs="Times New Roman" w:eastAsiaTheme="minorEastAsia"/>
                      <w:color w:val="auto"/>
                      <w:kern w:val="2"/>
                      <w:sz w:val="21"/>
                      <w:szCs w:val="21"/>
                      <w:lang w:val="en-US" w:eastAsia="zh-CN" w:bidi="ar-SA"/>
                    </w:rPr>
                  </w:pPr>
                  <w:r>
                    <w:rPr>
                      <w:rFonts w:ascii="Times New Roman" w:hAnsi="Times New Roman" w:cs="Times New Roman"/>
                      <w:b/>
                      <w:bCs/>
                      <w:color w:val="auto"/>
                      <w:szCs w:val="21"/>
                    </w:rPr>
                    <w:t>产业布局</w:t>
                  </w:r>
                  <w:r>
                    <w:rPr>
                      <w:rFonts w:ascii="Times New Roman" w:hAnsi="Times New Roman" w:cs="Times New Roman"/>
                      <w:color w:val="auto"/>
                      <w:szCs w:val="21"/>
                    </w:rPr>
                    <w:t>：</w:t>
                  </w:r>
                  <w:r>
                    <w:rPr>
                      <w:rFonts w:hint="eastAsia" w:ascii="Times New Roman" w:hAnsi="Times New Roman" w:cs="Times New Roman"/>
                      <w:color w:val="auto"/>
                      <w:szCs w:val="21"/>
                    </w:rPr>
                    <w:t>“</w:t>
                  </w:r>
                  <w:r>
                    <w:rPr>
                      <w:rFonts w:ascii="Times New Roman" w:hAnsi="Times New Roman" w:cs="Times New Roman"/>
                      <w:color w:val="auto"/>
                      <w:szCs w:val="21"/>
                    </w:rPr>
                    <w:t>五个板块</w:t>
                  </w:r>
                  <w:r>
                    <w:rPr>
                      <w:rFonts w:hint="eastAsia" w:ascii="Times New Roman" w:hAnsi="Times New Roman" w:cs="Times New Roman"/>
                      <w:color w:val="auto"/>
                      <w:szCs w:val="21"/>
                    </w:rPr>
                    <w:t>”</w:t>
                  </w:r>
                  <w:r>
                    <w:rPr>
                      <w:rFonts w:ascii="Times New Roman" w:hAnsi="Times New Roman" w:cs="Times New Roman"/>
                      <w:color w:val="auto"/>
                      <w:szCs w:val="21"/>
                    </w:rPr>
                    <w:t>：即高端装备制造板块、轨道交通板块、电子信息（传感器）板块、生产性服务业板块及其他新兴产业板块。其中电子信息（传感器）板块位于经济技术开发区西北部，以建设西部传感器产业园为主体，重点围绕新一代信息技术，推动经济技术开发区战略性新兴产业加速发展。</w:t>
                  </w:r>
                </w:p>
              </w:tc>
              <w:tc>
                <w:tcPr>
                  <w:tcW w:w="1180" w:type="pct"/>
                  <w:tcBorders>
                    <w:tl2br w:val="nil"/>
                    <w:tr2bl w:val="nil"/>
                  </w:tcBorders>
                  <w:shd w:val="clear" w:color="auto" w:fill="auto"/>
                  <w:vAlign w:val="center"/>
                </w:tcPr>
                <w:p w14:paraId="341E6DF7">
                  <w:pPr>
                    <w:adjustRightInd w:val="0"/>
                    <w:snapToGrid w:val="0"/>
                    <w:jc w:val="left"/>
                    <w:rPr>
                      <w:rFonts w:hint="eastAsia" w:ascii="Times New Roman" w:hAnsi="Times New Roman" w:cs="Times New Roman" w:eastAsiaTheme="minorEastAsia"/>
                      <w:color w:val="auto"/>
                      <w:kern w:val="2"/>
                      <w:sz w:val="21"/>
                      <w:szCs w:val="21"/>
                      <w:lang w:val="en-US" w:eastAsia="zh-CN" w:bidi="ar-SA"/>
                    </w:rPr>
                  </w:pPr>
                  <w:r>
                    <w:rPr>
                      <w:rFonts w:ascii="Times New Roman" w:hAnsi="Times New Roman" w:cs="Times New Roman"/>
                      <w:color w:val="auto"/>
                      <w:szCs w:val="21"/>
                    </w:rPr>
                    <w:t>本项目为</w:t>
                  </w:r>
                  <w:r>
                    <w:rPr>
                      <w:rFonts w:hint="eastAsia" w:ascii="Times New Roman" w:hAnsi="Times New Roman" w:cs="Times New Roman"/>
                      <w:color w:val="auto"/>
                      <w:szCs w:val="21"/>
                    </w:rPr>
                    <w:t>铁路轨道</w:t>
                  </w:r>
                  <w:r>
                    <w:rPr>
                      <w:rFonts w:hint="eastAsia" w:ascii="Times New Roman" w:hAnsi="Times New Roman" w:cs="Times New Roman"/>
                      <w:color w:val="auto"/>
                      <w:szCs w:val="21"/>
                      <w:lang w:val="en-US" w:eastAsia="zh-CN"/>
                    </w:rPr>
                    <w:t>自动喷漆</w:t>
                  </w:r>
                  <w:r>
                    <w:rPr>
                      <w:rFonts w:hint="eastAsia" w:ascii="Times New Roman" w:hAnsi="Times New Roman" w:cs="Times New Roman"/>
                      <w:color w:val="auto"/>
                      <w:szCs w:val="21"/>
                    </w:rPr>
                    <w:t>钢零件</w:t>
                  </w:r>
                  <w:r>
                    <w:rPr>
                      <w:rFonts w:ascii="Times New Roman" w:hAnsi="Times New Roman" w:cs="Times New Roman"/>
                      <w:color w:val="auto"/>
                      <w:szCs w:val="21"/>
                    </w:rPr>
                    <w:t>，根据园区产业布局图，属于</w:t>
                  </w:r>
                  <w:r>
                    <w:rPr>
                      <w:rFonts w:hint="eastAsia" w:ascii="Times New Roman" w:hAnsi="Times New Roman" w:cs="Times New Roman"/>
                      <w:color w:val="auto"/>
                      <w:szCs w:val="21"/>
                    </w:rPr>
                    <w:t>轨道交通</w:t>
                  </w:r>
                  <w:r>
                    <w:rPr>
                      <w:rFonts w:ascii="Times New Roman" w:hAnsi="Times New Roman" w:cs="Times New Roman"/>
                      <w:color w:val="auto"/>
                      <w:szCs w:val="21"/>
                    </w:rPr>
                    <w:t>板块，符合园区的主导产业定位，是园区大力发展的产业</w:t>
                  </w:r>
                  <w:r>
                    <w:rPr>
                      <w:rFonts w:hint="eastAsia" w:ascii="Times New Roman" w:hAnsi="Times New Roman" w:cs="Times New Roman"/>
                      <w:color w:val="auto"/>
                      <w:szCs w:val="21"/>
                      <w:lang w:eastAsia="zh-CN"/>
                    </w:rPr>
                    <w:t>。</w:t>
                  </w:r>
                </w:p>
              </w:tc>
              <w:tc>
                <w:tcPr>
                  <w:tcW w:w="594" w:type="pct"/>
                  <w:tcBorders>
                    <w:tl2br w:val="nil"/>
                    <w:tr2bl w:val="nil"/>
                  </w:tcBorders>
                  <w:shd w:val="clear" w:color="auto" w:fill="auto"/>
                  <w:vAlign w:val="center"/>
                </w:tcPr>
                <w:p w14:paraId="2A2C6AC6">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ascii="Times New Roman" w:hAnsi="Times New Roman" w:cs="Times New Roman"/>
                      <w:color w:val="auto"/>
                      <w:szCs w:val="21"/>
                    </w:rPr>
                    <w:t>符合</w:t>
                  </w:r>
                </w:p>
              </w:tc>
            </w:tr>
            <w:tr w14:paraId="4DB780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5" w:hRule="atLeast"/>
              </w:trPr>
              <w:tc>
                <w:tcPr>
                  <w:tcW w:w="253" w:type="pct"/>
                  <w:tcBorders>
                    <w:tl2br w:val="nil"/>
                    <w:tr2bl w:val="nil"/>
                  </w:tcBorders>
                  <w:vAlign w:val="center"/>
                </w:tcPr>
                <w:p w14:paraId="1F016525">
                  <w:pPr>
                    <w:adjustRightInd w:val="0"/>
                    <w:snapToGrid w:val="0"/>
                    <w:jc w:val="center"/>
                    <w:rPr>
                      <w:rFonts w:ascii="Times New Roman" w:hAnsi="Times New Roman" w:cs="Times New Roman"/>
                      <w:szCs w:val="21"/>
                    </w:rPr>
                  </w:pPr>
                  <w:r>
                    <w:rPr>
                      <w:rFonts w:ascii="Times New Roman" w:hAnsi="Times New Roman" w:cs="Times New Roman"/>
                      <w:szCs w:val="21"/>
                    </w:rPr>
                    <w:t>4</w:t>
                  </w:r>
                </w:p>
              </w:tc>
              <w:tc>
                <w:tcPr>
                  <w:tcW w:w="1080" w:type="pct"/>
                  <w:vMerge w:val="continue"/>
                  <w:tcBorders>
                    <w:tl2br w:val="nil"/>
                    <w:tr2bl w:val="nil"/>
                  </w:tcBorders>
                  <w:vAlign w:val="center"/>
                </w:tcPr>
                <w:p w14:paraId="6CA8AFE5">
                  <w:pPr>
                    <w:adjustRightInd w:val="0"/>
                    <w:snapToGrid w:val="0"/>
                    <w:jc w:val="center"/>
                    <w:rPr>
                      <w:rFonts w:ascii="Times New Roman" w:hAnsi="Times New Roman" w:cs="Times New Roman"/>
                      <w:szCs w:val="21"/>
                    </w:rPr>
                  </w:pPr>
                </w:p>
              </w:tc>
              <w:tc>
                <w:tcPr>
                  <w:tcW w:w="1891" w:type="pct"/>
                  <w:tcBorders>
                    <w:tl2br w:val="nil"/>
                    <w:tr2bl w:val="nil"/>
                  </w:tcBorders>
                  <w:shd w:val="clear" w:color="auto" w:fill="auto"/>
                  <w:vAlign w:val="center"/>
                </w:tcPr>
                <w:p w14:paraId="3FF7F078">
                  <w:pPr>
                    <w:adjustRightInd w:val="0"/>
                    <w:snapToGrid w:val="0"/>
                    <w:jc w:val="left"/>
                    <w:rPr>
                      <w:rFonts w:hint="eastAsia" w:ascii="Times New Roman" w:hAnsi="Times New Roman" w:cs="Times New Roman" w:eastAsiaTheme="minorEastAsia"/>
                      <w:color w:val="auto"/>
                      <w:kern w:val="2"/>
                      <w:sz w:val="21"/>
                      <w:szCs w:val="21"/>
                      <w:lang w:val="en-US" w:eastAsia="zh-CN" w:bidi="ar-SA"/>
                    </w:rPr>
                  </w:pPr>
                  <w:r>
                    <w:rPr>
                      <w:rFonts w:ascii="Times New Roman" w:hAnsi="Times New Roman" w:cs="Times New Roman"/>
                      <w:b/>
                      <w:bCs/>
                      <w:color w:val="auto"/>
                      <w:szCs w:val="21"/>
                    </w:rPr>
                    <w:t>主导产业</w:t>
                  </w:r>
                  <w:r>
                    <w:rPr>
                      <w:rFonts w:ascii="Times New Roman" w:hAnsi="Times New Roman" w:cs="Times New Roman"/>
                      <w:color w:val="auto"/>
                      <w:szCs w:val="21"/>
                    </w:rPr>
                    <w:t>：</w:t>
                  </w:r>
                  <w:r>
                    <w:rPr>
                      <w:rFonts w:hint="eastAsia" w:ascii="Times New Roman" w:hAnsi="Times New Roman" w:cs="Times New Roman"/>
                      <w:color w:val="auto"/>
                      <w:szCs w:val="21"/>
                    </w:rPr>
                    <w:t>轨道交通板块位于经济技术开发区北部，以轨道交通装备制造业大企业大集团为重点，着重打造配套产业链，建设富有特色的轨道交通产业集群</w:t>
                  </w:r>
                  <w:r>
                    <w:rPr>
                      <w:rFonts w:hint="eastAsia" w:ascii="Times New Roman" w:hAnsi="Times New Roman" w:cs="Times New Roman"/>
                      <w:color w:val="auto"/>
                      <w:szCs w:val="21"/>
                      <w:lang w:eastAsia="zh-CN"/>
                    </w:rPr>
                    <w:t>。</w:t>
                  </w:r>
                </w:p>
              </w:tc>
              <w:tc>
                <w:tcPr>
                  <w:tcW w:w="1180" w:type="pct"/>
                  <w:tcBorders>
                    <w:tl2br w:val="nil"/>
                    <w:tr2bl w:val="nil"/>
                  </w:tcBorders>
                  <w:shd w:val="clear" w:color="auto" w:fill="auto"/>
                  <w:vAlign w:val="center"/>
                </w:tcPr>
                <w:p w14:paraId="1910DC98">
                  <w:pPr>
                    <w:adjustRightInd w:val="0"/>
                    <w:snapToGrid w:val="0"/>
                    <w:jc w:val="left"/>
                    <w:rPr>
                      <w:rFonts w:hint="eastAsia" w:ascii="Times New Roman" w:hAnsi="Times New Roman" w:cs="Times New Roman" w:eastAsiaTheme="minorEastAsia"/>
                      <w:color w:val="auto"/>
                      <w:kern w:val="2"/>
                      <w:sz w:val="21"/>
                      <w:szCs w:val="21"/>
                      <w:lang w:val="en-US" w:eastAsia="zh-CN" w:bidi="ar-SA"/>
                    </w:rPr>
                  </w:pPr>
                  <w:r>
                    <w:rPr>
                      <w:rFonts w:ascii="Times New Roman" w:hAnsi="Times New Roman" w:cs="Times New Roman"/>
                      <w:color w:val="auto"/>
                      <w:szCs w:val="21"/>
                    </w:rPr>
                    <w:t>本项目</w:t>
                  </w:r>
                  <w:r>
                    <w:rPr>
                      <w:rFonts w:hint="eastAsia" w:ascii="Times New Roman" w:hAnsi="Times New Roman" w:cs="Times New Roman"/>
                      <w:color w:val="auto"/>
                      <w:szCs w:val="21"/>
                    </w:rPr>
                    <w:t>位于轨道交通板块</w:t>
                  </w:r>
                  <w:r>
                    <w:rPr>
                      <w:rFonts w:ascii="Times New Roman" w:hAnsi="Times New Roman" w:cs="Times New Roman"/>
                      <w:color w:val="auto"/>
                      <w:szCs w:val="21"/>
                    </w:rPr>
                    <w:t>，</w:t>
                  </w:r>
                  <w:r>
                    <w:rPr>
                      <w:rFonts w:hint="eastAsia" w:ascii="Times New Roman" w:hAnsi="Times New Roman" w:cs="Times New Roman"/>
                      <w:color w:val="auto"/>
                      <w:szCs w:val="21"/>
                    </w:rPr>
                    <w:t>属于配套产业，</w:t>
                  </w:r>
                  <w:r>
                    <w:rPr>
                      <w:rFonts w:ascii="Times New Roman" w:hAnsi="Times New Roman" w:cs="Times New Roman"/>
                      <w:color w:val="auto"/>
                      <w:szCs w:val="21"/>
                    </w:rPr>
                    <w:t>符合园区的主导产业定位，是园区大力发展的产业</w:t>
                  </w:r>
                  <w:r>
                    <w:rPr>
                      <w:rFonts w:hint="eastAsia" w:ascii="Times New Roman" w:hAnsi="Times New Roman" w:cs="Times New Roman"/>
                      <w:color w:val="auto"/>
                      <w:szCs w:val="21"/>
                      <w:lang w:eastAsia="zh-CN"/>
                    </w:rPr>
                    <w:t>。</w:t>
                  </w:r>
                </w:p>
              </w:tc>
              <w:tc>
                <w:tcPr>
                  <w:tcW w:w="594" w:type="pct"/>
                  <w:tcBorders>
                    <w:tl2br w:val="nil"/>
                    <w:tr2bl w:val="nil"/>
                  </w:tcBorders>
                  <w:shd w:val="clear" w:color="auto" w:fill="auto"/>
                  <w:vAlign w:val="center"/>
                </w:tcPr>
                <w:p w14:paraId="53B3F926">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ascii="Times New Roman" w:hAnsi="Times New Roman" w:cs="Times New Roman"/>
                      <w:color w:val="auto"/>
                      <w:szCs w:val="21"/>
                    </w:rPr>
                    <w:t>符合</w:t>
                  </w:r>
                </w:p>
              </w:tc>
            </w:tr>
          </w:tbl>
          <w:p w14:paraId="57272CA3">
            <w:pPr>
              <w:autoSpaceDE w:val="0"/>
              <w:autoSpaceDN w:val="0"/>
              <w:adjustRightInd w:val="0"/>
              <w:snapToGrid w:val="0"/>
              <w:spacing w:line="360" w:lineRule="auto"/>
              <w:ind w:firstLine="480" w:firstLineChars="200"/>
              <w:rPr>
                <w:rFonts w:hint="default" w:ascii="Times New Roman" w:hAnsi="Times New Roman"/>
                <w:b/>
                <w:bCs/>
                <w:sz w:val="21"/>
                <w:szCs w:val="21"/>
              </w:rPr>
            </w:pPr>
            <w:r>
              <w:rPr>
                <w:rFonts w:ascii="Times New Roman" w:hAnsi="Times New Roman" w:eastAsia="宋体" w:cs="Times New Roman"/>
                <w:kern w:val="0"/>
                <w:sz w:val="24"/>
              </w:rPr>
              <w:t>本项目与</w:t>
            </w:r>
            <w:r>
              <w:rPr>
                <w:rFonts w:hint="eastAsia" w:ascii="Times New Roman" w:hAnsi="Times New Roman" w:eastAsia="宋体" w:cs="Times New Roman"/>
                <w:sz w:val="24"/>
              </w:rPr>
              <w:t>规划</w:t>
            </w:r>
            <w:r>
              <w:rPr>
                <w:rFonts w:ascii="Times New Roman" w:hAnsi="Times New Roman" w:eastAsia="宋体" w:cs="Times New Roman"/>
                <w:sz w:val="24"/>
              </w:rPr>
              <w:t>环评结论及审查意见符合性分析</w:t>
            </w:r>
            <w:r>
              <w:rPr>
                <w:rFonts w:ascii="Times New Roman" w:hAnsi="Times New Roman" w:eastAsia="宋体" w:cs="Times New Roman"/>
                <w:kern w:val="0"/>
                <w:sz w:val="24"/>
              </w:rPr>
              <w:t>的符合性分析详见下表。</w:t>
            </w:r>
          </w:p>
          <w:p w14:paraId="05BDE78F">
            <w:pPr>
              <w:pStyle w:val="21"/>
              <w:adjustRightInd w:val="0"/>
              <w:snapToGrid w:val="0"/>
              <w:spacing w:beforeAutospacing="0" w:afterAutospacing="0"/>
              <w:jc w:val="center"/>
              <w:rPr>
                <w:rFonts w:hint="default" w:ascii="Times New Roman" w:hAnsi="Times New Roman"/>
                <w:b/>
                <w:bCs/>
                <w:sz w:val="21"/>
                <w:szCs w:val="21"/>
              </w:rPr>
            </w:pPr>
            <w:r>
              <w:rPr>
                <w:rFonts w:hint="default" w:ascii="Times New Roman" w:hAnsi="Times New Roman"/>
                <w:b/>
                <w:bCs/>
                <w:sz w:val="21"/>
                <w:szCs w:val="21"/>
              </w:rPr>
              <w:t>表1-2 项目与</w:t>
            </w:r>
            <w:r>
              <w:rPr>
                <w:rFonts w:ascii="Times New Roman" w:hAnsi="Times New Roman"/>
                <w:b/>
                <w:bCs/>
                <w:sz w:val="21"/>
                <w:szCs w:val="21"/>
              </w:rPr>
              <w:t>规划</w:t>
            </w:r>
            <w:r>
              <w:rPr>
                <w:rFonts w:hint="default" w:ascii="Times New Roman" w:hAnsi="Times New Roman"/>
                <w:b/>
                <w:bCs/>
                <w:sz w:val="21"/>
                <w:szCs w:val="21"/>
              </w:rPr>
              <w:t>环评结论及审查意见符合性分析</w:t>
            </w:r>
            <w:r>
              <w:rPr>
                <w:rFonts w:ascii="Times New Roman" w:hAnsi="Times New Roman"/>
                <w:b/>
                <w:bCs/>
                <w:sz w:val="21"/>
                <w:szCs w:val="21"/>
              </w:rPr>
              <w:t>一览表</w:t>
            </w:r>
          </w:p>
          <w:tbl>
            <w:tblPr>
              <w:tblStyle w:val="26"/>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3"/>
              <w:gridCol w:w="1524"/>
              <w:gridCol w:w="3046"/>
              <w:gridCol w:w="1845"/>
              <w:gridCol w:w="899"/>
            </w:tblGrid>
            <w:tr w14:paraId="113531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54" w:type="pct"/>
                  <w:tcBorders>
                    <w:tl2br w:val="nil"/>
                    <w:tr2bl w:val="nil"/>
                  </w:tcBorders>
                  <w:vAlign w:val="center"/>
                </w:tcPr>
                <w:p w14:paraId="7D93530E">
                  <w:pPr>
                    <w:adjustRightInd w:val="0"/>
                    <w:snapToGrid w:val="0"/>
                    <w:jc w:val="center"/>
                    <w:rPr>
                      <w:rFonts w:ascii="Times New Roman" w:hAnsi="Times New Roman" w:cs="Times New Roman"/>
                      <w:szCs w:val="21"/>
                    </w:rPr>
                  </w:pPr>
                  <w:r>
                    <w:rPr>
                      <w:rFonts w:ascii="Times New Roman" w:hAnsi="Times New Roman" w:cs="Times New Roman"/>
                      <w:szCs w:val="21"/>
                    </w:rPr>
                    <w:t>序号</w:t>
                  </w:r>
                </w:p>
              </w:tc>
              <w:tc>
                <w:tcPr>
                  <w:tcW w:w="988" w:type="pct"/>
                  <w:tcBorders>
                    <w:tl2br w:val="nil"/>
                    <w:tr2bl w:val="nil"/>
                  </w:tcBorders>
                  <w:vAlign w:val="center"/>
                </w:tcPr>
                <w:p w14:paraId="0070CFD0">
                  <w:pPr>
                    <w:adjustRightInd w:val="0"/>
                    <w:snapToGrid w:val="0"/>
                    <w:jc w:val="center"/>
                    <w:rPr>
                      <w:rFonts w:ascii="Times New Roman" w:hAnsi="Times New Roman" w:cs="Times New Roman"/>
                      <w:szCs w:val="21"/>
                    </w:rPr>
                  </w:pPr>
                  <w:r>
                    <w:rPr>
                      <w:rFonts w:ascii="Times New Roman" w:hAnsi="Times New Roman" w:cs="Times New Roman"/>
                      <w:szCs w:val="21"/>
                    </w:rPr>
                    <w:t>规划名称</w:t>
                  </w:r>
                </w:p>
              </w:tc>
              <w:tc>
                <w:tcPr>
                  <w:tcW w:w="1976" w:type="pct"/>
                  <w:tcBorders>
                    <w:tl2br w:val="nil"/>
                    <w:tr2bl w:val="nil"/>
                  </w:tcBorders>
                  <w:vAlign w:val="center"/>
                </w:tcPr>
                <w:p w14:paraId="09025531">
                  <w:pPr>
                    <w:adjustRightInd w:val="0"/>
                    <w:snapToGrid w:val="0"/>
                    <w:jc w:val="center"/>
                    <w:rPr>
                      <w:rFonts w:ascii="Times New Roman" w:hAnsi="Times New Roman" w:cs="Times New Roman"/>
                      <w:szCs w:val="21"/>
                    </w:rPr>
                  </w:pPr>
                  <w:r>
                    <w:rPr>
                      <w:rFonts w:ascii="Times New Roman" w:hAnsi="Times New Roman" w:cs="Times New Roman"/>
                      <w:szCs w:val="21"/>
                    </w:rPr>
                    <w:t>规划要求</w:t>
                  </w:r>
                </w:p>
              </w:tc>
              <w:tc>
                <w:tcPr>
                  <w:tcW w:w="1196" w:type="pct"/>
                  <w:tcBorders>
                    <w:tl2br w:val="nil"/>
                    <w:tr2bl w:val="nil"/>
                  </w:tcBorders>
                  <w:vAlign w:val="center"/>
                </w:tcPr>
                <w:p w14:paraId="464718B0">
                  <w:pPr>
                    <w:adjustRightInd w:val="0"/>
                    <w:snapToGrid w:val="0"/>
                    <w:jc w:val="center"/>
                    <w:rPr>
                      <w:rFonts w:ascii="Times New Roman" w:hAnsi="Times New Roman" w:cs="Times New Roman"/>
                      <w:szCs w:val="21"/>
                    </w:rPr>
                  </w:pPr>
                  <w:r>
                    <w:rPr>
                      <w:rFonts w:ascii="Times New Roman" w:hAnsi="Times New Roman" w:cs="Times New Roman"/>
                      <w:szCs w:val="21"/>
                    </w:rPr>
                    <w:t>本项目情况</w:t>
                  </w:r>
                </w:p>
              </w:tc>
              <w:tc>
                <w:tcPr>
                  <w:tcW w:w="583" w:type="pct"/>
                  <w:tcBorders>
                    <w:tl2br w:val="nil"/>
                    <w:tr2bl w:val="nil"/>
                  </w:tcBorders>
                  <w:vAlign w:val="center"/>
                </w:tcPr>
                <w:p w14:paraId="47B904BE">
                  <w:pPr>
                    <w:adjustRightInd w:val="0"/>
                    <w:snapToGrid w:val="0"/>
                    <w:jc w:val="center"/>
                    <w:rPr>
                      <w:rFonts w:ascii="Times New Roman" w:hAnsi="Times New Roman" w:cs="Times New Roman"/>
                      <w:szCs w:val="21"/>
                    </w:rPr>
                  </w:pPr>
                  <w:r>
                    <w:rPr>
                      <w:rFonts w:ascii="Times New Roman" w:hAnsi="Times New Roman" w:cs="Times New Roman"/>
                      <w:szCs w:val="21"/>
                    </w:rPr>
                    <w:t>符合性</w:t>
                  </w:r>
                </w:p>
              </w:tc>
            </w:tr>
            <w:tr w14:paraId="2CB58B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5" w:hRule="atLeast"/>
              </w:trPr>
              <w:tc>
                <w:tcPr>
                  <w:tcW w:w="254" w:type="pct"/>
                  <w:tcBorders>
                    <w:tl2br w:val="nil"/>
                    <w:tr2bl w:val="nil"/>
                  </w:tcBorders>
                  <w:vAlign w:val="center"/>
                </w:tcPr>
                <w:p w14:paraId="4EFDD59B">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988" w:type="pct"/>
                  <w:vMerge w:val="restart"/>
                  <w:tcBorders>
                    <w:tl2br w:val="nil"/>
                    <w:tr2bl w:val="nil"/>
                  </w:tcBorders>
                  <w:vAlign w:val="center"/>
                </w:tcPr>
                <w:p w14:paraId="4BFEDE0F">
                  <w:pPr>
                    <w:adjustRightInd w:val="0"/>
                    <w:snapToGrid w:val="0"/>
                    <w:jc w:val="center"/>
                    <w:rPr>
                      <w:rFonts w:ascii="Times New Roman" w:hAnsi="Times New Roman" w:cs="Times New Roman"/>
                      <w:szCs w:val="21"/>
                    </w:rPr>
                  </w:pPr>
                  <w:r>
                    <w:rPr>
                      <w:rFonts w:ascii="Times New Roman" w:hAnsi="Times New Roman" w:cs="Times New Roman"/>
                      <w:szCs w:val="21"/>
                    </w:rPr>
                    <w:t>《姜谭经济技术开发区总体规划（2019-2035）（修编）环境影响报告书》</w:t>
                  </w:r>
                </w:p>
              </w:tc>
              <w:tc>
                <w:tcPr>
                  <w:tcW w:w="1976" w:type="pct"/>
                  <w:tcBorders>
                    <w:tl2br w:val="nil"/>
                    <w:tr2bl w:val="nil"/>
                  </w:tcBorders>
                  <w:vAlign w:val="center"/>
                </w:tcPr>
                <w:p w14:paraId="0C421705">
                  <w:pPr>
                    <w:adjustRightInd w:val="0"/>
                    <w:snapToGrid w:val="0"/>
                    <w:jc w:val="center"/>
                    <w:rPr>
                      <w:rFonts w:ascii="Times New Roman" w:hAnsi="Times New Roman" w:cs="Times New Roman"/>
                      <w:szCs w:val="21"/>
                    </w:rPr>
                  </w:pPr>
                  <w:r>
                    <w:rPr>
                      <w:rFonts w:ascii="Times New Roman" w:hAnsi="Times New Roman" w:cs="Times New Roman"/>
                      <w:b/>
                      <w:bCs/>
                      <w:szCs w:val="21"/>
                    </w:rPr>
                    <w:t>环境影响</w:t>
                  </w:r>
                  <w:r>
                    <w:rPr>
                      <w:rFonts w:ascii="Times New Roman" w:hAnsi="Times New Roman" w:cs="Times New Roman"/>
                      <w:szCs w:val="21"/>
                    </w:rPr>
                    <w:t>：①各建设项目在设计中应尽可能选用低噪声设备，对高噪声设备应设计减</w:t>
                  </w:r>
                  <w:r>
                    <w:rPr>
                      <w:rFonts w:hint="eastAsia" w:ascii="Times New Roman" w:hAnsi="Times New Roman" w:cs="Times New Roman"/>
                      <w:szCs w:val="21"/>
                      <w:lang w:eastAsia="zh-CN"/>
                    </w:rPr>
                    <w:t>振</w:t>
                  </w:r>
                  <w:r>
                    <w:rPr>
                      <w:rFonts w:ascii="Times New Roman" w:hAnsi="Times New Roman" w:cs="Times New Roman"/>
                      <w:szCs w:val="21"/>
                    </w:rPr>
                    <w:t>基础、安装消声装置、采用建筑隔音和铺装吸音材料，同时采取其他</w:t>
                  </w:r>
                  <w:r>
                    <w:rPr>
                      <w:rFonts w:hint="eastAsia" w:ascii="Times New Roman" w:hAnsi="Times New Roman" w:cs="Times New Roman"/>
                      <w:szCs w:val="21"/>
                    </w:rPr>
                    <w:t>减振</w:t>
                  </w:r>
                  <w:r>
                    <w:rPr>
                      <w:rFonts w:ascii="Times New Roman" w:hAnsi="Times New Roman" w:cs="Times New Roman"/>
                      <w:szCs w:val="21"/>
                    </w:rPr>
                    <w:t>降噪措施，并利用平面布局的调整来减少对周围声环境的影响。</w:t>
                  </w:r>
                </w:p>
                <w:p w14:paraId="3445B2F8">
                  <w:pPr>
                    <w:adjustRightInd w:val="0"/>
                    <w:snapToGrid w:val="0"/>
                    <w:jc w:val="center"/>
                    <w:rPr>
                      <w:rFonts w:ascii="Times New Roman" w:hAnsi="Times New Roman" w:cs="Times New Roman"/>
                      <w:szCs w:val="21"/>
                    </w:rPr>
                  </w:pPr>
                  <w:r>
                    <w:rPr>
                      <w:rFonts w:ascii="Times New Roman" w:hAnsi="Times New Roman" w:cs="Times New Roman"/>
                      <w:szCs w:val="21"/>
                    </w:rPr>
                    <w:t>②园区内建设项目设计阶段，应按照或参照国家标准和规范要求，设计有效防止泄漏物质、消防水、污染雨水等扩散至外环境的收集、导流、拦截、降污等环境风险防范设施。</w:t>
                  </w:r>
                </w:p>
                <w:p w14:paraId="55C6568B">
                  <w:pPr>
                    <w:adjustRightInd w:val="0"/>
                    <w:snapToGrid w:val="0"/>
                    <w:jc w:val="center"/>
                    <w:rPr>
                      <w:rFonts w:ascii="Times New Roman" w:hAnsi="Times New Roman" w:cs="Times New Roman"/>
                      <w:szCs w:val="21"/>
                    </w:rPr>
                  </w:pPr>
                  <w:r>
                    <w:rPr>
                      <w:rFonts w:ascii="Times New Roman" w:hAnsi="Times New Roman" w:cs="Times New Roman"/>
                      <w:szCs w:val="21"/>
                    </w:rPr>
                    <w:t>③园区项目应重点关注项目施工过程中各项防治污染、防止生态破坏以及防范环境风险设施的建设情况，未按要求落实的应及时纠正、补救。</w:t>
                  </w:r>
                </w:p>
                <w:p w14:paraId="7C98A970">
                  <w:pPr>
                    <w:adjustRightInd w:val="0"/>
                    <w:snapToGrid w:val="0"/>
                    <w:jc w:val="center"/>
                    <w:rPr>
                      <w:rFonts w:ascii="Times New Roman" w:hAnsi="Times New Roman" w:cs="Times New Roman"/>
                      <w:szCs w:val="21"/>
                    </w:rPr>
                  </w:pPr>
                  <w:r>
                    <w:rPr>
                      <w:rFonts w:ascii="Times New Roman" w:hAnsi="Times New Roman" w:cs="Times New Roman"/>
                      <w:szCs w:val="21"/>
                    </w:rPr>
                    <w:t>④对于新建、改建、扩建项目用水要达到行业先进水平，节水设施应与主体工程同时设计、同时施工、同时投运。</w:t>
                  </w:r>
                </w:p>
                <w:p w14:paraId="5996DF86">
                  <w:pPr>
                    <w:adjustRightInd w:val="0"/>
                    <w:snapToGrid w:val="0"/>
                    <w:jc w:val="center"/>
                    <w:rPr>
                      <w:rFonts w:ascii="Times New Roman" w:hAnsi="Times New Roman" w:cs="Times New Roman"/>
                      <w:szCs w:val="21"/>
                    </w:rPr>
                  </w:pPr>
                  <w:r>
                    <w:rPr>
                      <w:rFonts w:ascii="Times New Roman" w:hAnsi="Times New Roman" w:cs="Times New Roman"/>
                      <w:szCs w:val="21"/>
                    </w:rPr>
                    <w:t>⑤入区企业在项目施工期间应设一名环保专职或兼职人员，负责建设期环保工作；项目建成投产后，设立环保科室，配备专职环保人员，负责全厂的环境管理、环境监测和事故应急处理，并随时同上级环保部门联系，定时汇报情况。</w:t>
                  </w:r>
                </w:p>
              </w:tc>
              <w:tc>
                <w:tcPr>
                  <w:tcW w:w="1196" w:type="pct"/>
                  <w:tcBorders>
                    <w:tl2br w:val="nil"/>
                    <w:tr2bl w:val="nil"/>
                  </w:tcBorders>
                  <w:shd w:val="clear" w:color="auto" w:fill="auto"/>
                  <w:vAlign w:val="center"/>
                </w:tcPr>
                <w:p w14:paraId="7BE86995">
                  <w:pPr>
                    <w:adjustRightInd w:val="0"/>
                    <w:snapToGrid w:val="0"/>
                    <w:jc w:val="left"/>
                    <w:rPr>
                      <w:rFonts w:ascii="Times New Roman" w:hAnsi="Times New Roman" w:cs="Times New Roman"/>
                      <w:color w:val="auto"/>
                      <w:szCs w:val="21"/>
                    </w:rPr>
                  </w:pPr>
                  <w:r>
                    <w:rPr>
                      <w:rFonts w:ascii="Times New Roman" w:hAnsi="Times New Roman" w:cs="Times New Roman"/>
                      <w:color w:val="auto"/>
                      <w:szCs w:val="21"/>
                    </w:rPr>
                    <w:t>①本项目选用低噪声设备，采取减振措施。</w:t>
                  </w:r>
                </w:p>
                <w:p w14:paraId="0560D187">
                  <w:pPr>
                    <w:adjustRightInd w:val="0"/>
                    <w:snapToGrid w:val="0"/>
                    <w:jc w:val="left"/>
                    <w:rPr>
                      <w:rFonts w:ascii="Times New Roman" w:hAnsi="Times New Roman" w:cs="Times New Roman"/>
                      <w:color w:val="auto"/>
                      <w:szCs w:val="21"/>
                    </w:rPr>
                  </w:pPr>
                  <w:r>
                    <w:rPr>
                      <w:rFonts w:ascii="Times New Roman" w:hAnsi="Times New Roman" w:cs="Times New Roman"/>
                      <w:color w:val="auto"/>
                      <w:szCs w:val="21"/>
                    </w:rPr>
                    <w:t>②本项目</w:t>
                  </w:r>
                  <w:r>
                    <w:rPr>
                      <w:rFonts w:hint="eastAsia" w:ascii="Times New Roman" w:hAnsi="Times New Roman" w:cs="Times New Roman"/>
                      <w:color w:val="auto"/>
                      <w:szCs w:val="21"/>
                      <w:lang w:val="en-US" w:eastAsia="zh-CN"/>
                    </w:rPr>
                    <w:t>无废水外排</w:t>
                  </w:r>
                  <w:r>
                    <w:rPr>
                      <w:rFonts w:ascii="Times New Roman" w:hAnsi="Times New Roman" w:cs="Times New Roman"/>
                      <w:color w:val="auto"/>
                      <w:szCs w:val="21"/>
                    </w:rPr>
                    <w:t>。</w:t>
                  </w:r>
                </w:p>
                <w:p w14:paraId="191EAE9F">
                  <w:pPr>
                    <w:adjustRightInd w:val="0"/>
                    <w:snapToGrid w:val="0"/>
                    <w:jc w:val="left"/>
                    <w:rPr>
                      <w:rFonts w:ascii="Times New Roman" w:hAnsi="Times New Roman" w:cs="Times New Roman"/>
                      <w:color w:val="auto"/>
                      <w:szCs w:val="21"/>
                    </w:rPr>
                  </w:pPr>
                  <w:r>
                    <w:rPr>
                      <w:rFonts w:ascii="Times New Roman" w:hAnsi="Times New Roman" w:cs="Times New Roman"/>
                      <w:color w:val="auto"/>
                      <w:szCs w:val="21"/>
                    </w:rPr>
                    <w:t>③本项目配套建设废气治理设施，确保达标排放</w:t>
                  </w:r>
                  <w:r>
                    <w:rPr>
                      <w:rFonts w:hint="eastAsia" w:ascii="Times New Roman" w:hAnsi="Times New Roman" w:cs="Times New Roman"/>
                      <w:color w:val="auto"/>
                      <w:szCs w:val="21"/>
                      <w:lang w:eastAsia="zh-CN"/>
                    </w:rPr>
                    <w:t>。</w:t>
                  </w:r>
                </w:p>
                <w:p w14:paraId="5098093B">
                  <w:pPr>
                    <w:adjustRightInd w:val="0"/>
                    <w:snapToGrid w:val="0"/>
                    <w:jc w:val="left"/>
                    <w:rPr>
                      <w:rFonts w:ascii="Times New Roman" w:hAnsi="Times New Roman" w:cs="Times New Roman"/>
                      <w:color w:val="auto"/>
                      <w:szCs w:val="21"/>
                    </w:rPr>
                  </w:pPr>
                  <w:r>
                    <w:rPr>
                      <w:rFonts w:ascii="Times New Roman" w:hAnsi="Times New Roman" w:cs="Times New Roman"/>
                      <w:color w:val="auto"/>
                      <w:szCs w:val="21"/>
                    </w:rPr>
                    <w:t>④本项目污染防治设施与主体工程同时设计、同时施工、同时投运。</w:t>
                  </w:r>
                </w:p>
                <w:p w14:paraId="714B1BFB">
                  <w:pPr>
                    <w:adjustRightInd w:val="0"/>
                    <w:snapToGrid w:val="0"/>
                    <w:jc w:val="left"/>
                    <w:rPr>
                      <w:rFonts w:ascii="Times New Roman" w:hAnsi="Times New Roman" w:cs="Times New Roman" w:eastAsiaTheme="minorEastAsia"/>
                      <w:color w:val="auto"/>
                      <w:kern w:val="2"/>
                      <w:sz w:val="21"/>
                      <w:szCs w:val="21"/>
                      <w:lang w:val="en-US" w:eastAsia="zh-CN" w:bidi="ar-SA"/>
                    </w:rPr>
                  </w:pPr>
                  <w:r>
                    <w:rPr>
                      <w:rFonts w:ascii="Times New Roman" w:hAnsi="Times New Roman" w:cs="Times New Roman"/>
                      <w:color w:val="auto"/>
                      <w:szCs w:val="21"/>
                    </w:rPr>
                    <w:t>⑤本项目建成后设立环保部门，配备专职环保人员，负责全厂的环境管理、环境监测和事故应急处理，并随时同上级环保部门联系，定时汇报情况。</w:t>
                  </w:r>
                </w:p>
              </w:tc>
              <w:tc>
                <w:tcPr>
                  <w:tcW w:w="583" w:type="pct"/>
                  <w:tcBorders>
                    <w:tl2br w:val="nil"/>
                    <w:tr2bl w:val="nil"/>
                  </w:tcBorders>
                  <w:vAlign w:val="center"/>
                </w:tcPr>
                <w:p w14:paraId="1E390B51">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13D796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254" w:type="pct"/>
                  <w:tcBorders>
                    <w:tl2br w:val="nil"/>
                    <w:tr2bl w:val="nil"/>
                  </w:tcBorders>
                  <w:vAlign w:val="center"/>
                </w:tcPr>
                <w:p w14:paraId="0A0264DC">
                  <w:pPr>
                    <w:adjustRightInd w:val="0"/>
                    <w:snapToGrid w:val="0"/>
                    <w:jc w:val="center"/>
                    <w:rPr>
                      <w:rFonts w:ascii="Times New Roman" w:hAnsi="Times New Roman" w:cs="Times New Roman"/>
                      <w:szCs w:val="21"/>
                    </w:rPr>
                  </w:pPr>
                  <w:r>
                    <w:rPr>
                      <w:rFonts w:ascii="Times New Roman" w:hAnsi="Times New Roman" w:cs="Times New Roman"/>
                      <w:szCs w:val="21"/>
                    </w:rPr>
                    <w:t>2</w:t>
                  </w:r>
                </w:p>
              </w:tc>
              <w:tc>
                <w:tcPr>
                  <w:tcW w:w="988" w:type="pct"/>
                  <w:vMerge w:val="continue"/>
                  <w:tcBorders>
                    <w:tl2br w:val="nil"/>
                    <w:tr2bl w:val="nil"/>
                  </w:tcBorders>
                  <w:vAlign w:val="center"/>
                </w:tcPr>
                <w:p w14:paraId="2EFFF448">
                  <w:pPr>
                    <w:adjustRightInd w:val="0"/>
                    <w:snapToGrid w:val="0"/>
                    <w:jc w:val="center"/>
                    <w:rPr>
                      <w:rFonts w:ascii="Times New Roman" w:hAnsi="Times New Roman" w:cs="Times New Roman"/>
                      <w:szCs w:val="21"/>
                    </w:rPr>
                  </w:pPr>
                </w:p>
              </w:tc>
              <w:tc>
                <w:tcPr>
                  <w:tcW w:w="1976" w:type="pct"/>
                  <w:tcBorders>
                    <w:tl2br w:val="nil"/>
                    <w:tr2bl w:val="nil"/>
                  </w:tcBorders>
                  <w:vAlign w:val="center"/>
                </w:tcPr>
                <w:p w14:paraId="2F29E81C">
                  <w:pPr>
                    <w:adjustRightInd w:val="0"/>
                    <w:snapToGrid w:val="0"/>
                    <w:jc w:val="center"/>
                    <w:rPr>
                      <w:rFonts w:ascii="Times New Roman" w:hAnsi="Times New Roman" w:cs="Times New Roman"/>
                      <w:szCs w:val="21"/>
                    </w:rPr>
                  </w:pPr>
                  <w:r>
                    <w:rPr>
                      <w:rFonts w:ascii="Times New Roman" w:hAnsi="Times New Roman" w:cs="Times New Roman"/>
                      <w:b/>
                      <w:bCs/>
                      <w:szCs w:val="21"/>
                    </w:rPr>
                    <w:t>负面清单</w:t>
                  </w:r>
                  <w:r>
                    <w:rPr>
                      <w:rFonts w:ascii="Times New Roman" w:hAnsi="Times New Roman" w:cs="Times New Roman"/>
                      <w:szCs w:val="21"/>
                    </w:rPr>
                    <w:t>：对入区企业提出11项准入要求。</w:t>
                  </w:r>
                </w:p>
                <w:p w14:paraId="7CC88DFD">
                  <w:pPr>
                    <w:adjustRightInd w:val="0"/>
                    <w:snapToGrid w:val="0"/>
                    <w:jc w:val="center"/>
                    <w:rPr>
                      <w:rFonts w:ascii="Times New Roman" w:hAnsi="Times New Roman" w:cs="Times New Roman"/>
                      <w:szCs w:val="21"/>
                    </w:rPr>
                  </w:pPr>
                  <w:r>
                    <w:rPr>
                      <w:rFonts w:ascii="Times New Roman" w:hAnsi="Times New Roman" w:cs="Times New Roman"/>
                      <w:szCs w:val="21"/>
                    </w:rPr>
                    <w:t>①《产业结构调整目录》中限制类和淘汰类项目禁止入区；</w:t>
                  </w:r>
                </w:p>
                <w:p w14:paraId="582E0E46">
                  <w:pPr>
                    <w:adjustRightInd w:val="0"/>
                    <w:snapToGrid w:val="0"/>
                    <w:jc w:val="center"/>
                    <w:rPr>
                      <w:rFonts w:ascii="Times New Roman" w:hAnsi="Times New Roman" w:cs="Times New Roman"/>
                      <w:szCs w:val="21"/>
                    </w:rPr>
                  </w:pPr>
                  <w:r>
                    <w:rPr>
                      <w:rFonts w:ascii="Times New Roman" w:hAnsi="Times New Roman" w:cs="Times New Roman"/>
                      <w:szCs w:val="21"/>
                    </w:rPr>
                    <w:t>②国家明令淘汰的落后生产能力、工艺和产品禁止入区；</w:t>
                  </w:r>
                </w:p>
                <w:p w14:paraId="63530869">
                  <w:pPr>
                    <w:adjustRightInd w:val="0"/>
                    <w:snapToGrid w:val="0"/>
                    <w:jc w:val="center"/>
                    <w:rPr>
                      <w:rFonts w:ascii="Times New Roman" w:hAnsi="Times New Roman" w:cs="Times New Roman"/>
                      <w:szCs w:val="21"/>
                    </w:rPr>
                  </w:pPr>
                  <w:r>
                    <w:rPr>
                      <w:rFonts w:ascii="Times New Roman" w:hAnsi="Times New Roman" w:cs="Times New Roman"/>
                      <w:szCs w:val="21"/>
                    </w:rPr>
                    <w:t>③国家淘汰、削减或限制的产品和生产工艺禁止入区；</w:t>
                  </w:r>
                </w:p>
                <w:p w14:paraId="5AA89074">
                  <w:pPr>
                    <w:adjustRightInd w:val="0"/>
                    <w:snapToGrid w:val="0"/>
                    <w:jc w:val="center"/>
                    <w:rPr>
                      <w:rFonts w:ascii="Times New Roman" w:hAnsi="Times New Roman" w:cs="Times New Roman"/>
                      <w:szCs w:val="21"/>
                    </w:rPr>
                  </w:pPr>
                  <w:r>
                    <w:rPr>
                      <w:rFonts w:ascii="Times New Roman" w:hAnsi="Times New Roman" w:cs="Times New Roman"/>
                      <w:szCs w:val="21"/>
                    </w:rPr>
                    <w:t>④国家禁止投资建设的工艺，产品禁止入区；</w:t>
                  </w:r>
                </w:p>
                <w:p w14:paraId="6F2DC0AC">
                  <w:pPr>
                    <w:adjustRightInd w:val="0"/>
                    <w:snapToGrid w:val="0"/>
                    <w:jc w:val="center"/>
                    <w:rPr>
                      <w:rFonts w:ascii="Times New Roman" w:hAnsi="Times New Roman" w:cs="Times New Roman"/>
                      <w:szCs w:val="21"/>
                    </w:rPr>
                  </w:pPr>
                  <w:r>
                    <w:rPr>
                      <w:rFonts w:ascii="Times New Roman" w:hAnsi="Times New Roman" w:cs="Times New Roman"/>
                      <w:szCs w:val="21"/>
                    </w:rPr>
                    <w:t>⑤限制和禁止外商投资产业禁止入区；</w:t>
                  </w:r>
                </w:p>
                <w:p w14:paraId="047FFD59">
                  <w:pPr>
                    <w:adjustRightInd w:val="0"/>
                    <w:snapToGrid w:val="0"/>
                    <w:jc w:val="center"/>
                    <w:rPr>
                      <w:rFonts w:ascii="Times New Roman" w:hAnsi="Times New Roman" w:cs="Times New Roman"/>
                      <w:szCs w:val="21"/>
                    </w:rPr>
                  </w:pPr>
                  <w:r>
                    <w:rPr>
                      <w:rFonts w:ascii="Times New Roman" w:hAnsi="Times New Roman" w:cs="Times New Roman"/>
                      <w:szCs w:val="21"/>
                    </w:rPr>
                    <w:t>⑥国家明确禁止建设的</w:t>
                  </w:r>
                  <w:r>
                    <w:rPr>
                      <w:rFonts w:hint="eastAsia" w:ascii="Times New Roman" w:hAnsi="Times New Roman" w:cs="Times New Roman"/>
                      <w:szCs w:val="21"/>
                    </w:rPr>
                    <w:t>“</w:t>
                  </w:r>
                  <w:r>
                    <w:rPr>
                      <w:rFonts w:ascii="Times New Roman" w:hAnsi="Times New Roman" w:cs="Times New Roman"/>
                      <w:szCs w:val="21"/>
                    </w:rPr>
                    <w:t>十五小</w:t>
                  </w:r>
                  <w:r>
                    <w:rPr>
                      <w:rFonts w:hint="eastAsia" w:ascii="Times New Roman" w:hAnsi="Times New Roman" w:cs="Times New Roman"/>
                      <w:szCs w:val="21"/>
                    </w:rPr>
                    <w:t>”</w:t>
                  </w:r>
                  <w:r>
                    <w:rPr>
                      <w:rFonts w:ascii="Times New Roman" w:hAnsi="Times New Roman" w:cs="Times New Roman"/>
                      <w:szCs w:val="21"/>
                    </w:rPr>
                    <w:t>项目，</w:t>
                  </w:r>
                  <w:r>
                    <w:rPr>
                      <w:rFonts w:hint="eastAsia" w:ascii="Times New Roman" w:hAnsi="Times New Roman" w:cs="Times New Roman"/>
                      <w:szCs w:val="21"/>
                    </w:rPr>
                    <w:t>“</w:t>
                  </w:r>
                  <w:r>
                    <w:rPr>
                      <w:rFonts w:ascii="Times New Roman" w:hAnsi="Times New Roman" w:cs="Times New Roman"/>
                      <w:szCs w:val="21"/>
                    </w:rPr>
                    <w:t>新五小</w:t>
                  </w:r>
                  <w:r>
                    <w:rPr>
                      <w:rFonts w:hint="eastAsia" w:ascii="Times New Roman" w:hAnsi="Times New Roman" w:cs="Times New Roman"/>
                      <w:szCs w:val="21"/>
                    </w:rPr>
                    <w:t>”</w:t>
                  </w:r>
                  <w:r>
                    <w:rPr>
                      <w:rFonts w:ascii="Times New Roman" w:hAnsi="Times New Roman" w:cs="Times New Roman"/>
                      <w:szCs w:val="21"/>
                    </w:rPr>
                    <w:t>项目禁止入区；</w:t>
                  </w:r>
                </w:p>
                <w:p w14:paraId="02CAFDF6">
                  <w:pPr>
                    <w:adjustRightInd w:val="0"/>
                    <w:snapToGrid w:val="0"/>
                    <w:jc w:val="center"/>
                    <w:rPr>
                      <w:rFonts w:ascii="Times New Roman" w:hAnsi="Times New Roman" w:cs="Times New Roman"/>
                      <w:szCs w:val="21"/>
                    </w:rPr>
                  </w:pPr>
                  <w:r>
                    <w:rPr>
                      <w:rFonts w:ascii="Times New Roman" w:hAnsi="Times New Roman" w:cs="Times New Roman"/>
                      <w:szCs w:val="21"/>
                    </w:rPr>
                    <w:t>⑦存在严重污染，且不能达标排放的项目禁止入区；</w:t>
                  </w:r>
                </w:p>
                <w:p w14:paraId="6CFB8048">
                  <w:pPr>
                    <w:adjustRightInd w:val="0"/>
                    <w:snapToGrid w:val="0"/>
                    <w:jc w:val="center"/>
                    <w:rPr>
                      <w:rFonts w:ascii="Times New Roman" w:hAnsi="Times New Roman" w:cs="Times New Roman"/>
                      <w:szCs w:val="21"/>
                    </w:rPr>
                  </w:pPr>
                  <w:r>
                    <w:rPr>
                      <w:rFonts w:ascii="Times New Roman" w:hAnsi="Times New Roman" w:cs="Times New Roman"/>
                      <w:szCs w:val="21"/>
                    </w:rPr>
                    <w:t>⑧其他国家和地方产业政策中禁止的项目禁止入区；</w:t>
                  </w:r>
                </w:p>
                <w:p w14:paraId="06517024">
                  <w:pPr>
                    <w:adjustRightInd w:val="0"/>
                    <w:snapToGrid w:val="0"/>
                    <w:jc w:val="center"/>
                    <w:rPr>
                      <w:rFonts w:ascii="Times New Roman" w:hAnsi="Times New Roman" w:cs="Times New Roman"/>
                      <w:szCs w:val="21"/>
                    </w:rPr>
                  </w:pPr>
                  <w:r>
                    <w:rPr>
                      <w:rFonts w:ascii="Times New Roman" w:hAnsi="Times New Roman" w:cs="Times New Roman"/>
                      <w:szCs w:val="21"/>
                    </w:rPr>
                    <w:t>⑨采用落后的生产工艺或生产设备，不符合国家相关产业政策、达不到规模经济的项目禁止入区。</w:t>
                  </w:r>
                </w:p>
                <w:p w14:paraId="517CDA19">
                  <w:pPr>
                    <w:adjustRightInd w:val="0"/>
                    <w:snapToGrid w:val="0"/>
                    <w:jc w:val="center"/>
                    <w:rPr>
                      <w:rFonts w:ascii="Times New Roman" w:hAnsi="Times New Roman" w:cs="Times New Roman"/>
                      <w:szCs w:val="21"/>
                    </w:rPr>
                  </w:pPr>
                  <w:r>
                    <w:rPr>
                      <w:rFonts w:ascii="Times New Roman" w:hAnsi="Times New Roman" w:cs="Times New Roman"/>
                      <w:szCs w:val="21"/>
                    </w:rPr>
                    <w:t>⑩列入《陕西省关中地区治污降霾重点行业项目建设指导目录（2017年本）》中禁止建设的产业。</w:t>
                  </w:r>
                </w:p>
                <w:p w14:paraId="79E7EA0C">
                  <w:pPr>
                    <w:adjustRightInd w:val="0"/>
                    <w:snapToGrid w:val="0"/>
                    <w:jc w:val="center"/>
                    <w:rPr>
                      <w:rFonts w:ascii="Times New Roman" w:hAnsi="Times New Roman" w:cs="Times New Roman"/>
                      <w:szCs w:val="21"/>
                    </w:rPr>
                  </w:pPr>
                  <w:r>
                    <w:rPr>
                      <w:rFonts w:ascii="Times New Roman" w:hAnsi="Times New Roman" w:cs="Times New Roman"/>
                      <w:szCs w:val="21"/>
                    </w:rPr>
                    <w:t>⑪园区不得新增涉5种重点重金属（镉、汞、砷、铅、六价铬）排放企业，确需入园的，实行园区内等量消减。</w:t>
                  </w:r>
                </w:p>
              </w:tc>
              <w:tc>
                <w:tcPr>
                  <w:tcW w:w="1196" w:type="pct"/>
                  <w:tcBorders>
                    <w:tl2br w:val="nil"/>
                    <w:tr2bl w:val="nil"/>
                  </w:tcBorders>
                  <w:vAlign w:val="center"/>
                </w:tcPr>
                <w:p w14:paraId="04B2EF26">
                  <w:pPr>
                    <w:adjustRightInd w:val="0"/>
                    <w:snapToGrid w:val="0"/>
                    <w:jc w:val="left"/>
                    <w:rPr>
                      <w:rFonts w:ascii="Times New Roman" w:hAnsi="Times New Roman" w:cs="Times New Roman"/>
                      <w:color w:val="auto"/>
                      <w:szCs w:val="21"/>
                    </w:rPr>
                  </w:pPr>
                  <w:r>
                    <w:rPr>
                      <w:rFonts w:ascii="Times New Roman" w:hAnsi="Times New Roman" w:cs="Times New Roman"/>
                      <w:color w:val="auto"/>
                      <w:szCs w:val="21"/>
                    </w:rPr>
                    <w:t>①</w:t>
                  </w:r>
                  <w:r>
                    <w:rPr>
                      <w:rFonts w:hint="eastAsia" w:ascii="Times New Roman" w:hAnsi="Times New Roman" w:cs="Times New Roman"/>
                      <w:color w:val="auto"/>
                      <w:szCs w:val="21"/>
                    </w:rPr>
                    <w:t>对照</w:t>
                  </w:r>
                  <w:r>
                    <w:rPr>
                      <w:rFonts w:ascii="Times New Roman" w:hAnsi="Times New Roman" w:cs="Times New Roman"/>
                      <w:color w:val="auto"/>
                      <w:szCs w:val="21"/>
                    </w:rPr>
                    <w:t>《产业结构调整目录》（202</w:t>
                  </w:r>
                  <w:r>
                    <w:rPr>
                      <w:rFonts w:hint="eastAsia" w:ascii="Times New Roman" w:hAnsi="Times New Roman" w:cs="Times New Roman"/>
                      <w:color w:val="auto"/>
                      <w:szCs w:val="21"/>
                    </w:rPr>
                    <w:t>4</w:t>
                  </w:r>
                  <w:r>
                    <w:rPr>
                      <w:rFonts w:ascii="Times New Roman" w:hAnsi="Times New Roman" w:cs="Times New Roman"/>
                      <w:color w:val="auto"/>
                      <w:szCs w:val="21"/>
                    </w:rPr>
                    <w:t>年）</w:t>
                  </w:r>
                  <w:r>
                    <w:rPr>
                      <w:rFonts w:hint="eastAsia" w:ascii="Times New Roman" w:hAnsi="Times New Roman" w:cs="Times New Roman"/>
                      <w:color w:val="auto"/>
                      <w:szCs w:val="21"/>
                    </w:rPr>
                    <w:t>，本项目不在禁止类和限制类范围，应属于允许</w:t>
                  </w:r>
                  <w:r>
                    <w:rPr>
                      <w:rFonts w:ascii="Times New Roman" w:hAnsi="Times New Roman" w:cs="Times New Roman"/>
                      <w:color w:val="auto"/>
                      <w:szCs w:val="21"/>
                    </w:rPr>
                    <w:t>类。</w:t>
                  </w:r>
                </w:p>
                <w:p w14:paraId="3F86C26B">
                  <w:pPr>
                    <w:adjustRightInd w:val="0"/>
                    <w:snapToGrid w:val="0"/>
                    <w:jc w:val="left"/>
                    <w:rPr>
                      <w:rFonts w:ascii="Times New Roman" w:hAnsi="Times New Roman" w:cs="Times New Roman"/>
                      <w:color w:val="auto"/>
                      <w:szCs w:val="21"/>
                    </w:rPr>
                  </w:pPr>
                  <w:r>
                    <w:rPr>
                      <w:rFonts w:ascii="Times New Roman" w:hAnsi="Times New Roman" w:cs="Times New Roman"/>
                      <w:color w:val="auto"/>
                      <w:szCs w:val="21"/>
                    </w:rPr>
                    <w:t>②使用先进的生产线，不属于国家明令淘汰的落后生产能力、工艺。</w:t>
                  </w:r>
                </w:p>
                <w:p w14:paraId="273806CE">
                  <w:pPr>
                    <w:adjustRightInd w:val="0"/>
                    <w:snapToGrid w:val="0"/>
                    <w:jc w:val="left"/>
                    <w:rPr>
                      <w:rFonts w:ascii="Times New Roman" w:hAnsi="Times New Roman" w:cs="Times New Roman"/>
                      <w:color w:val="auto"/>
                      <w:szCs w:val="21"/>
                    </w:rPr>
                  </w:pPr>
                  <w:r>
                    <w:rPr>
                      <w:rFonts w:ascii="Times New Roman" w:hAnsi="Times New Roman" w:cs="Times New Roman"/>
                      <w:color w:val="auto"/>
                      <w:szCs w:val="21"/>
                    </w:rPr>
                    <w:t>③本项目产品广泛运用于</w:t>
                  </w:r>
                  <w:r>
                    <w:rPr>
                      <w:rFonts w:hint="eastAsia" w:ascii="Times New Roman" w:hAnsi="Times New Roman" w:cs="Times New Roman"/>
                      <w:color w:val="auto"/>
                      <w:szCs w:val="21"/>
                    </w:rPr>
                    <w:t>轨道交通</w:t>
                  </w:r>
                  <w:r>
                    <w:rPr>
                      <w:rFonts w:ascii="Times New Roman" w:hAnsi="Times New Roman" w:cs="Times New Roman"/>
                      <w:color w:val="auto"/>
                      <w:szCs w:val="21"/>
                    </w:rPr>
                    <w:t>。</w:t>
                  </w:r>
                </w:p>
                <w:p w14:paraId="382A3226">
                  <w:pPr>
                    <w:adjustRightInd w:val="0"/>
                    <w:snapToGrid w:val="0"/>
                    <w:jc w:val="left"/>
                    <w:rPr>
                      <w:rFonts w:ascii="Times New Roman" w:hAnsi="Times New Roman" w:cs="Times New Roman"/>
                      <w:color w:val="auto"/>
                      <w:szCs w:val="21"/>
                    </w:rPr>
                  </w:pPr>
                  <w:r>
                    <w:rPr>
                      <w:rFonts w:ascii="Times New Roman" w:hAnsi="Times New Roman" w:cs="Times New Roman"/>
                      <w:color w:val="auto"/>
                      <w:szCs w:val="21"/>
                    </w:rPr>
                    <w:t>④不属于禁止投资建设的工艺，产品。</w:t>
                  </w:r>
                </w:p>
                <w:p w14:paraId="5ADDC35C">
                  <w:pPr>
                    <w:adjustRightInd w:val="0"/>
                    <w:snapToGrid w:val="0"/>
                    <w:jc w:val="left"/>
                    <w:rPr>
                      <w:rFonts w:ascii="Times New Roman" w:hAnsi="Times New Roman" w:cs="Times New Roman"/>
                      <w:color w:val="auto"/>
                      <w:szCs w:val="21"/>
                    </w:rPr>
                  </w:pPr>
                  <w:r>
                    <w:rPr>
                      <w:rFonts w:ascii="Times New Roman" w:hAnsi="Times New Roman" w:cs="Times New Roman"/>
                      <w:color w:val="auto"/>
                      <w:szCs w:val="21"/>
                    </w:rPr>
                    <w:t>⑤不属于限制和禁止外商投资产业。</w:t>
                  </w:r>
                </w:p>
                <w:p w14:paraId="7036B5C1">
                  <w:pPr>
                    <w:adjustRightInd w:val="0"/>
                    <w:snapToGrid w:val="0"/>
                    <w:jc w:val="left"/>
                    <w:rPr>
                      <w:rFonts w:ascii="Times New Roman" w:hAnsi="Times New Roman" w:cs="Times New Roman"/>
                      <w:color w:val="auto"/>
                      <w:szCs w:val="21"/>
                    </w:rPr>
                  </w:pPr>
                  <w:r>
                    <w:rPr>
                      <w:rFonts w:ascii="Times New Roman" w:hAnsi="Times New Roman" w:cs="Times New Roman"/>
                      <w:color w:val="auto"/>
                      <w:szCs w:val="21"/>
                    </w:rPr>
                    <w:t>⑥本项目不属于国家明确禁止建设的</w:t>
                  </w:r>
                  <w:r>
                    <w:rPr>
                      <w:rFonts w:hint="eastAsia" w:ascii="Times New Roman" w:hAnsi="Times New Roman" w:cs="Times New Roman"/>
                      <w:color w:val="auto"/>
                      <w:szCs w:val="21"/>
                    </w:rPr>
                    <w:t>“</w:t>
                  </w:r>
                  <w:r>
                    <w:rPr>
                      <w:rFonts w:ascii="Times New Roman" w:hAnsi="Times New Roman" w:cs="Times New Roman"/>
                      <w:color w:val="auto"/>
                      <w:szCs w:val="21"/>
                    </w:rPr>
                    <w:t>十五小</w:t>
                  </w:r>
                  <w:r>
                    <w:rPr>
                      <w:rFonts w:hint="eastAsia" w:ascii="Times New Roman" w:hAnsi="Times New Roman" w:cs="Times New Roman"/>
                      <w:color w:val="auto"/>
                      <w:szCs w:val="21"/>
                    </w:rPr>
                    <w:t>”</w:t>
                  </w:r>
                  <w:r>
                    <w:rPr>
                      <w:rFonts w:ascii="Times New Roman" w:hAnsi="Times New Roman" w:cs="Times New Roman"/>
                      <w:color w:val="auto"/>
                      <w:szCs w:val="21"/>
                    </w:rPr>
                    <w:t>项目，</w:t>
                  </w:r>
                  <w:r>
                    <w:rPr>
                      <w:rFonts w:hint="eastAsia" w:ascii="Times New Roman" w:hAnsi="Times New Roman" w:cs="Times New Roman"/>
                      <w:color w:val="auto"/>
                      <w:szCs w:val="21"/>
                    </w:rPr>
                    <w:t>“</w:t>
                  </w:r>
                  <w:r>
                    <w:rPr>
                      <w:rFonts w:ascii="Times New Roman" w:hAnsi="Times New Roman" w:cs="Times New Roman"/>
                      <w:color w:val="auto"/>
                      <w:szCs w:val="21"/>
                    </w:rPr>
                    <w:t>新五小</w:t>
                  </w:r>
                  <w:r>
                    <w:rPr>
                      <w:rFonts w:hint="eastAsia" w:ascii="Times New Roman" w:hAnsi="Times New Roman" w:cs="Times New Roman"/>
                      <w:color w:val="auto"/>
                      <w:szCs w:val="21"/>
                    </w:rPr>
                    <w:t>”</w:t>
                  </w:r>
                  <w:r>
                    <w:rPr>
                      <w:rFonts w:ascii="Times New Roman" w:hAnsi="Times New Roman" w:cs="Times New Roman"/>
                      <w:color w:val="auto"/>
                      <w:szCs w:val="21"/>
                    </w:rPr>
                    <w:t>项目。</w:t>
                  </w:r>
                </w:p>
                <w:p w14:paraId="6F55B67C">
                  <w:pPr>
                    <w:adjustRightInd w:val="0"/>
                    <w:snapToGrid w:val="0"/>
                    <w:jc w:val="left"/>
                    <w:rPr>
                      <w:rFonts w:ascii="Times New Roman" w:hAnsi="Times New Roman" w:cs="Times New Roman"/>
                      <w:color w:val="auto"/>
                      <w:szCs w:val="21"/>
                    </w:rPr>
                  </w:pPr>
                  <w:r>
                    <w:rPr>
                      <w:rFonts w:ascii="Times New Roman" w:hAnsi="Times New Roman" w:cs="Times New Roman"/>
                      <w:color w:val="auto"/>
                      <w:szCs w:val="21"/>
                    </w:rPr>
                    <w:t>⑦本项目使用先进的技术，废气经处理后达标排放，经估算污染物可达标排放。</w:t>
                  </w:r>
                </w:p>
                <w:p w14:paraId="188432BD">
                  <w:pPr>
                    <w:adjustRightInd w:val="0"/>
                    <w:snapToGrid w:val="0"/>
                    <w:jc w:val="left"/>
                    <w:rPr>
                      <w:rFonts w:ascii="Times New Roman" w:hAnsi="Times New Roman" w:cs="Times New Roman"/>
                      <w:color w:val="auto"/>
                      <w:szCs w:val="21"/>
                    </w:rPr>
                  </w:pPr>
                  <w:r>
                    <w:rPr>
                      <w:rFonts w:ascii="Times New Roman" w:hAnsi="Times New Roman" w:cs="Times New Roman"/>
                      <w:color w:val="auto"/>
                      <w:szCs w:val="21"/>
                    </w:rPr>
                    <w:t>⑧不属于国家和地方产业政策中禁止的项目。</w:t>
                  </w:r>
                </w:p>
                <w:p w14:paraId="162F80B6">
                  <w:pPr>
                    <w:adjustRightInd w:val="0"/>
                    <w:snapToGrid w:val="0"/>
                    <w:jc w:val="left"/>
                    <w:rPr>
                      <w:rFonts w:ascii="Times New Roman" w:hAnsi="Times New Roman" w:cs="Times New Roman"/>
                      <w:color w:val="auto"/>
                      <w:szCs w:val="21"/>
                    </w:rPr>
                  </w:pPr>
                  <w:r>
                    <w:rPr>
                      <w:rFonts w:ascii="Times New Roman" w:hAnsi="Times New Roman" w:cs="Times New Roman"/>
                      <w:color w:val="auto"/>
                      <w:szCs w:val="21"/>
                    </w:rPr>
                    <w:t>⑨本项目不涉及经济规模限制。</w:t>
                  </w:r>
                </w:p>
                <w:p w14:paraId="6E6A09C4">
                  <w:pPr>
                    <w:adjustRightInd w:val="0"/>
                    <w:snapToGrid w:val="0"/>
                    <w:jc w:val="left"/>
                    <w:rPr>
                      <w:rFonts w:ascii="Times New Roman" w:hAnsi="Times New Roman" w:cs="Times New Roman"/>
                      <w:color w:val="auto"/>
                      <w:szCs w:val="21"/>
                    </w:rPr>
                  </w:pPr>
                  <w:r>
                    <w:rPr>
                      <w:rFonts w:ascii="Times New Roman" w:hAnsi="Times New Roman" w:cs="Times New Roman"/>
                      <w:color w:val="auto"/>
                      <w:szCs w:val="21"/>
                    </w:rPr>
                    <w:t>⑩本项目不列入《陕西省关中地区治污降霾重点行业项目建设指导目录（2017年本）》中禁止建设的产业。</w:t>
                  </w:r>
                </w:p>
                <w:p w14:paraId="1B7F9942">
                  <w:pPr>
                    <w:adjustRightInd w:val="0"/>
                    <w:snapToGrid w:val="0"/>
                    <w:jc w:val="center"/>
                    <w:rPr>
                      <w:rFonts w:ascii="Times New Roman" w:hAnsi="Times New Roman" w:cs="Times New Roman"/>
                      <w:szCs w:val="21"/>
                    </w:rPr>
                  </w:pPr>
                  <w:r>
                    <w:rPr>
                      <w:rFonts w:ascii="Times New Roman" w:hAnsi="Times New Roman" w:cs="Times New Roman"/>
                      <w:color w:val="auto"/>
                      <w:szCs w:val="21"/>
                    </w:rPr>
                    <w:t>⑪</w:t>
                  </w:r>
                  <w:r>
                    <w:rPr>
                      <w:rFonts w:hint="eastAsia" w:ascii="Times New Roman" w:hAnsi="Times New Roman" w:cs="Times New Roman"/>
                      <w:color w:val="auto"/>
                      <w:szCs w:val="21"/>
                    </w:rPr>
                    <w:t>本项目涉及的重金属主要为锌，不涉及上述5种重点管控的重金属</w:t>
                  </w:r>
                  <w:r>
                    <w:rPr>
                      <w:rFonts w:hint="eastAsia" w:ascii="Times New Roman" w:hAnsi="Times New Roman" w:cs="Times New Roman"/>
                      <w:color w:val="auto"/>
                      <w:szCs w:val="21"/>
                      <w:lang w:eastAsia="zh-CN"/>
                    </w:rPr>
                    <w:t>。</w:t>
                  </w:r>
                </w:p>
              </w:tc>
              <w:tc>
                <w:tcPr>
                  <w:tcW w:w="583" w:type="pct"/>
                  <w:tcBorders>
                    <w:tl2br w:val="nil"/>
                    <w:tr2bl w:val="nil"/>
                  </w:tcBorders>
                  <w:vAlign w:val="center"/>
                </w:tcPr>
                <w:p w14:paraId="7A3939F3">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0173A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1" w:hRule="atLeast"/>
              </w:trPr>
              <w:tc>
                <w:tcPr>
                  <w:tcW w:w="254" w:type="pct"/>
                  <w:tcBorders>
                    <w:tl2br w:val="nil"/>
                    <w:tr2bl w:val="nil"/>
                  </w:tcBorders>
                  <w:vAlign w:val="center"/>
                </w:tcPr>
                <w:p w14:paraId="17B1B6D8">
                  <w:pPr>
                    <w:adjustRightInd w:val="0"/>
                    <w:snapToGrid w:val="0"/>
                    <w:jc w:val="center"/>
                    <w:rPr>
                      <w:rFonts w:ascii="Times New Roman" w:hAnsi="Times New Roman" w:cs="Times New Roman"/>
                      <w:szCs w:val="21"/>
                    </w:rPr>
                  </w:pPr>
                  <w:r>
                    <w:rPr>
                      <w:rFonts w:ascii="Times New Roman" w:hAnsi="Times New Roman" w:cs="Times New Roman"/>
                      <w:szCs w:val="21"/>
                    </w:rPr>
                    <w:t>3</w:t>
                  </w:r>
                </w:p>
              </w:tc>
              <w:tc>
                <w:tcPr>
                  <w:tcW w:w="988" w:type="pct"/>
                  <w:vMerge w:val="restart"/>
                  <w:tcBorders>
                    <w:tl2br w:val="nil"/>
                    <w:tr2bl w:val="nil"/>
                  </w:tcBorders>
                  <w:vAlign w:val="center"/>
                </w:tcPr>
                <w:p w14:paraId="1A43B101">
                  <w:pPr>
                    <w:adjustRightInd w:val="0"/>
                    <w:snapToGrid w:val="0"/>
                    <w:jc w:val="center"/>
                    <w:rPr>
                      <w:rFonts w:ascii="Times New Roman" w:hAnsi="Times New Roman" w:cs="Times New Roman"/>
                      <w:szCs w:val="21"/>
                    </w:rPr>
                  </w:pPr>
                  <w:r>
                    <w:rPr>
                      <w:rFonts w:ascii="Times New Roman" w:hAnsi="Times New Roman" w:cs="Times New Roman"/>
                      <w:szCs w:val="21"/>
                    </w:rPr>
                    <w:t>《姜谭经济技术开发区总体规划（2019-2035）（修编）环境影响报告书》审查意见</w:t>
                  </w:r>
                </w:p>
              </w:tc>
              <w:tc>
                <w:tcPr>
                  <w:tcW w:w="1976" w:type="pct"/>
                  <w:tcBorders>
                    <w:tl2br w:val="nil"/>
                    <w:tr2bl w:val="nil"/>
                  </w:tcBorders>
                  <w:vAlign w:val="center"/>
                </w:tcPr>
                <w:p w14:paraId="7C915F75">
                  <w:pPr>
                    <w:adjustRightInd w:val="0"/>
                    <w:snapToGrid w:val="0"/>
                    <w:jc w:val="center"/>
                    <w:rPr>
                      <w:rFonts w:hint="eastAsia" w:ascii="Times New Roman" w:hAnsi="Times New Roman" w:cs="Times New Roman" w:eastAsiaTheme="minorEastAsia"/>
                      <w:szCs w:val="21"/>
                      <w:lang w:eastAsia="zh-CN"/>
                    </w:rPr>
                  </w:pPr>
                  <w:r>
                    <w:rPr>
                      <w:rFonts w:ascii="Times New Roman" w:hAnsi="Times New Roman" w:cs="Times New Roman"/>
                      <w:b/>
                      <w:bCs/>
                      <w:szCs w:val="21"/>
                    </w:rPr>
                    <w:t>重点论述</w:t>
                  </w:r>
                  <w:r>
                    <w:rPr>
                      <w:rFonts w:ascii="Times New Roman" w:hAnsi="Times New Roman" w:cs="Times New Roman"/>
                      <w:szCs w:val="21"/>
                    </w:rPr>
                    <w:t>：拟入区建设项目，应结合《报告书》提出的指导意见做好环境影响评价工作，落实《报告书》提出的要求，重点开展工程分析、环境影响评价和环保措施的可行性论证，强化环境监测和环境保护相关措施的落实</w:t>
                  </w:r>
                  <w:r>
                    <w:rPr>
                      <w:rFonts w:hint="eastAsia" w:ascii="Times New Roman" w:hAnsi="Times New Roman" w:cs="Times New Roman"/>
                      <w:szCs w:val="21"/>
                      <w:lang w:eastAsia="zh-CN"/>
                    </w:rPr>
                    <w:t>。</w:t>
                  </w:r>
                </w:p>
              </w:tc>
              <w:tc>
                <w:tcPr>
                  <w:tcW w:w="1845" w:type="dxa"/>
                  <w:tcBorders>
                    <w:tl2br w:val="nil"/>
                    <w:tr2bl w:val="nil"/>
                  </w:tcBorders>
                  <w:vAlign w:val="center"/>
                </w:tcPr>
                <w:p w14:paraId="67482468">
                  <w:pPr>
                    <w:adjustRightInd w:val="0"/>
                    <w:snapToGrid w:val="0"/>
                    <w:jc w:val="left"/>
                    <w:rPr>
                      <w:rFonts w:ascii="Times New Roman" w:hAnsi="Times New Roman" w:cs="Times New Roman"/>
                      <w:szCs w:val="21"/>
                    </w:rPr>
                  </w:pPr>
                  <w:r>
                    <w:rPr>
                      <w:rFonts w:ascii="Times New Roman" w:hAnsi="Times New Roman" w:cs="Times New Roman"/>
                      <w:color w:val="auto"/>
                      <w:szCs w:val="21"/>
                    </w:rPr>
                    <w:t>根据上述分析，本项目已落实环境准入和保护要求，本次评价报告着重对工程分析、环境影响评价和环保措施的可行性论证，强化环境监测和环境保护相关措施。</w:t>
                  </w:r>
                </w:p>
              </w:tc>
              <w:tc>
                <w:tcPr>
                  <w:tcW w:w="583" w:type="pct"/>
                  <w:tcBorders>
                    <w:tl2br w:val="nil"/>
                    <w:tr2bl w:val="nil"/>
                  </w:tcBorders>
                  <w:vAlign w:val="center"/>
                </w:tcPr>
                <w:p w14:paraId="0A532D32">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720E7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1" w:hRule="atLeast"/>
              </w:trPr>
              <w:tc>
                <w:tcPr>
                  <w:tcW w:w="254" w:type="pct"/>
                  <w:tcBorders>
                    <w:tl2br w:val="nil"/>
                    <w:tr2bl w:val="nil"/>
                  </w:tcBorders>
                  <w:vAlign w:val="center"/>
                </w:tcPr>
                <w:p w14:paraId="3114DA99">
                  <w:pPr>
                    <w:adjustRightInd w:val="0"/>
                    <w:snapToGrid w:val="0"/>
                    <w:jc w:val="center"/>
                    <w:rPr>
                      <w:rFonts w:ascii="Times New Roman" w:hAnsi="Times New Roman" w:cs="Times New Roman"/>
                      <w:szCs w:val="21"/>
                    </w:rPr>
                  </w:pPr>
                  <w:r>
                    <w:rPr>
                      <w:rFonts w:ascii="Times New Roman" w:hAnsi="Times New Roman" w:cs="Times New Roman"/>
                      <w:szCs w:val="21"/>
                    </w:rPr>
                    <w:t>4</w:t>
                  </w:r>
                </w:p>
              </w:tc>
              <w:tc>
                <w:tcPr>
                  <w:tcW w:w="988" w:type="pct"/>
                  <w:vMerge w:val="continue"/>
                  <w:tcBorders>
                    <w:tl2br w:val="nil"/>
                    <w:tr2bl w:val="nil"/>
                  </w:tcBorders>
                  <w:vAlign w:val="center"/>
                </w:tcPr>
                <w:p w14:paraId="25C53ADD">
                  <w:pPr>
                    <w:adjustRightInd w:val="0"/>
                    <w:snapToGrid w:val="0"/>
                    <w:jc w:val="center"/>
                    <w:rPr>
                      <w:rFonts w:ascii="Times New Roman" w:hAnsi="Times New Roman" w:cs="Times New Roman"/>
                      <w:szCs w:val="21"/>
                    </w:rPr>
                  </w:pPr>
                </w:p>
              </w:tc>
              <w:tc>
                <w:tcPr>
                  <w:tcW w:w="1976" w:type="pct"/>
                  <w:tcBorders>
                    <w:tl2br w:val="nil"/>
                    <w:tr2bl w:val="nil"/>
                  </w:tcBorders>
                  <w:vAlign w:val="center"/>
                </w:tcPr>
                <w:p w14:paraId="557513B8">
                  <w:pPr>
                    <w:adjustRightInd w:val="0"/>
                    <w:snapToGrid w:val="0"/>
                    <w:jc w:val="center"/>
                    <w:rPr>
                      <w:rFonts w:ascii="Times New Roman" w:hAnsi="Times New Roman" w:cs="Times New Roman"/>
                      <w:szCs w:val="21"/>
                    </w:rPr>
                  </w:pPr>
                  <w:r>
                    <w:rPr>
                      <w:rFonts w:ascii="Times New Roman" w:hAnsi="Times New Roman" w:cs="Times New Roman"/>
                      <w:b/>
                      <w:bCs/>
                      <w:szCs w:val="21"/>
                    </w:rPr>
                    <w:t>简化内容</w:t>
                  </w:r>
                  <w:r>
                    <w:rPr>
                      <w:rFonts w:ascii="Times New Roman" w:hAnsi="Times New Roman" w:cs="Times New Roman"/>
                      <w:szCs w:val="21"/>
                    </w:rPr>
                    <w:t>：《报告书》中规划协调性分析、环境现状、污染源调查等资料可供建设项目环评共享，相应评价内容可结合更新情况予以简化。</w:t>
                  </w:r>
                </w:p>
              </w:tc>
              <w:tc>
                <w:tcPr>
                  <w:tcW w:w="1845" w:type="dxa"/>
                  <w:tcBorders>
                    <w:tl2br w:val="nil"/>
                    <w:tr2bl w:val="nil"/>
                  </w:tcBorders>
                  <w:vAlign w:val="center"/>
                </w:tcPr>
                <w:p w14:paraId="7332A969">
                  <w:pPr>
                    <w:adjustRightInd w:val="0"/>
                    <w:snapToGrid w:val="0"/>
                    <w:jc w:val="left"/>
                    <w:rPr>
                      <w:rFonts w:hint="eastAsia" w:ascii="Times New Roman" w:hAnsi="Times New Roman" w:cs="Times New Roman" w:eastAsiaTheme="minorEastAsia"/>
                      <w:szCs w:val="21"/>
                      <w:lang w:eastAsia="zh-CN"/>
                    </w:rPr>
                  </w:pPr>
                  <w:r>
                    <w:rPr>
                      <w:rFonts w:ascii="Times New Roman" w:hAnsi="Times New Roman" w:cs="Times New Roman"/>
                      <w:color w:val="auto"/>
                      <w:szCs w:val="21"/>
                    </w:rPr>
                    <w:t>本次评价报告对满足要求的环境监测数据进行引用</w:t>
                  </w:r>
                  <w:r>
                    <w:rPr>
                      <w:rFonts w:hint="eastAsia" w:ascii="Times New Roman" w:hAnsi="Times New Roman" w:cs="Times New Roman"/>
                      <w:color w:val="auto"/>
                      <w:szCs w:val="21"/>
                      <w:lang w:eastAsia="zh-CN"/>
                    </w:rPr>
                    <w:t>。</w:t>
                  </w:r>
                </w:p>
              </w:tc>
              <w:tc>
                <w:tcPr>
                  <w:tcW w:w="583" w:type="pct"/>
                  <w:tcBorders>
                    <w:tl2br w:val="nil"/>
                    <w:tr2bl w:val="nil"/>
                  </w:tcBorders>
                  <w:vAlign w:val="center"/>
                </w:tcPr>
                <w:p w14:paraId="0F7A8579">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bl>
          <w:p w14:paraId="614428C0">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由上表可知，本项目污染物处置符合国家、地方等相关要求，与</w:t>
            </w:r>
            <w:r>
              <w:rPr>
                <w:rFonts w:hint="eastAsia" w:ascii="Times New Roman" w:hAnsi="Times New Roman" w:cs="Times New Roman"/>
                <w:sz w:val="24"/>
                <w:lang w:eastAsia="zh-CN"/>
              </w:rPr>
              <w:t>《</w:t>
            </w:r>
            <w:r>
              <w:rPr>
                <w:rFonts w:ascii="Times New Roman" w:hAnsi="Times New Roman" w:cs="Times New Roman"/>
                <w:sz w:val="24"/>
              </w:rPr>
              <w:t>姜谭经济技术开发区总体规划（2019-2035）（修编）</w:t>
            </w:r>
            <w:r>
              <w:rPr>
                <w:rFonts w:hint="eastAsia" w:ascii="Times New Roman" w:hAnsi="Times New Roman" w:cs="Times New Roman"/>
                <w:sz w:val="24"/>
                <w:lang w:eastAsia="zh-CN"/>
              </w:rPr>
              <w:t>》《</w:t>
            </w:r>
            <w:r>
              <w:rPr>
                <w:rFonts w:ascii="Times New Roman" w:hAnsi="Times New Roman" w:cs="Times New Roman"/>
                <w:sz w:val="24"/>
              </w:rPr>
              <w:t>姜谭经济技术开发区总体规划（2019-2035）（修编）环境影响报告书</w:t>
            </w:r>
            <w:r>
              <w:rPr>
                <w:rFonts w:hint="eastAsia" w:ascii="Times New Roman" w:hAnsi="Times New Roman" w:cs="Times New Roman"/>
                <w:sz w:val="24"/>
                <w:lang w:eastAsia="zh-CN"/>
              </w:rPr>
              <w:t>》</w:t>
            </w:r>
            <w:r>
              <w:rPr>
                <w:rFonts w:ascii="Times New Roman" w:hAnsi="Times New Roman" w:cs="Times New Roman"/>
                <w:sz w:val="24"/>
              </w:rPr>
              <w:t>结论及审查意见，无环境保护方面制约因素。</w:t>
            </w:r>
          </w:p>
          <w:p w14:paraId="6A51FEC1">
            <w:pPr>
              <w:pStyle w:val="21"/>
              <w:adjustRightInd w:val="0"/>
              <w:snapToGrid w:val="0"/>
              <w:spacing w:beforeAutospacing="0" w:afterAutospacing="0"/>
              <w:jc w:val="center"/>
              <w:rPr>
                <w:rFonts w:hint="default" w:ascii="Times New Roman" w:hAnsi="Times New Roman"/>
                <w:b/>
                <w:bCs/>
                <w:sz w:val="21"/>
                <w:szCs w:val="21"/>
              </w:rPr>
            </w:pPr>
            <w:r>
              <w:rPr>
                <w:rFonts w:hint="default" w:ascii="Times New Roman" w:hAnsi="Times New Roman"/>
                <w:sz w:val="21"/>
                <w:szCs w:val="21"/>
              </w:rPr>
              <w:drawing>
                <wp:anchor distT="0" distB="0" distL="114300" distR="114300" simplePos="0" relativeHeight="251667456" behindDoc="1" locked="0" layoutInCell="1" allowOverlap="1">
                  <wp:simplePos x="0" y="0"/>
                  <wp:positionH relativeFrom="column">
                    <wp:posOffset>81280</wp:posOffset>
                  </wp:positionH>
                  <wp:positionV relativeFrom="paragraph">
                    <wp:posOffset>46355</wp:posOffset>
                  </wp:positionV>
                  <wp:extent cx="4829810" cy="3413125"/>
                  <wp:effectExtent l="0" t="0" r="8890" b="15875"/>
                  <wp:wrapNone/>
                  <wp:docPr id="32" name="图片 17" descr="产业布局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descr="产业布局规划图"/>
                          <pic:cNvPicPr>
                            <a:picLocks noChangeAspect="1"/>
                          </pic:cNvPicPr>
                        </pic:nvPicPr>
                        <pic:blipFill>
                          <a:blip r:embed="rId7"/>
                          <a:stretch>
                            <a:fillRect/>
                          </a:stretch>
                        </pic:blipFill>
                        <pic:spPr>
                          <a:xfrm>
                            <a:off x="0" y="0"/>
                            <a:ext cx="4829810" cy="3413125"/>
                          </a:xfrm>
                          <a:prstGeom prst="rect">
                            <a:avLst/>
                          </a:prstGeom>
                          <a:noFill/>
                          <a:ln>
                            <a:noFill/>
                          </a:ln>
                        </pic:spPr>
                      </pic:pic>
                    </a:graphicData>
                  </a:graphic>
                </wp:anchor>
              </w:drawing>
            </w:r>
          </w:p>
          <w:p w14:paraId="4C979F7F">
            <w:pPr>
              <w:pStyle w:val="21"/>
              <w:adjustRightInd w:val="0"/>
              <w:snapToGrid w:val="0"/>
              <w:spacing w:beforeAutospacing="0" w:afterAutospacing="0"/>
              <w:jc w:val="center"/>
              <w:rPr>
                <w:rFonts w:hint="default" w:ascii="Times New Roman" w:hAnsi="Times New Roman"/>
                <w:b/>
                <w:bCs/>
                <w:sz w:val="21"/>
                <w:szCs w:val="21"/>
              </w:rPr>
            </w:pPr>
          </w:p>
          <w:p w14:paraId="356DD3B2">
            <w:pPr>
              <w:pStyle w:val="21"/>
              <w:adjustRightInd w:val="0"/>
              <w:snapToGrid w:val="0"/>
              <w:spacing w:beforeAutospacing="0" w:afterAutospacing="0"/>
              <w:jc w:val="center"/>
              <w:rPr>
                <w:rFonts w:hint="default" w:ascii="Times New Roman" w:hAnsi="Times New Roman"/>
                <w:b/>
                <w:bCs/>
                <w:sz w:val="21"/>
                <w:szCs w:val="21"/>
              </w:rPr>
            </w:pPr>
          </w:p>
          <w:p w14:paraId="31F68A4D">
            <w:pPr>
              <w:pStyle w:val="21"/>
              <w:adjustRightInd w:val="0"/>
              <w:snapToGrid w:val="0"/>
              <w:spacing w:beforeAutospacing="0" w:afterAutospacing="0"/>
              <w:jc w:val="center"/>
              <w:rPr>
                <w:rFonts w:hint="default" w:ascii="Times New Roman" w:hAnsi="Times New Roman"/>
                <w:b/>
                <w:bCs/>
                <w:sz w:val="21"/>
                <w:szCs w:val="21"/>
              </w:rPr>
            </w:pPr>
          </w:p>
          <w:p w14:paraId="7D6CAB92">
            <w:pPr>
              <w:pStyle w:val="21"/>
              <w:adjustRightInd w:val="0"/>
              <w:snapToGrid w:val="0"/>
              <w:spacing w:beforeAutospacing="0" w:afterAutospacing="0"/>
              <w:jc w:val="center"/>
              <w:rPr>
                <w:rFonts w:hint="default" w:ascii="Times New Roman" w:hAnsi="Times New Roman"/>
                <w:b/>
                <w:bCs/>
                <w:sz w:val="21"/>
                <w:szCs w:val="21"/>
              </w:rPr>
            </w:pPr>
            <w:r>
              <w:rPr>
                <w:sz w:val="21"/>
                <w:szCs w:val="21"/>
              </w:rPr>
              <mc:AlternateContent>
                <mc:Choice Requires="wps">
                  <w:drawing>
                    <wp:anchor distT="0" distB="0" distL="114300" distR="114300" simplePos="0" relativeHeight="251664384" behindDoc="0" locked="0" layoutInCell="1" allowOverlap="1">
                      <wp:simplePos x="0" y="0"/>
                      <wp:positionH relativeFrom="column">
                        <wp:posOffset>2729230</wp:posOffset>
                      </wp:positionH>
                      <wp:positionV relativeFrom="paragraph">
                        <wp:posOffset>58420</wp:posOffset>
                      </wp:positionV>
                      <wp:extent cx="952500" cy="277495"/>
                      <wp:effectExtent l="62865" t="6350" r="13335" b="421005"/>
                      <wp:wrapNone/>
                      <wp:docPr id="11" name="矩形标注 11"/>
                      <wp:cNvGraphicFramePr/>
                      <a:graphic xmlns:a="http://schemas.openxmlformats.org/drawingml/2006/main">
                        <a:graphicData uri="http://schemas.microsoft.com/office/word/2010/wordprocessingShape">
                          <wps:wsp>
                            <wps:cNvSpPr/>
                            <wps:spPr>
                              <a:xfrm>
                                <a:off x="4156075" y="4315460"/>
                                <a:ext cx="952500" cy="277495"/>
                              </a:xfrm>
                              <a:prstGeom prst="wedgeRectCallout">
                                <a:avLst>
                                  <a:gd name="adj1" fmla="val -54375"/>
                                  <a:gd name="adj2" fmla="val 189787"/>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7EAFCBB5">
                                  <w:pPr>
                                    <w:rPr>
                                      <w:b/>
                                      <w:bCs/>
                                      <w:sz w:val="18"/>
                                      <w:szCs w:val="21"/>
                                    </w:rPr>
                                  </w:pPr>
                                  <w:r>
                                    <w:rPr>
                                      <w:rFonts w:hint="eastAsia"/>
                                      <w:b/>
                                      <w:bCs/>
                                      <w:sz w:val="18"/>
                                      <w:szCs w:val="21"/>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14.9pt;margin-top:4.6pt;height:21.85pt;width:75pt;z-index:251664384;v-text-anchor:middle;mso-width-relative:page;mso-height-relative:page;" fillcolor="#5B9BD5 [3204]" filled="t" stroked="t" coordsize="21600,21600" o:gfxdata="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PmdmdHYAAAACAEAAA8AAAAAAAAAAQAgAAAAIgAAAGRycy9kb3ducmV2LnhtbFBLAQIUABQAAAAI&#10;AIdO4kADU95V0QIAAJMFAAAOAAAAAAAAAAEAIAAAACcBAABkcnMvZTJvRG9jLnhtbFBLBQYAAAAA&#10;BgAGAFkBAABqBgAAAAA=&#10;" adj="-945,51794">
                      <v:fill on="t" focussize="0,0"/>
                      <v:stroke weight="1pt" color="#2E75B6 [2404]" miterlimit="8" joinstyle="miter"/>
                      <v:imagedata o:title=""/>
                      <o:lock v:ext="edit" aspectratio="f"/>
                      <v:textbox>
                        <w:txbxContent>
                          <w:p w14:paraId="7EAFCBB5">
                            <w:pPr>
                              <w:rPr>
                                <w:b/>
                                <w:bCs/>
                                <w:sz w:val="18"/>
                                <w:szCs w:val="21"/>
                              </w:rPr>
                            </w:pPr>
                            <w:r>
                              <w:rPr>
                                <w:rFonts w:hint="eastAsia"/>
                                <w:b/>
                                <w:bCs/>
                                <w:sz w:val="18"/>
                                <w:szCs w:val="21"/>
                              </w:rPr>
                              <w:t>本项目所在地</w:t>
                            </w:r>
                          </w:p>
                        </w:txbxContent>
                      </v:textbox>
                    </v:shape>
                  </w:pict>
                </mc:Fallback>
              </mc:AlternateContent>
            </w:r>
          </w:p>
          <w:p w14:paraId="25250E62">
            <w:pPr>
              <w:pStyle w:val="21"/>
              <w:adjustRightInd w:val="0"/>
              <w:snapToGrid w:val="0"/>
              <w:spacing w:beforeAutospacing="0" w:afterAutospacing="0"/>
              <w:jc w:val="center"/>
              <w:rPr>
                <w:rFonts w:hint="default" w:ascii="Times New Roman" w:hAnsi="Times New Roman"/>
                <w:b/>
                <w:bCs/>
                <w:sz w:val="21"/>
                <w:szCs w:val="21"/>
              </w:rPr>
            </w:pPr>
          </w:p>
          <w:p w14:paraId="71769EDB">
            <w:pPr>
              <w:pStyle w:val="21"/>
              <w:adjustRightInd w:val="0"/>
              <w:snapToGrid w:val="0"/>
              <w:spacing w:beforeAutospacing="0" w:afterAutospacing="0"/>
              <w:jc w:val="center"/>
              <w:rPr>
                <w:rFonts w:hint="default" w:ascii="Times New Roman" w:hAnsi="Times New Roman"/>
                <w:b/>
                <w:bCs/>
                <w:sz w:val="21"/>
                <w:szCs w:val="21"/>
              </w:rPr>
            </w:pPr>
          </w:p>
          <w:p w14:paraId="3E9A52D1">
            <w:pPr>
              <w:pStyle w:val="21"/>
              <w:adjustRightInd w:val="0"/>
              <w:snapToGrid w:val="0"/>
              <w:spacing w:beforeAutospacing="0" w:afterAutospacing="0"/>
              <w:jc w:val="center"/>
              <w:rPr>
                <w:rFonts w:hint="default" w:ascii="Times New Roman" w:hAnsi="Times New Roman"/>
                <w:b/>
                <w:bCs/>
                <w:sz w:val="21"/>
                <w:szCs w:val="21"/>
              </w:rPr>
            </w:pPr>
          </w:p>
          <w:p w14:paraId="200466C6">
            <w:pPr>
              <w:pStyle w:val="21"/>
              <w:adjustRightInd w:val="0"/>
              <w:snapToGrid w:val="0"/>
              <w:spacing w:beforeAutospacing="0" w:afterAutospacing="0"/>
              <w:jc w:val="center"/>
              <w:rPr>
                <w:rFonts w:hint="default" w:ascii="Times New Roman" w:hAnsi="Times New Roman"/>
                <w:b/>
                <w:bCs/>
                <w:sz w:val="21"/>
                <w:szCs w:val="21"/>
              </w:rPr>
            </w:pPr>
            <w:r>
              <w:rPr>
                <w:sz w:val="21"/>
                <w:szCs w:val="21"/>
              </w:rPr>
              <mc:AlternateContent>
                <mc:Choice Requires="wps">
                  <w:drawing>
                    <wp:anchor distT="0" distB="0" distL="114300" distR="114300" simplePos="0" relativeHeight="251663360" behindDoc="0" locked="0" layoutInCell="1" allowOverlap="1">
                      <wp:simplePos x="0" y="0"/>
                      <wp:positionH relativeFrom="column">
                        <wp:posOffset>2620645</wp:posOffset>
                      </wp:positionH>
                      <wp:positionV relativeFrom="paragraph">
                        <wp:posOffset>108585</wp:posOffset>
                      </wp:positionV>
                      <wp:extent cx="75565" cy="75565"/>
                      <wp:effectExtent l="19050" t="21590" r="19685" b="17145"/>
                      <wp:wrapNone/>
                      <wp:docPr id="10" name="五角星 10"/>
                      <wp:cNvGraphicFramePr/>
                      <a:graphic xmlns:a="http://schemas.openxmlformats.org/drawingml/2006/main">
                        <a:graphicData uri="http://schemas.microsoft.com/office/word/2010/wordprocessingShape">
                          <wps:wsp>
                            <wps:cNvSpPr/>
                            <wps:spPr>
                              <a:xfrm>
                                <a:off x="4041775" y="4902835"/>
                                <a:ext cx="75565" cy="75565"/>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06.35pt;margin-top:8.55pt;height:5.95pt;width:5.95pt;z-index:251663360;v-text-anchor:middle;mso-width-relative:page;mso-height-relative:page;" fillcolor="#FF0000" filled="t" stroked="t" coordsize="75565,75565" o:gfxdata="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Cw80Y2QAAAAkBAAAPAAAAAAAAAAEAIAAAACIA&#10;AABkcnMvZG93bnJldi54bWxQSwECFAAUAAAACACHTuJAjhrUU3oCAAADBQAADgAAAAAAAAABACAA&#10;AAAoAQAAZHJzL2Uyb0RvYy54bWxQSwUGAAAAAAYABgBZAQAAFAYAAAAA&#10;" path="m0,28863l28863,28863,37782,0,46701,28863,75564,28863,52213,46701,61133,75564,37782,57726,14431,75564,23351,46701xe">
                      <v:path o:connectlocs="37782,0;0,28863;14431,75564;61133,75564;75564,28863" o:connectangles="247,164,82,82,0"/>
                      <v:fill on="t" focussize="0,0"/>
                      <v:stroke weight="1pt" color="#FF0000 [2404]" miterlimit="8" joinstyle="miter"/>
                      <v:imagedata o:title=""/>
                      <o:lock v:ext="edit" aspectratio="f"/>
                    </v:shape>
                  </w:pict>
                </mc:Fallback>
              </mc:AlternateContent>
            </w:r>
          </w:p>
          <w:p w14:paraId="67F6D5B3">
            <w:pPr>
              <w:pStyle w:val="21"/>
              <w:adjustRightInd w:val="0"/>
              <w:snapToGrid w:val="0"/>
              <w:spacing w:beforeAutospacing="0" w:afterAutospacing="0"/>
              <w:jc w:val="center"/>
              <w:rPr>
                <w:rFonts w:hint="default" w:ascii="Times New Roman" w:hAnsi="Times New Roman"/>
                <w:b/>
                <w:bCs/>
                <w:sz w:val="21"/>
                <w:szCs w:val="21"/>
              </w:rPr>
            </w:pPr>
          </w:p>
          <w:p w14:paraId="134C9B40">
            <w:pPr>
              <w:pStyle w:val="21"/>
              <w:adjustRightInd w:val="0"/>
              <w:snapToGrid w:val="0"/>
              <w:spacing w:beforeAutospacing="0" w:afterAutospacing="0"/>
              <w:jc w:val="center"/>
              <w:rPr>
                <w:rFonts w:hint="default" w:ascii="Times New Roman" w:hAnsi="Times New Roman"/>
                <w:b/>
                <w:bCs/>
                <w:sz w:val="21"/>
                <w:szCs w:val="21"/>
              </w:rPr>
            </w:pPr>
          </w:p>
          <w:p w14:paraId="188C7815">
            <w:pPr>
              <w:pStyle w:val="21"/>
              <w:adjustRightInd w:val="0"/>
              <w:snapToGrid w:val="0"/>
              <w:spacing w:beforeAutospacing="0" w:afterAutospacing="0"/>
              <w:jc w:val="center"/>
              <w:rPr>
                <w:rFonts w:hint="default" w:ascii="Times New Roman" w:hAnsi="Times New Roman"/>
                <w:b/>
                <w:bCs/>
                <w:sz w:val="21"/>
                <w:szCs w:val="21"/>
              </w:rPr>
            </w:pPr>
          </w:p>
          <w:p w14:paraId="3601C46E">
            <w:pPr>
              <w:pStyle w:val="21"/>
              <w:adjustRightInd w:val="0"/>
              <w:snapToGrid w:val="0"/>
              <w:spacing w:beforeAutospacing="0" w:afterAutospacing="0"/>
              <w:jc w:val="center"/>
              <w:rPr>
                <w:rFonts w:hint="default" w:ascii="Times New Roman" w:hAnsi="Times New Roman"/>
                <w:b/>
                <w:bCs/>
                <w:sz w:val="21"/>
                <w:szCs w:val="21"/>
              </w:rPr>
            </w:pPr>
          </w:p>
          <w:p w14:paraId="33DD0219">
            <w:pPr>
              <w:pStyle w:val="21"/>
              <w:adjustRightInd w:val="0"/>
              <w:snapToGrid w:val="0"/>
              <w:spacing w:beforeAutospacing="0" w:afterAutospacing="0"/>
              <w:jc w:val="center"/>
              <w:rPr>
                <w:rFonts w:hint="default" w:ascii="Times New Roman" w:hAnsi="Times New Roman"/>
                <w:b/>
                <w:bCs/>
                <w:sz w:val="21"/>
                <w:szCs w:val="21"/>
              </w:rPr>
            </w:pPr>
          </w:p>
          <w:p w14:paraId="1449E486">
            <w:pPr>
              <w:pStyle w:val="21"/>
              <w:adjustRightInd w:val="0"/>
              <w:snapToGrid w:val="0"/>
              <w:spacing w:beforeAutospacing="0" w:afterAutospacing="0"/>
              <w:jc w:val="center"/>
              <w:rPr>
                <w:rFonts w:hint="default" w:ascii="Times New Roman" w:hAnsi="Times New Roman"/>
                <w:b/>
                <w:bCs/>
                <w:sz w:val="21"/>
                <w:szCs w:val="21"/>
              </w:rPr>
            </w:pPr>
          </w:p>
          <w:p w14:paraId="0DF5592B">
            <w:pPr>
              <w:pStyle w:val="21"/>
              <w:adjustRightInd w:val="0"/>
              <w:snapToGrid w:val="0"/>
              <w:spacing w:beforeAutospacing="0" w:afterAutospacing="0"/>
              <w:jc w:val="center"/>
              <w:rPr>
                <w:rFonts w:hint="default" w:ascii="Times New Roman" w:hAnsi="Times New Roman"/>
                <w:b/>
                <w:bCs/>
                <w:sz w:val="21"/>
                <w:szCs w:val="21"/>
              </w:rPr>
            </w:pPr>
          </w:p>
          <w:p w14:paraId="60E8A4BC">
            <w:pPr>
              <w:pStyle w:val="21"/>
              <w:adjustRightInd w:val="0"/>
              <w:snapToGrid w:val="0"/>
              <w:spacing w:beforeAutospacing="0" w:afterAutospacing="0"/>
              <w:jc w:val="center"/>
              <w:rPr>
                <w:rFonts w:hint="default" w:ascii="Times New Roman" w:hAnsi="Times New Roman"/>
                <w:b/>
                <w:bCs/>
                <w:sz w:val="21"/>
                <w:szCs w:val="21"/>
              </w:rPr>
            </w:pPr>
          </w:p>
          <w:p w14:paraId="621A9227">
            <w:pPr>
              <w:pStyle w:val="21"/>
              <w:adjustRightInd w:val="0"/>
              <w:snapToGrid w:val="0"/>
              <w:spacing w:beforeAutospacing="0" w:afterAutospacing="0"/>
              <w:jc w:val="center"/>
              <w:rPr>
                <w:rFonts w:hint="default" w:ascii="Times New Roman" w:hAnsi="Times New Roman"/>
                <w:b/>
                <w:bCs/>
                <w:sz w:val="21"/>
                <w:szCs w:val="21"/>
              </w:rPr>
            </w:pPr>
          </w:p>
          <w:p w14:paraId="468B36B7">
            <w:pPr>
              <w:pStyle w:val="21"/>
              <w:adjustRightInd w:val="0"/>
              <w:snapToGrid w:val="0"/>
              <w:spacing w:beforeAutospacing="0" w:afterAutospacing="0"/>
              <w:jc w:val="center"/>
              <w:rPr>
                <w:rFonts w:hint="default" w:ascii="Times New Roman" w:hAnsi="Times New Roman"/>
                <w:b/>
                <w:bCs/>
                <w:sz w:val="21"/>
                <w:szCs w:val="21"/>
              </w:rPr>
            </w:pPr>
          </w:p>
          <w:p w14:paraId="6F47375F">
            <w:pPr>
              <w:pStyle w:val="21"/>
              <w:adjustRightInd w:val="0"/>
              <w:snapToGrid w:val="0"/>
              <w:spacing w:beforeAutospacing="0" w:afterAutospacing="0"/>
              <w:jc w:val="center"/>
              <w:rPr>
                <w:rFonts w:hint="default" w:ascii="Times New Roman" w:hAnsi="Times New Roman"/>
                <w:b/>
                <w:bCs/>
                <w:sz w:val="21"/>
                <w:szCs w:val="21"/>
              </w:rPr>
            </w:pPr>
          </w:p>
          <w:p w14:paraId="0252759B">
            <w:pPr>
              <w:pStyle w:val="21"/>
              <w:adjustRightInd w:val="0"/>
              <w:snapToGrid w:val="0"/>
              <w:spacing w:beforeAutospacing="0" w:afterAutospacing="0"/>
              <w:jc w:val="center"/>
              <w:rPr>
                <w:rFonts w:hint="default" w:ascii="Times New Roman" w:hAnsi="Times New Roman"/>
                <w:b/>
                <w:bCs/>
                <w:sz w:val="21"/>
                <w:szCs w:val="21"/>
              </w:rPr>
            </w:pPr>
          </w:p>
          <w:p w14:paraId="5AC3CC72">
            <w:pPr>
              <w:pStyle w:val="21"/>
              <w:adjustRightInd w:val="0"/>
              <w:snapToGrid w:val="0"/>
              <w:spacing w:beforeAutospacing="0" w:afterAutospacing="0"/>
              <w:jc w:val="center"/>
              <w:rPr>
                <w:rFonts w:hint="default" w:ascii="Times New Roman" w:hAnsi="Times New Roman"/>
                <w:b/>
                <w:bCs/>
                <w:sz w:val="21"/>
                <w:szCs w:val="21"/>
              </w:rPr>
            </w:pPr>
          </w:p>
          <w:p w14:paraId="1650DBC7">
            <w:pPr>
              <w:pStyle w:val="21"/>
              <w:adjustRightInd w:val="0"/>
              <w:snapToGrid w:val="0"/>
              <w:spacing w:beforeAutospacing="0" w:afterAutospacing="0"/>
              <w:jc w:val="center"/>
              <w:rPr>
                <w:rFonts w:hint="default" w:ascii="Times New Roman" w:hAnsi="Times New Roman"/>
                <w:b/>
                <w:bCs/>
                <w:sz w:val="21"/>
                <w:szCs w:val="21"/>
              </w:rPr>
            </w:pPr>
          </w:p>
          <w:p w14:paraId="03BD618E">
            <w:pPr>
              <w:pStyle w:val="21"/>
              <w:adjustRightInd w:val="0"/>
              <w:snapToGrid w:val="0"/>
              <w:spacing w:beforeAutospacing="0" w:afterAutospacing="0"/>
              <w:jc w:val="both"/>
              <w:rPr>
                <w:rFonts w:hint="default" w:ascii="Times New Roman" w:hAnsi="Times New Roman"/>
                <w:b/>
                <w:bCs/>
                <w:sz w:val="21"/>
                <w:szCs w:val="21"/>
              </w:rPr>
            </w:pPr>
          </w:p>
          <w:p w14:paraId="6887FF65">
            <w:pPr>
              <w:autoSpaceDE w:val="0"/>
              <w:autoSpaceDN w:val="0"/>
              <w:adjustRightInd w:val="0"/>
              <w:snapToGrid w:val="0"/>
              <w:jc w:val="center"/>
              <w:rPr>
                <w:rFonts w:ascii="Times New Roman" w:hAnsi="Times New Roman" w:eastAsia="宋体" w:cs="Times New Roman"/>
                <w:b/>
                <w:bCs/>
                <w:szCs w:val="21"/>
              </w:rPr>
            </w:pPr>
            <w:r>
              <w:rPr>
                <w:rFonts w:hint="eastAsia" w:ascii="Times New Roman" w:hAnsi="Times New Roman" w:cs="Times New Roman"/>
                <w:b/>
                <w:bCs/>
                <w:szCs w:val="21"/>
              </w:rPr>
              <w:t>图</w:t>
            </w:r>
            <w:r>
              <w:rPr>
                <w:rFonts w:hint="eastAsia" w:ascii="Times New Roman" w:hAnsi="Times New Roman" w:eastAsia="宋体" w:cs="Times New Roman"/>
                <w:b/>
                <w:bCs/>
                <w:szCs w:val="21"/>
              </w:rPr>
              <w:t xml:space="preserve">1-1    </w:t>
            </w:r>
            <w:r>
              <w:rPr>
                <w:rFonts w:ascii="Times New Roman" w:hAnsi="Times New Roman" w:eastAsia="宋体" w:cs="Times New Roman"/>
                <w:b/>
                <w:bCs/>
                <w:szCs w:val="21"/>
              </w:rPr>
              <w:t>渭滨区姜谭经济技术开发区产业发展空间布局图</w:t>
            </w:r>
          </w:p>
          <w:p w14:paraId="0598718F">
            <w:pPr>
              <w:autoSpaceDE w:val="0"/>
              <w:autoSpaceDN w:val="0"/>
              <w:adjustRightInd w:val="0"/>
              <w:snapToGrid w:val="0"/>
              <w:jc w:val="center"/>
              <w:rPr>
                <w:rFonts w:ascii="Times New Roman" w:hAnsi="Times New Roman" w:eastAsia="宋体" w:cs="Times New Roman"/>
                <w:b/>
                <w:bCs/>
                <w:szCs w:val="21"/>
              </w:rPr>
            </w:pPr>
          </w:p>
          <w:p w14:paraId="00E54CB6">
            <w:pPr>
              <w:autoSpaceDE w:val="0"/>
              <w:autoSpaceDN w:val="0"/>
              <w:adjustRightInd w:val="0"/>
              <w:snapToGrid w:val="0"/>
              <w:jc w:val="center"/>
              <w:rPr>
                <w:rFonts w:ascii="Times New Roman" w:hAnsi="Times New Roman" w:eastAsia="宋体" w:cs="Times New Roman"/>
                <w:b/>
                <w:bCs/>
                <w:szCs w:val="21"/>
              </w:rPr>
            </w:pPr>
          </w:p>
          <w:p w14:paraId="7C8C70AC">
            <w:pPr>
              <w:pStyle w:val="2"/>
              <w:rPr>
                <w:rFonts w:ascii="Times New Roman" w:hAnsi="Times New Roman" w:eastAsia="宋体" w:cs="Times New Roman"/>
                <w:b/>
                <w:bCs/>
                <w:szCs w:val="21"/>
              </w:rPr>
            </w:pPr>
          </w:p>
          <w:p w14:paraId="4EE1F38A">
            <w:pPr>
              <w:rPr>
                <w:rFonts w:ascii="Times New Roman" w:hAnsi="Times New Roman" w:eastAsia="宋体" w:cs="Times New Roman"/>
                <w:b/>
                <w:bCs/>
                <w:szCs w:val="21"/>
              </w:rPr>
            </w:pPr>
          </w:p>
          <w:p w14:paraId="4E3E5B12">
            <w:pPr>
              <w:pStyle w:val="2"/>
              <w:rPr>
                <w:rFonts w:ascii="Times New Roman" w:hAnsi="Times New Roman" w:eastAsia="宋体" w:cs="Times New Roman"/>
                <w:b/>
                <w:bCs/>
                <w:szCs w:val="21"/>
              </w:rPr>
            </w:pPr>
          </w:p>
          <w:p w14:paraId="5DCB6C33">
            <w:pPr>
              <w:rPr>
                <w:rFonts w:ascii="Times New Roman" w:hAnsi="Times New Roman" w:eastAsia="宋体" w:cs="Times New Roman"/>
                <w:b/>
                <w:bCs/>
                <w:szCs w:val="21"/>
              </w:rPr>
            </w:pPr>
          </w:p>
          <w:p w14:paraId="7C154499">
            <w:pPr>
              <w:pStyle w:val="2"/>
              <w:rPr>
                <w:rFonts w:ascii="Times New Roman" w:hAnsi="Times New Roman" w:eastAsia="宋体" w:cs="Times New Roman"/>
                <w:b/>
                <w:bCs/>
                <w:szCs w:val="21"/>
              </w:rPr>
            </w:pPr>
          </w:p>
          <w:p w14:paraId="16538BF3">
            <w:pPr>
              <w:rPr>
                <w:rFonts w:ascii="Times New Roman" w:hAnsi="Times New Roman" w:eastAsia="宋体" w:cs="Times New Roman"/>
                <w:b/>
                <w:bCs/>
                <w:szCs w:val="21"/>
              </w:rPr>
            </w:pPr>
          </w:p>
          <w:p w14:paraId="268F837E">
            <w:pPr>
              <w:pStyle w:val="2"/>
              <w:rPr>
                <w:rFonts w:ascii="Times New Roman" w:hAnsi="Times New Roman" w:eastAsia="宋体" w:cs="Times New Roman"/>
                <w:b/>
                <w:bCs/>
                <w:szCs w:val="21"/>
              </w:rPr>
            </w:pPr>
          </w:p>
          <w:p w14:paraId="0EDEB338">
            <w:pPr>
              <w:rPr>
                <w:rFonts w:ascii="Times New Roman" w:hAnsi="Times New Roman" w:eastAsia="宋体" w:cs="Times New Roman"/>
                <w:b/>
                <w:bCs/>
                <w:szCs w:val="21"/>
              </w:rPr>
            </w:pPr>
          </w:p>
          <w:p w14:paraId="44C1AF48">
            <w:pPr>
              <w:pStyle w:val="2"/>
              <w:rPr>
                <w:rFonts w:ascii="Times New Roman" w:hAnsi="Times New Roman" w:eastAsia="宋体" w:cs="Times New Roman"/>
                <w:b/>
                <w:bCs/>
                <w:szCs w:val="21"/>
              </w:rPr>
            </w:pPr>
          </w:p>
          <w:p w14:paraId="04266CFC">
            <w:pPr>
              <w:rPr>
                <w:rFonts w:ascii="Times New Roman" w:hAnsi="Times New Roman" w:eastAsia="宋体" w:cs="Times New Roman"/>
                <w:b/>
                <w:bCs/>
                <w:szCs w:val="21"/>
              </w:rPr>
            </w:pPr>
          </w:p>
          <w:p w14:paraId="7B4B21D5">
            <w:pPr>
              <w:pStyle w:val="2"/>
              <w:rPr>
                <w:rFonts w:ascii="Times New Roman" w:hAnsi="Times New Roman" w:eastAsia="宋体" w:cs="Times New Roman"/>
                <w:b/>
                <w:bCs/>
                <w:szCs w:val="21"/>
              </w:rPr>
            </w:pPr>
          </w:p>
          <w:p w14:paraId="2519889C">
            <w:pPr>
              <w:rPr>
                <w:rFonts w:ascii="Times New Roman" w:hAnsi="Times New Roman" w:eastAsia="宋体" w:cs="Times New Roman"/>
                <w:b/>
                <w:bCs/>
                <w:szCs w:val="21"/>
              </w:rPr>
            </w:pPr>
          </w:p>
          <w:p w14:paraId="4CD97BBB">
            <w:pPr>
              <w:pStyle w:val="2"/>
              <w:rPr>
                <w:rFonts w:ascii="Times New Roman" w:hAnsi="Times New Roman" w:eastAsia="宋体" w:cs="Times New Roman"/>
                <w:b/>
                <w:bCs/>
                <w:szCs w:val="21"/>
              </w:rPr>
            </w:pPr>
          </w:p>
          <w:p w14:paraId="617C2857">
            <w:pPr>
              <w:rPr>
                <w:rFonts w:ascii="Times New Roman" w:hAnsi="Times New Roman" w:eastAsia="宋体" w:cs="Times New Roman"/>
                <w:b/>
                <w:bCs/>
                <w:szCs w:val="21"/>
              </w:rPr>
            </w:pPr>
          </w:p>
          <w:p w14:paraId="5371B369">
            <w:pPr>
              <w:pStyle w:val="2"/>
              <w:rPr>
                <w:rFonts w:ascii="Times New Roman" w:hAnsi="Times New Roman" w:eastAsia="宋体" w:cs="Times New Roman"/>
                <w:b/>
                <w:bCs/>
                <w:szCs w:val="21"/>
              </w:rPr>
            </w:pPr>
          </w:p>
          <w:p w14:paraId="36F7119A">
            <w:pPr>
              <w:rPr>
                <w:rFonts w:ascii="Times New Roman" w:hAnsi="Times New Roman" w:eastAsia="宋体" w:cs="Times New Roman"/>
                <w:b/>
                <w:bCs/>
                <w:szCs w:val="21"/>
              </w:rPr>
            </w:pPr>
          </w:p>
          <w:p w14:paraId="0956ED25">
            <w:pPr>
              <w:pStyle w:val="2"/>
              <w:rPr>
                <w:rFonts w:ascii="Times New Roman" w:hAnsi="Times New Roman" w:eastAsia="宋体" w:cs="Times New Roman"/>
                <w:b/>
                <w:bCs/>
                <w:szCs w:val="21"/>
              </w:rPr>
            </w:pPr>
          </w:p>
          <w:p w14:paraId="4825CD5A">
            <w:pPr>
              <w:rPr>
                <w:rFonts w:ascii="Times New Roman" w:hAnsi="Times New Roman" w:eastAsia="宋体" w:cs="Times New Roman"/>
                <w:b/>
                <w:bCs/>
                <w:szCs w:val="21"/>
              </w:rPr>
            </w:pPr>
          </w:p>
          <w:p w14:paraId="2EA0EEFA">
            <w:pPr>
              <w:pStyle w:val="2"/>
              <w:rPr>
                <w:rFonts w:ascii="Times New Roman" w:hAnsi="Times New Roman" w:eastAsia="宋体" w:cs="Times New Roman"/>
                <w:b/>
                <w:bCs/>
                <w:szCs w:val="21"/>
              </w:rPr>
            </w:pPr>
          </w:p>
          <w:p w14:paraId="4D04E4D4"/>
          <w:p w14:paraId="12FEAA80">
            <w:pPr>
              <w:autoSpaceDE w:val="0"/>
              <w:autoSpaceDN w:val="0"/>
              <w:adjustRightInd w:val="0"/>
              <w:snapToGrid w:val="0"/>
              <w:rPr>
                <w:rFonts w:ascii="Times New Roman" w:hAnsi="Times New Roman" w:cs="Times New Roman"/>
                <w:szCs w:val="21"/>
              </w:rPr>
            </w:pPr>
          </w:p>
        </w:tc>
      </w:tr>
      <w:tr w14:paraId="74677A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042" w:hRule="atLeast"/>
          <w:jc w:val="center"/>
        </w:trPr>
        <w:tc>
          <w:tcPr>
            <w:tcW w:w="639" w:type="pct"/>
            <w:tcBorders>
              <w:top w:val="single" w:color="auto" w:sz="4" w:space="0"/>
              <w:left w:val="single" w:color="auto" w:sz="8" w:space="0"/>
              <w:bottom w:val="single" w:color="auto" w:sz="8" w:space="0"/>
              <w:right w:val="single" w:color="auto" w:sz="4" w:space="0"/>
            </w:tcBorders>
            <w:shd w:val="clear" w:color="auto" w:fill="auto"/>
            <w:tcMar>
              <w:left w:w="108" w:type="dxa"/>
              <w:right w:w="108" w:type="dxa"/>
            </w:tcMar>
            <w:vAlign w:val="center"/>
          </w:tcPr>
          <w:p w14:paraId="2627108A">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 w:val="24"/>
                <w:lang w:bidi="ar"/>
              </w:rPr>
              <w:t>其他符合性分析</w:t>
            </w:r>
          </w:p>
        </w:tc>
        <w:tc>
          <w:tcPr>
            <w:tcW w:w="4360" w:type="pct"/>
            <w:gridSpan w:val="3"/>
            <w:tcBorders>
              <w:top w:val="single" w:color="auto" w:sz="4" w:space="0"/>
              <w:left w:val="single" w:color="auto" w:sz="4" w:space="0"/>
              <w:bottom w:val="single" w:color="auto" w:sz="8" w:space="0"/>
              <w:right w:val="single" w:color="auto" w:sz="8" w:space="0"/>
            </w:tcBorders>
            <w:shd w:val="clear" w:color="auto" w:fill="auto"/>
            <w:tcMar>
              <w:left w:w="108" w:type="dxa"/>
              <w:right w:w="108" w:type="dxa"/>
            </w:tcMar>
            <w:vAlign w:val="center"/>
          </w:tcPr>
          <w:p w14:paraId="600A4212">
            <w:pPr>
              <w:adjustRightInd w:val="0"/>
              <w:snapToGrid w:val="0"/>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1、与</w:t>
            </w:r>
            <w:r>
              <w:rPr>
                <w:rFonts w:hint="eastAsia" w:ascii="Times New Roman" w:hAnsi="Times New Roman" w:cs="Times New Roman"/>
                <w:b/>
                <w:bCs/>
                <w:sz w:val="24"/>
              </w:rPr>
              <w:t>“</w:t>
            </w:r>
            <w:r>
              <w:rPr>
                <w:rFonts w:ascii="Times New Roman" w:hAnsi="Times New Roman" w:cs="Times New Roman"/>
                <w:b/>
                <w:bCs/>
                <w:sz w:val="24"/>
              </w:rPr>
              <w:t>三线一单</w:t>
            </w:r>
            <w:r>
              <w:rPr>
                <w:rFonts w:hint="eastAsia" w:ascii="Times New Roman" w:hAnsi="Times New Roman" w:cs="Times New Roman"/>
                <w:b/>
                <w:bCs/>
                <w:sz w:val="24"/>
              </w:rPr>
              <w:t>”</w:t>
            </w:r>
            <w:r>
              <w:rPr>
                <w:rFonts w:ascii="Times New Roman" w:hAnsi="Times New Roman" w:cs="Times New Roman"/>
                <w:b/>
                <w:bCs/>
                <w:sz w:val="24"/>
              </w:rPr>
              <w:t>的符合性分析</w:t>
            </w:r>
          </w:p>
          <w:p w14:paraId="59703A80">
            <w:pPr>
              <w:autoSpaceDE w:val="0"/>
              <w:autoSpaceDN w:val="0"/>
              <w:adjustRightInd w:val="0"/>
              <w:snapToGrid w:val="0"/>
              <w:spacing w:line="360" w:lineRule="auto"/>
              <w:ind w:firstLine="480"/>
              <w:rPr>
                <w:rFonts w:ascii="Times New Roman" w:hAnsi="Times New Roman" w:eastAsia="宋体" w:cs="Times New Roman"/>
                <w:sz w:val="24"/>
              </w:rPr>
            </w:pPr>
            <w:r>
              <w:rPr>
                <w:rFonts w:ascii="Times New Roman" w:hAnsi="Times New Roman" w:eastAsia="宋体" w:cs="Times New Roman"/>
                <w:sz w:val="24"/>
              </w:rPr>
              <w:t>根据陕西省生态环境厅文件陕环办发</w:t>
            </w:r>
            <w:r>
              <w:rPr>
                <w:rFonts w:hint="eastAsia" w:ascii="Times New Roman" w:hAnsi="Times New Roman" w:eastAsia="宋体" w:cs="Times New Roman"/>
                <w:sz w:val="24"/>
                <w:lang w:eastAsia="zh-CN"/>
              </w:rPr>
              <w:t>〔2022〕76号</w:t>
            </w:r>
            <w:r>
              <w:rPr>
                <w:rFonts w:hint="eastAsia" w:ascii="Times New Roman" w:hAnsi="Times New Roman" w:eastAsia="宋体" w:cs="Times New Roman"/>
                <w:sz w:val="24"/>
              </w:rPr>
              <w:t>文</w:t>
            </w:r>
            <w:r>
              <w:rPr>
                <w:rFonts w:ascii="Times New Roman" w:hAnsi="Times New Roman" w:eastAsia="宋体" w:cs="Times New Roman"/>
                <w:sz w:val="24"/>
              </w:rPr>
              <w:t>件，《陕西省</w:t>
            </w:r>
            <w:r>
              <w:rPr>
                <w:rFonts w:hint="eastAsia" w:ascii="Times New Roman" w:hAnsi="Times New Roman" w:cs="Times New Roman"/>
                <w:sz w:val="24"/>
              </w:rPr>
              <w:t>“</w:t>
            </w:r>
            <w:r>
              <w:rPr>
                <w:rFonts w:ascii="Times New Roman" w:hAnsi="Times New Roman" w:eastAsia="宋体" w:cs="Times New Roman"/>
                <w:sz w:val="24"/>
              </w:rPr>
              <w:t>三线一单</w:t>
            </w:r>
            <w:r>
              <w:rPr>
                <w:rFonts w:hint="eastAsia" w:ascii="Times New Roman" w:hAnsi="Times New Roman" w:cs="Times New Roman"/>
                <w:sz w:val="24"/>
              </w:rPr>
              <w:t>”</w:t>
            </w:r>
            <w:r>
              <w:rPr>
                <w:rFonts w:ascii="Times New Roman" w:hAnsi="Times New Roman" w:eastAsia="宋体" w:cs="Times New Roman"/>
                <w:sz w:val="24"/>
              </w:rPr>
              <w:t>生态环境分区管理应用技术指南》：环境影响评价（试行）通知，进行建设项目与</w:t>
            </w:r>
            <w:r>
              <w:rPr>
                <w:rFonts w:hint="eastAsia" w:ascii="Times New Roman" w:hAnsi="Times New Roman" w:cs="Times New Roman"/>
                <w:sz w:val="24"/>
              </w:rPr>
              <w:t>“</w:t>
            </w:r>
            <w:r>
              <w:rPr>
                <w:rFonts w:ascii="Times New Roman" w:hAnsi="Times New Roman" w:eastAsia="宋体" w:cs="Times New Roman"/>
                <w:sz w:val="24"/>
              </w:rPr>
              <w:t>三线一单</w:t>
            </w:r>
            <w:r>
              <w:rPr>
                <w:rFonts w:hint="eastAsia" w:ascii="Times New Roman" w:hAnsi="Times New Roman" w:cs="Times New Roman"/>
                <w:sz w:val="24"/>
              </w:rPr>
              <w:t>”</w:t>
            </w:r>
            <w:r>
              <w:rPr>
                <w:rFonts w:ascii="Times New Roman" w:hAnsi="Times New Roman" w:eastAsia="宋体" w:cs="Times New Roman"/>
                <w:sz w:val="24"/>
              </w:rPr>
              <w:t>生态环境分区管控符合性分析，采用一图、一表、一说明的形式表达。</w:t>
            </w:r>
          </w:p>
          <w:p w14:paraId="5C8CA607">
            <w:pPr>
              <w:autoSpaceDE w:val="0"/>
              <w:autoSpaceDN w:val="0"/>
              <w:adjustRightInd w:val="0"/>
              <w:snapToGrid w:val="0"/>
              <w:spacing w:line="360" w:lineRule="auto"/>
              <w:ind w:firstLine="480"/>
              <w:rPr>
                <w:rFonts w:ascii="Times New Roman" w:hAnsi="Times New Roman" w:eastAsia="宋体" w:cs="Times New Roman"/>
                <w:sz w:val="24"/>
              </w:rPr>
            </w:pPr>
            <w:r>
              <w:rPr>
                <w:rFonts w:ascii="Times New Roman" w:hAnsi="Times New Roman" w:eastAsia="宋体" w:cs="Times New Roman"/>
                <w:sz w:val="24"/>
              </w:rPr>
              <w:t>根据陕西省</w:t>
            </w:r>
            <w:r>
              <w:rPr>
                <w:rFonts w:hint="eastAsia" w:ascii="Times New Roman" w:hAnsi="Times New Roman" w:cs="Times New Roman"/>
                <w:sz w:val="24"/>
              </w:rPr>
              <w:t>“</w:t>
            </w:r>
            <w:r>
              <w:rPr>
                <w:rFonts w:ascii="Times New Roman" w:hAnsi="Times New Roman" w:eastAsia="宋体" w:cs="Times New Roman"/>
                <w:sz w:val="24"/>
              </w:rPr>
              <w:t>三线一单</w:t>
            </w:r>
            <w:r>
              <w:rPr>
                <w:rFonts w:hint="eastAsia" w:ascii="Times New Roman" w:hAnsi="Times New Roman" w:cs="Times New Roman"/>
                <w:sz w:val="24"/>
              </w:rPr>
              <w:t>”</w:t>
            </w:r>
            <w:r>
              <w:rPr>
                <w:rFonts w:ascii="Times New Roman" w:hAnsi="Times New Roman" w:eastAsia="宋体" w:cs="Times New Roman"/>
                <w:sz w:val="24"/>
              </w:rPr>
              <w:t>数据应用系统的分析，本项目</w:t>
            </w:r>
            <w:r>
              <w:rPr>
                <w:rFonts w:ascii="Times New Roman" w:hAnsi="Times New Roman" w:cs="Times New Roman"/>
                <w:sz w:val="24"/>
              </w:rPr>
              <w:t>与</w:t>
            </w:r>
            <w:r>
              <w:rPr>
                <w:rFonts w:hint="eastAsia" w:ascii="Times New Roman" w:hAnsi="Times New Roman" w:cs="Times New Roman"/>
                <w:sz w:val="24"/>
              </w:rPr>
              <w:t>“</w:t>
            </w:r>
            <w:r>
              <w:rPr>
                <w:rFonts w:ascii="Times New Roman" w:hAnsi="Times New Roman" w:cs="Times New Roman"/>
                <w:sz w:val="24"/>
              </w:rPr>
              <w:t>三线一单</w:t>
            </w:r>
            <w:r>
              <w:rPr>
                <w:rFonts w:hint="eastAsia" w:ascii="Times New Roman" w:hAnsi="Times New Roman" w:cs="Times New Roman"/>
                <w:sz w:val="24"/>
              </w:rPr>
              <w:t>”</w:t>
            </w:r>
            <w:r>
              <w:rPr>
                <w:rFonts w:ascii="Times New Roman" w:hAnsi="Times New Roman" w:cs="Times New Roman"/>
                <w:sz w:val="24"/>
              </w:rPr>
              <w:t>符合性分析详见下表。</w:t>
            </w:r>
          </w:p>
          <w:p w14:paraId="4BF34717">
            <w:pPr>
              <w:pStyle w:val="61"/>
              <w:widowControl/>
              <w:autoSpaceDE w:val="0"/>
              <w:autoSpaceDN w:val="0"/>
              <w:snapToGrid w:val="0"/>
              <w:spacing w:line="240" w:lineRule="auto"/>
              <w:rPr>
                <w:rFonts w:hint="default" w:ascii="Times New Roman" w:hAnsi="Times New Roman" w:eastAsia="宋体" w:cs="Times New Roman"/>
                <w:b/>
                <w:bCs/>
                <w:spacing w:val="0"/>
                <w:kern w:val="2"/>
                <w:sz w:val="21"/>
                <w:szCs w:val="21"/>
              </w:rPr>
            </w:pPr>
            <w:r>
              <w:rPr>
                <w:rFonts w:hint="default" w:ascii="Times New Roman" w:hAnsi="Times New Roman" w:eastAsia="宋体" w:cs="Times New Roman"/>
                <w:b/>
                <w:bCs/>
                <w:spacing w:val="0"/>
                <w:kern w:val="2"/>
                <w:sz w:val="21"/>
                <w:szCs w:val="21"/>
              </w:rPr>
              <w:t>表1-3  项目与环境管理单元涉及情况</w:t>
            </w:r>
            <w:r>
              <w:rPr>
                <w:rFonts w:ascii="Times New Roman" w:hAnsi="Times New Roman" w:eastAsia="宋体" w:cs="Times New Roman"/>
                <w:b/>
                <w:bCs/>
                <w:spacing w:val="0"/>
                <w:kern w:val="2"/>
                <w:sz w:val="21"/>
                <w:szCs w:val="21"/>
              </w:rPr>
              <w:t>一览表</w:t>
            </w:r>
          </w:p>
          <w:tbl>
            <w:tblPr>
              <w:tblStyle w:val="27"/>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28"/>
              <w:gridCol w:w="1729"/>
              <w:gridCol w:w="2002"/>
              <w:gridCol w:w="1848"/>
            </w:tblGrid>
            <w:tr w14:paraId="3D786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9" w:type="pct"/>
                  <w:tcBorders>
                    <w:tl2br w:val="nil"/>
                    <w:tr2bl w:val="nil"/>
                  </w:tcBorders>
                  <w:vAlign w:val="center"/>
                </w:tcPr>
                <w:p w14:paraId="65CA4C15">
                  <w:pPr>
                    <w:pStyle w:val="61"/>
                    <w:widowControl/>
                    <w:autoSpaceDE w:val="0"/>
                    <w:autoSpaceDN w:val="0"/>
                    <w:snapToGrid w:val="0"/>
                    <w:spacing w:line="240" w:lineRule="auto"/>
                    <w:rPr>
                      <w:rFonts w:hint="default" w:ascii="Times New Roman" w:hAnsi="Times New Roman" w:eastAsia="宋体" w:cs="Times New Roman"/>
                      <w:b/>
                      <w:bCs/>
                      <w:spacing w:val="0"/>
                      <w:kern w:val="2"/>
                      <w:sz w:val="21"/>
                      <w:szCs w:val="21"/>
                    </w:rPr>
                  </w:pPr>
                  <w:r>
                    <w:rPr>
                      <w:rFonts w:hint="default" w:ascii="Times New Roman" w:hAnsi="Times New Roman" w:eastAsia="宋体" w:cs="Times New Roman"/>
                      <w:b/>
                      <w:bCs/>
                      <w:spacing w:val="0"/>
                      <w:kern w:val="2"/>
                      <w:sz w:val="21"/>
                      <w:szCs w:val="21"/>
                    </w:rPr>
                    <w:t>环境管控单元分类</w:t>
                  </w:r>
                </w:p>
              </w:tc>
              <w:tc>
                <w:tcPr>
                  <w:tcW w:w="1122" w:type="pct"/>
                  <w:tcBorders>
                    <w:tl2br w:val="nil"/>
                    <w:tr2bl w:val="nil"/>
                  </w:tcBorders>
                  <w:vAlign w:val="center"/>
                </w:tcPr>
                <w:p w14:paraId="6EBA983C">
                  <w:pPr>
                    <w:pStyle w:val="61"/>
                    <w:widowControl/>
                    <w:autoSpaceDE w:val="0"/>
                    <w:autoSpaceDN w:val="0"/>
                    <w:snapToGrid w:val="0"/>
                    <w:spacing w:line="240" w:lineRule="auto"/>
                    <w:rPr>
                      <w:rFonts w:hint="default" w:ascii="Times New Roman" w:hAnsi="Times New Roman" w:eastAsia="宋体" w:cs="Times New Roman"/>
                      <w:b/>
                      <w:bCs/>
                      <w:spacing w:val="0"/>
                      <w:kern w:val="2"/>
                      <w:sz w:val="21"/>
                      <w:szCs w:val="21"/>
                    </w:rPr>
                  </w:pPr>
                  <w:r>
                    <w:rPr>
                      <w:rFonts w:hint="default" w:ascii="Times New Roman" w:hAnsi="Times New Roman" w:eastAsia="宋体" w:cs="Times New Roman"/>
                      <w:b/>
                      <w:bCs/>
                      <w:spacing w:val="0"/>
                      <w:kern w:val="2"/>
                      <w:sz w:val="21"/>
                      <w:szCs w:val="21"/>
                    </w:rPr>
                    <w:t>是否涉及</w:t>
                  </w:r>
                </w:p>
              </w:tc>
              <w:tc>
                <w:tcPr>
                  <w:tcW w:w="1298" w:type="pct"/>
                  <w:tcBorders>
                    <w:tl2br w:val="nil"/>
                    <w:tr2bl w:val="nil"/>
                  </w:tcBorders>
                  <w:vAlign w:val="center"/>
                </w:tcPr>
                <w:p w14:paraId="55BA730C">
                  <w:pPr>
                    <w:pStyle w:val="61"/>
                    <w:widowControl/>
                    <w:autoSpaceDE w:val="0"/>
                    <w:autoSpaceDN w:val="0"/>
                    <w:snapToGrid w:val="0"/>
                    <w:spacing w:line="240" w:lineRule="auto"/>
                    <w:rPr>
                      <w:rFonts w:hint="default" w:ascii="Times New Roman" w:hAnsi="Times New Roman" w:eastAsia="宋体" w:cs="Times New Roman"/>
                      <w:b/>
                      <w:bCs/>
                      <w:spacing w:val="0"/>
                      <w:kern w:val="2"/>
                      <w:sz w:val="21"/>
                      <w:szCs w:val="21"/>
                    </w:rPr>
                  </w:pPr>
                  <w:r>
                    <w:rPr>
                      <w:rFonts w:hint="default" w:ascii="Times New Roman" w:hAnsi="Times New Roman" w:eastAsia="宋体" w:cs="Times New Roman"/>
                      <w:b/>
                      <w:bCs/>
                      <w:spacing w:val="0"/>
                      <w:kern w:val="2"/>
                      <w:sz w:val="21"/>
                      <w:szCs w:val="21"/>
                    </w:rPr>
                    <w:t>面积</w:t>
                  </w:r>
                </w:p>
              </w:tc>
              <w:tc>
                <w:tcPr>
                  <w:tcW w:w="1199" w:type="pct"/>
                  <w:tcBorders>
                    <w:tl2br w:val="nil"/>
                    <w:tr2bl w:val="nil"/>
                  </w:tcBorders>
                  <w:vAlign w:val="center"/>
                </w:tcPr>
                <w:p w14:paraId="0F20005B">
                  <w:pPr>
                    <w:pStyle w:val="61"/>
                    <w:widowControl/>
                    <w:autoSpaceDE w:val="0"/>
                    <w:autoSpaceDN w:val="0"/>
                    <w:snapToGrid w:val="0"/>
                    <w:spacing w:line="240" w:lineRule="auto"/>
                    <w:rPr>
                      <w:rFonts w:hint="default" w:ascii="Times New Roman" w:hAnsi="Times New Roman" w:eastAsia="宋体" w:cs="Times New Roman"/>
                      <w:b/>
                      <w:bCs/>
                      <w:spacing w:val="0"/>
                      <w:kern w:val="2"/>
                      <w:sz w:val="21"/>
                      <w:szCs w:val="21"/>
                    </w:rPr>
                  </w:pPr>
                  <w:r>
                    <w:rPr>
                      <w:rFonts w:hint="default" w:ascii="Times New Roman" w:hAnsi="Times New Roman" w:eastAsia="宋体" w:cs="Times New Roman"/>
                      <w:b/>
                      <w:bCs/>
                      <w:spacing w:val="0"/>
                      <w:kern w:val="2"/>
                      <w:sz w:val="21"/>
                      <w:szCs w:val="21"/>
                    </w:rPr>
                    <w:t>占比</w:t>
                  </w:r>
                </w:p>
              </w:tc>
            </w:tr>
            <w:tr w14:paraId="5AEAE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9" w:type="pct"/>
                  <w:tcBorders>
                    <w:tl2br w:val="nil"/>
                    <w:tr2bl w:val="nil"/>
                  </w:tcBorders>
                  <w:vAlign w:val="center"/>
                </w:tcPr>
                <w:p w14:paraId="2F0AF9A7">
                  <w:pPr>
                    <w:pStyle w:val="61"/>
                    <w:widowControl/>
                    <w:autoSpaceDE w:val="0"/>
                    <w:autoSpaceDN w:val="0"/>
                    <w:snapToGrid w:val="0"/>
                    <w:spacing w:line="240" w:lineRule="auto"/>
                    <w:rPr>
                      <w:rFonts w:hint="default" w:ascii="Times New Roman" w:hAnsi="Times New Roman" w:eastAsia="宋体" w:cs="Times New Roman"/>
                      <w:spacing w:val="0"/>
                      <w:kern w:val="2"/>
                      <w:sz w:val="21"/>
                      <w:szCs w:val="21"/>
                    </w:rPr>
                  </w:pPr>
                  <w:r>
                    <w:rPr>
                      <w:rFonts w:hint="default" w:ascii="Times New Roman" w:hAnsi="Times New Roman" w:eastAsia="宋体" w:cs="Times New Roman"/>
                      <w:spacing w:val="0"/>
                      <w:kern w:val="2"/>
                      <w:sz w:val="21"/>
                      <w:szCs w:val="21"/>
                    </w:rPr>
                    <w:t>优先保护单元</w:t>
                  </w:r>
                </w:p>
              </w:tc>
              <w:tc>
                <w:tcPr>
                  <w:tcW w:w="1122" w:type="pct"/>
                  <w:tcBorders>
                    <w:tl2br w:val="nil"/>
                    <w:tr2bl w:val="nil"/>
                  </w:tcBorders>
                  <w:vAlign w:val="center"/>
                </w:tcPr>
                <w:p w14:paraId="4AACB594">
                  <w:pPr>
                    <w:pStyle w:val="61"/>
                    <w:widowControl/>
                    <w:autoSpaceDE w:val="0"/>
                    <w:autoSpaceDN w:val="0"/>
                    <w:snapToGrid w:val="0"/>
                    <w:spacing w:line="240" w:lineRule="auto"/>
                    <w:rPr>
                      <w:rFonts w:hint="default" w:ascii="Times New Roman" w:hAnsi="Times New Roman" w:eastAsia="宋体" w:cs="Times New Roman"/>
                      <w:spacing w:val="0"/>
                      <w:kern w:val="2"/>
                      <w:sz w:val="21"/>
                      <w:szCs w:val="21"/>
                    </w:rPr>
                  </w:pPr>
                  <w:r>
                    <w:rPr>
                      <w:rFonts w:hint="default" w:ascii="Times New Roman" w:hAnsi="Times New Roman" w:eastAsia="宋体" w:cs="Times New Roman"/>
                      <w:spacing w:val="0"/>
                      <w:kern w:val="2"/>
                      <w:sz w:val="21"/>
                      <w:szCs w:val="21"/>
                    </w:rPr>
                    <w:t>否</w:t>
                  </w:r>
                </w:p>
              </w:tc>
              <w:tc>
                <w:tcPr>
                  <w:tcW w:w="1298" w:type="pct"/>
                  <w:tcBorders>
                    <w:tl2br w:val="nil"/>
                    <w:tr2bl w:val="nil"/>
                  </w:tcBorders>
                  <w:vAlign w:val="center"/>
                </w:tcPr>
                <w:p w14:paraId="2D6F88FE">
                  <w:pPr>
                    <w:pStyle w:val="61"/>
                    <w:widowControl/>
                    <w:autoSpaceDE w:val="0"/>
                    <w:autoSpaceDN w:val="0"/>
                    <w:snapToGrid w:val="0"/>
                    <w:spacing w:line="240" w:lineRule="auto"/>
                    <w:rPr>
                      <w:rFonts w:hint="default" w:ascii="Times New Roman" w:hAnsi="Times New Roman" w:eastAsia="宋体" w:cs="Times New Roman"/>
                      <w:spacing w:val="0"/>
                      <w:kern w:val="2"/>
                      <w:sz w:val="21"/>
                      <w:szCs w:val="21"/>
                    </w:rPr>
                  </w:pPr>
                  <w:r>
                    <w:rPr>
                      <w:rFonts w:hint="default" w:ascii="Times New Roman" w:hAnsi="Times New Roman" w:eastAsia="宋体" w:cs="Times New Roman"/>
                      <w:spacing w:val="0"/>
                      <w:kern w:val="2"/>
                      <w:sz w:val="21"/>
                      <w:szCs w:val="21"/>
                    </w:rPr>
                    <w:t>0平方米</w:t>
                  </w:r>
                </w:p>
              </w:tc>
              <w:tc>
                <w:tcPr>
                  <w:tcW w:w="1199" w:type="pct"/>
                  <w:tcBorders>
                    <w:tl2br w:val="nil"/>
                    <w:tr2bl w:val="nil"/>
                  </w:tcBorders>
                  <w:vAlign w:val="center"/>
                </w:tcPr>
                <w:p w14:paraId="0EE13AA1">
                  <w:pPr>
                    <w:pStyle w:val="61"/>
                    <w:widowControl/>
                    <w:autoSpaceDE w:val="0"/>
                    <w:autoSpaceDN w:val="0"/>
                    <w:snapToGrid w:val="0"/>
                    <w:spacing w:line="240" w:lineRule="auto"/>
                    <w:rPr>
                      <w:rFonts w:hint="default" w:ascii="Times New Roman" w:hAnsi="Times New Roman" w:eastAsia="宋体" w:cs="Times New Roman"/>
                      <w:spacing w:val="0"/>
                      <w:kern w:val="2"/>
                      <w:sz w:val="21"/>
                      <w:szCs w:val="21"/>
                    </w:rPr>
                  </w:pPr>
                  <w:r>
                    <w:rPr>
                      <w:rFonts w:hint="default" w:ascii="Times New Roman" w:hAnsi="Times New Roman" w:eastAsia="宋体" w:cs="Times New Roman"/>
                      <w:spacing w:val="0"/>
                      <w:kern w:val="2"/>
                      <w:sz w:val="21"/>
                      <w:szCs w:val="21"/>
                    </w:rPr>
                    <w:t>0%</w:t>
                  </w:r>
                </w:p>
              </w:tc>
            </w:tr>
            <w:tr w14:paraId="18C52C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9" w:type="pct"/>
                  <w:tcBorders>
                    <w:tl2br w:val="nil"/>
                    <w:tr2bl w:val="nil"/>
                  </w:tcBorders>
                  <w:vAlign w:val="center"/>
                </w:tcPr>
                <w:p w14:paraId="39F88CA7">
                  <w:pPr>
                    <w:pStyle w:val="61"/>
                    <w:widowControl/>
                    <w:autoSpaceDE w:val="0"/>
                    <w:autoSpaceDN w:val="0"/>
                    <w:snapToGrid w:val="0"/>
                    <w:spacing w:line="240" w:lineRule="auto"/>
                    <w:rPr>
                      <w:rFonts w:hint="default" w:ascii="Times New Roman" w:hAnsi="Times New Roman" w:eastAsia="宋体" w:cs="Times New Roman"/>
                      <w:spacing w:val="0"/>
                      <w:kern w:val="2"/>
                      <w:sz w:val="21"/>
                      <w:szCs w:val="21"/>
                    </w:rPr>
                  </w:pPr>
                  <w:r>
                    <w:rPr>
                      <w:rFonts w:hint="default" w:ascii="Times New Roman" w:hAnsi="Times New Roman" w:eastAsia="宋体" w:cs="Times New Roman"/>
                      <w:spacing w:val="0"/>
                      <w:kern w:val="2"/>
                      <w:sz w:val="21"/>
                      <w:szCs w:val="21"/>
                    </w:rPr>
                    <w:t>一般管控单元</w:t>
                  </w:r>
                </w:p>
              </w:tc>
              <w:tc>
                <w:tcPr>
                  <w:tcW w:w="1122" w:type="pct"/>
                  <w:tcBorders>
                    <w:tl2br w:val="nil"/>
                    <w:tr2bl w:val="nil"/>
                  </w:tcBorders>
                  <w:vAlign w:val="center"/>
                </w:tcPr>
                <w:p w14:paraId="569D2F7B">
                  <w:pPr>
                    <w:pStyle w:val="61"/>
                    <w:widowControl/>
                    <w:autoSpaceDE w:val="0"/>
                    <w:autoSpaceDN w:val="0"/>
                    <w:snapToGrid w:val="0"/>
                    <w:spacing w:line="240" w:lineRule="auto"/>
                    <w:rPr>
                      <w:rFonts w:hint="default" w:ascii="Times New Roman" w:hAnsi="Times New Roman" w:eastAsia="宋体" w:cs="Times New Roman"/>
                      <w:spacing w:val="0"/>
                      <w:kern w:val="2"/>
                      <w:sz w:val="21"/>
                      <w:szCs w:val="21"/>
                    </w:rPr>
                  </w:pPr>
                  <w:r>
                    <w:rPr>
                      <w:rFonts w:hint="default" w:ascii="Times New Roman" w:hAnsi="Times New Roman" w:eastAsia="宋体" w:cs="Times New Roman"/>
                      <w:spacing w:val="0"/>
                      <w:kern w:val="2"/>
                      <w:sz w:val="21"/>
                      <w:szCs w:val="21"/>
                    </w:rPr>
                    <w:t>否</w:t>
                  </w:r>
                </w:p>
              </w:tc>
              <w:tc>
                <w:tcPr>
                  <w:tcW w:w="1298" w:type="pct"/>
                  <w:tcBorders>
                    <w:tl2br w:val="nil"/>
                    <w:tr2bl w:val="nil"/>
                  </w:tcBorders>
                  <w:vAlign w:val="center"/>
                </w:tcPr>
                <w:p w14:paraId="1E2F7C8C">
                  <w:pPr>
                    <w:pStyle w:val="61"/>
                    <w:widowControl/>
                    <w:autoSpaceDE w:val="0"/>
                    <w:autoSpaceDN w:val="0"/>
                    <w:snapToGrid w:val="0"/>
                    <w:spacing w:line="240" w:lineRule="auto"/>
                    <w:rPr>
                      <w:rFonts w:hint="default" w:ascii="Times New Roman" w:hAnsi="Times New Roman" w:eastAsia="宋体" w:cs="Times New Roman"/>
                      <w:spacing w:val="0"/>
                      <w:kern w:val="2"/>
                      <w:sz w:val="21"/>
                      <w:szCs w:val="21"/>
                    </w:rPr>
                  </w:pPr>
                  <w:r>
                    <w:rPr>
                      <w:rFonts w:hint="default" w:ascii="Times New Roman" w:hAnsi="Times New Roman" w:eastAsia="宋体" w:cs="Times New Roman"/>
                      <w:spacing w:val="0"/>
                      <w:kern w:val="2"/>
                      <w:sz w:val="21"/>
                      <w:szCs w:val="21"/>
                    </w:rPr>
                    <w:t>0平方米</w:t>
                  </w:r>
                </w:p>
              </w:tc>
              <w:tc>
                <w:tcPr>
                  <w:tcW w:w="1199" w:type="pct"/>
                  <w:tcBorders>
                    <w:tl2br w:val="nil"/>
                    <w:tr2bl w:val="nil"/>
                  </w:tcBorders>
                  <w:vAlign w:val="center"/>
                </w:tcPr>
                <w:p w14:paraId="5DF16662">
                  <w:pPr>
                    <w:pStyle w:val="61"/>
                    <w:widowControl/>
                    <w:autoSpaceDE w:val="0"/>
                    <w:autoSpaceDN w:val="0"/>
                    <w:snapToGrid w:val="0"/>
                    <w:spacing w:line="240" w:lineRule="auto"/>
                    <w:rPr>
                      <w:rFonts w:hint="default" w:ascii="Times New Roman" w:hAnsi="Times New Roman" w:eastAsia="宋体" w:cs="Times New Roman"/>
                      <w:spacing w:val="0"/>
                      <w:kern w:val="2"/>
                      <w:sz w:val="21"/>
                      <w:szCs w:val="21"/>
                    </w:rPr>
                  </w:pPr>
                  <w:r>
                    <w:rPr>
                      <w:rFonts w:hint="default" w:ascii="Times New Roman" w:hAnsi="Times New Roman" w:eastAsia="宋体" w:cs="Times New Roman"/>
                      <w:spacing w:val="0"/>
                      <w:kern w:val="2"/>
                      <w:sz w:val="21"/>
                      <w:szCs w:val="21"/>
                    </w:rPr>
                    <w:t>0%</w:t>
                  </w:r>
                </w:p>
              </w:tc>
            </w:tr>
            <w:tr w14:paraId="38C921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9" w:type="pct"/>
                  <w:tcBorders>
                    <w:tl2br w:val="nil"/>
                    <w:tr2bl w:val="nil"/>
                  </w:tcBorders>
                  <w:vAlign w:val="center"/>
                </w:tcPr>
                <w:p w14:paraId="123097A5">
                  <w:pPr>
                    <w:pStyle w:val="61"/>
                    <w:widowControl/>
                    <w:autoSpaceDE w:val="0"/>
                    <w:autoSpaceDN w:val="0"/>
                    <w:snapToGrid w:val="0"/>
                    <w:spacing w:line="240" w:lineRule="auto"/>
                    <w:rPr>
                      <w:rFonts w:hint="default" w:ascii="Times New Roman" w:hAnsi="Times New Roman" w:eastAsia="宋体" w:cs="Times New Roman"/>
                      <w:spacing w:val="0"/>
                      <w:kern w:val="2"/>
                      <w:sz w:val="21"/>
                      <w:szCs w:val="21"/>
                    </w:rPr>
                  </w:pPr>
                  <w:r>
                    <w:rPr>
                      <w:rFonts w:hint="default" w:ascii="Times New Roman" w:hAnsi="Times New Roman" w:eastAsia="宋体" w:cs="Times New Roman"/>
                      <w:spacing w:val="0"/>
                      <w:kern w:val="2"/>
                      <w:sz w:val="21"/>
                      <w:szCs w:val="21"/>
                    </w:rPr>
                    <w:t>重点管控单元</w:t>
                  </w:r>
                </w:p>
              </w:tc>
              <w:tc>
                <w:tcPr>
                  <w:tcW w:w="1122" w:type="pct"/>
                  <w:tcBorders>
                    <w:tl2br w:val="nil"/>
                    <w:tr2bl w:val="nil"/>
                  </w:tcBorders>
                  <w:vAlign w:val="center"/>
                </w:tcPr>
                <w:p w14:paraId="433749E0">
                  <w:pPr>
                    <w:pStyle w:val="61"/>
                    <w:widowControl/>
                    <w:autoSpaceDE w:val="0"/>
                    <w:autoSpaceDN w:val="0"/>
                    <w:snapToGrid w:val="0"/>
                    <w:spacing w:line="240" w:lineRule="auto"/>
                    <w:rPr>
                      <w:rFonts w:hint="default" w:ascii="Times New Roman" w:hAnsi="Times New Roman" w:eastAsia="宋体" w:cs="Times New Roman"/>
                      <w:spacing w:val="0"/>
                      <w:kern w:val="2"/>
                      <w:sz w:val="21"/>
                      <w:szCs w:val="21"/>
                    </w:rPr>
                  </w:pPr>
                  <w:r>
                    <w:rPr>
                      <w:rFonts w:hint="default" w:ascii="Times New Roman" w:hAnsi="Times New Roman" w:eastAsia="宋体" w:cs="Times New Roman"/>
                      <w:spacing w:val="0"/>
                      <w:kern w:val="2"/>
                      <w:sz w:val="21"/>
                      <w:szCs w:val="21"/>
                    </w:rPr>
                    <w:t>是</w:t>
                  </w:r>
                </w:p>
              </w:tc>
              <w:tc>
                <w:tcPr>
                  <w:tcW w:w="1298" w:type="pct"/>
                  <w:tcBorders>
                    <w:tl2br w:val="nil"/>
                    <w:tr2bl w:val="nil"/>
                  </w:tcBorders>
                  <w:vAlign w:val="center"/>
                </w:tcPr>
                <w:p w14:paraId="18931926">
                  <w:pPr>
                    <w:pStyle w:val="61"/>
                    <w:widowControl/>
                    <w:autoSpaceDE w:val="0"/>
                    <w:autoSpaceDN w:val="0"/>
                    <w:snapToGrid w:val="0"/>
                    <w:spacing w:line="240" w:lineRule="auto"/>
                    <w:rPr>
                      <w:rFonts w:hint="default" w:ascii="Times New Roman" w:hAnsi="Times New Roman" w:eastAsia="宋体" w:cs="Times New Roman"/>
                      <w:spacing w:val="0"/>
                      <w:kern w:val="2"/>
                      <w:sz w:val="21"/>
                      <w:szCs w:val="21"/>
                    </w:rPr>
                  </w:pPr>
                  <w:r>
                    <w:rPr>
                      <w:rFonts w:ascii="Times New Roman" w:hAnsi="Times New Roman" w:cs="Times New Roman"/>
                      <w:sz w:val="21"/>
                      <w:szCs w:val="21"/>
                    </w:rPr>
                    <w:t>3083</w:t>
                  </w:r>
                  <w:r>
                    <w:rPr>
                      <w:rFonts w:hint="default" w:ascii="Times New Roman" w:hAnsi="Times New Roman" w:eastAsia="宋体" w:cs="Times New Roman"/>
                      <w:spacing w:val="0"/>
                      <w:kern w:val="2"/>
                      <w:sz w:val="21"/>
                      <w:szCs w:val="21"/>
                    </w:rPr>
                    <w:t>平方米</w:t>
                  </w:r>
                </w:p>
              </w:tc>
              <w:tc>
                <w:tcPr>
                  <w:tcW w:w="1199" w:type="pct"/>
                  <w:tcBorders>
                    <w:tl2br w:val="nil"/>
                    <w:tr2bl w:val="nil"/>
                  </w:tcBorders>
                  <w:vAlign w:val="center"/>
                </w:tcPr>
                <w:p w14:paraId="54499A29">
                  <w:pPr>
                    <w:pStyle w:val="61"/>
                    <w:widowControl/>
                    <w:autoSpaceDE w:val="0"/>
                    <w:autoSpaceDN w:val="0"/>
                    <w:snapToGrid w:val="0"/>
                    <w:spacing w:line="240" w:lineRule="auto"/>
                    <w:rPr>
                      <w:rFonts w:hint="default" w:ascii="Times New Roman" w:hAnsi="Times New Roman" w:eastAsia="宋体" w:cs="Times New Roman"/>
                      <w:spacing w:val="0"/>
                      <w:kern w:val="2"/>
                      <w:sz w:val="21"/>
                      <w:szCs w:val="21"/>
                    </w:rPr>
                  </w:pPr>
                  <w:r>
                    <w:rPr>
                      <w:rFonts w:hint="default" w:ascii="Times New Roman" w:hAnsi="Times New Roman" w:eastAsia="宋体" w:cs="Times New Roman"/>
                      <w:spacing w:val="0"/>
                      <w:kern w:val="2"/>
                      <w:sz w:val="21"/>
                      <w:szCs w:val="21"/>
                    </w:rPr>
                    <w:t>100%</w:t>
                  </w:r>
                </w:p>
              </w:tc>
            </w:tr>
          </w:tbl>
          <w:p w14:paraId="1984F885">
            <w:pPr>
              <w:pStyle w:val="2"/>
              <w:adjustRightInd w:val="0"/>
              <w:snapToGrid w:val="0"/>
              <w:ind w:left="422" w:leftChars="0" w:hanging="422"/>
              <w:jc w:val="center"/>
              <w:rPr>
                <w:rFonts w:ascii="Times New Roman" w:hAnsi="Times New Roman" w:eastAsia="宋体" w:cs="Times New Roman"/>
                <w:b/>
                <w:bCs/>
                <w:szCs w:val="21"/>
              </w:rPr>
            </w:pPr>
            <w:r>
              <w:rPr>
                <w:rFonts w:ascii="Times New Roman" w:hAnsi="Times New Roman" w:eastAsia="宋体" w:cs="Times New Roman"/>
                <w:b/>
                <w:bCs/>
                <w:szCs w:val="21"/>
              </w:rPr>
              <w:t>表1-4  与</w:t>
            </w:r>
            <w:r>
              <w:rPr>
                <w:rFonts w:hint="eastAsia" w:ascii="Times New Roman" w:hAnsi="Times New Roman" w:eastAsia="宋体" w:cs="Times New Roman"/>
                <w:b/>
                <w:bCs/>
                <w:szCs w:val="21"/>
              </w:rPr>
              <w:t>“</w:t>
            </w:r>
            <w:r>
              <w:rPr>
                <w:rFonts w:ascii="Times New Roman" w:hAnsi="Times New Roman" w:eastAsia="宋体" w:cs="Times New Roman"/>
                <w:b/>
                <w:bCs/>
                <w:szCs w:val="21"/>
              </w:rPr>
              <w:t>三线一单</w:t>
            </w:r>
            <w:r>
              <w:rPr>
                <w:rFonts w:hint="eastAsia" w:ascii="Times New Roman" w:hAnsi="Times New Roman" w:eastAsia="宋体" w:cs="Times New Roman"/>
                <w:b/>
                <w:bCs/>
                <w:szCs w:val="21"/>
              </w:rPr>
              <w:t>”</w:t>
            </w:r>
            <w:r>
              <w:rPr>
                <w:rFonts w:ascii="Times New Roman" w:hAnsi="Times New Roman" w:eastAsia="宋体" w:cs="Times New Roman"/>
                <w:b/>
                <w:bCs/>
                <w:szCs w:val="21"/>
              </w:rPr>
              <w:t>符合性分析一览表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5"/>
              <w:gridCol w:w="774"/>
              <w:gridCol w:w="757"/>
              <w:gridCol w:w="3183"/>
              <w:gridCol w:w="1987"/>
              <w:gridCol w:w="461"/>
            </w:tblGrid>
            <w:tr w14:paraId="64FACD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Borders>
                    <w:tl2br w:val="nil"/>
                    <w:tr2bl w:val="nil"/>
                  </w:tcBorders>
                  <w:vAlign w:val="center"/>
                </w:tcPr>
                <w:p w14:paraId="41944399">
                  <w:pPr>
                    <w:pStyle w:val="62"/>
                    <w:kinsoku w:val="0"/>
                    <w:wordWrap w:val="0"/>
                    <w:overflowPunct w:val="0"/>
                    <w:adjustRightInd w:val="0"/>
                    <w:snapToGrid w:val="0"/>
                    <w:rPr>
                      <w:rFonts w:ascii="Times New Roman" w:hAnsi="Times New Roman" w:cs="Times New Roman"/>
                    </w:rPr>
                  </w:pPr>
                  <w:r>
                    <w:rPr>
                      <w:rFonts w:ascii="Times New Roman" w:hAnsi="Times New Roman" w:cs="Times New Roman"/>
                    </w:rPr>
                    <w:t>管控单元名称</w:t>
                  </w:r>
                </w:p>
              </w:tc>
              <w:tc>
                <w:tcPr>
                  <w:tcW w:w="502" w:type="pct"/>
                  <w:tcBorders>
                    <w:tl2br w:val="nil"/>
                    <w:tr2bl w:val="nil"/>
                  </w:tcBorders>
                  <w:vAlign w:val="center"/>
                </w:tcPr>
                <w:p w14:paraId="2BA8B9F6">
                  <w:pPr>
                    <w:pStyle w:val="62"/>
                    <w:kinsoku w:val="0"/>
                    <w:wordWrap w:val="0"/>
                    <w:overflowPunct w:val="0"/>
                    <w:adjustRightInd w:val="0"/>
                    <w:snapToGrid w:val="0"/>
                    <w:rPr>
                      <w:rFonts w:ascii="Times New Roman" w:hAnsi="Times New Roman" w:cs="Times New Roman"/>
                    </w:rPr>
                  </w:pPr>
                  <w:r>
                    <w:rPr>
                      <w:rFonts w:ascii="Times New Roman" w:hAnsi="Times New Roman" w:cs="Times New Roman"/>
                      <w:shd w:val="clear" w:color="auto" w:fill="FFFFFF"/>
                    </w:rPr>
                    <w:t>单元要素属性</w:t>
                  </w:r>
                </w:p>
              </w:tc>
              <w:tc>
                <w:tcPr>
                  <w:tcW w:w="491" w:type="pct"/>
                  <w:tcBorders>
                    <w:tl2br w:val="nil"/>
                    <w:tr2bl w:val="nil"/>
                  </w:tcBorders>
                  <w:vAlign w:val="center"/>
                </w:tcPr>
                <w:p w14:paraId="010B048A">
                  <w:pPr>
                    <w:pStyle w:val="62"/>
                    <w:kinsoku w:val="0"/>
                    <w:wordWrap w:val="0"/>
                    <w:overflowPunct w:val="0"/>
                    <w:adjustRightInd w:val="0"/>
                    <w:snapToGrid w:val="0"/>
                    <w:rPr>
                      <w:rFonts w:ascii="Times New Roman" w:hAnsi="Times New Roman" w:cs="Times New Roman"/>
                    </w:rPr>
                  </w:pPr>
                  <w:r>
                    <w:rPr>
                      <w:rFonts w:ascii="Times New Roman" w:hAnsi="Times New Roman" w:cs="Times New Roman"/>
                      <w:shd w:val="clear" w:color="auto" w:fill="FFFFFF"/>
                    </w:rPr>
                    <w:t>管控分类要求</w:t>
                  </w:r>
                </w:p>
              </w:tc>
              <w:tc>
                <w:tcPr>
                  <w:tcW w:w="2065" w:type="pct"/>
                  <w:tcBorders>
                    <w:tl2br w:val="nil"/>
                    <w:tr2bl w:val="nil"/>
                  </w:tcBorders>
                  <w:vAlign w:val="center"/>
                </w:tcPr>
                <w:p w14:paraId="12DEA35B">
                  <w:pPr>
                    <w:pStyle w:val="62"/>
                    <w:kinsoku w:val="0"/>
                    <w:wordWrap w:val="0"/>
                    <w:overflowPunct w:val="0"/>
                    <w:adjustRightInd w:val="0"/>
                    <w:snapToGrid w:val="0"/>
                    <w:rPr>
                      <w:rFonts w:ascii="Times New Roman" w:hAnsi="Times New Roman" w:cs="Times New Roman"/>
                    </w:rPr>
                  </w:pPr>
                  <w:r>
                    <w:rPr>
                      <w:rFonts w:ascii="Times New Roman" w:hAnsi="Times New Roman" w:cs="Times New Roman"/>
                      <w:shd w:val="clear" w:color="auto" w:fill="FFFFFF"/>
                    </w:rPr>
                    <w:t>管控要求</w:t>
                  </w:r>
                </w:p>
              </w:tc>
              <w:tc>
                <w:tcPr>
                  <w:tcW w:w="1289" w:type="pct"/>
                  <w:tcBorders>
                    <w:tl2br w:val="nil"/>
                    <w:tr2bl w:val="nil"/>
                  </w:tcBorders>
                  <w:vAlign w:val="center"/>
                </w:tcPr>
                <w:p w14:paraId="6F2181E6">
                  <w:pPr>
                    <w:pStyle w:val="62"/>
                    <w:kinsoku w:val="0"/>
                    <w:wordWrap w:val="0"/>
                    <w:overflowPunct w:val="0"/>
                    <w:adjustRightInd w:val="0"/>
                    <w:snapToGrid w:val="0"/>
                    <w:rPr>
                      <w:rFonts w:ascii="Times New Roman" w:hAnsi="Times New Roman" w:cs="Times New Roman"/>
                    </w:rPr>
                  </w:pPr>
                  <w:r>
                    <w:rPr>
                      <w:rFonts w:ascii="Times New Roman" w:hAnsi="Times New Roman" w:cs="Times New Roman"/>
                    </w:rPr>
                    <w:t>本项目情况</w:t>
                  </w:r>
                </w:p>
              </w:tc>
              <w:tc>
                <w:tcPr>
                  <w:tcW w:w="299" w:type="pct"/>
                  <w:tcBorders>
                    <w:tl2br w:val="nil"/>
                    <w:tr2bl w:val="nil"/>
                  </w:tcBorders>
                  <w:vAlign w:val="center"/>
                </w:tcPr>
                <w:p w14:paraId="14B5F54A">
                  <w:pPr>
                    <w:pStyle w:val="62"/>
                    <w:kinsoku w:val="0"/>
                    <w:wordWrap w:val="0"/>
                    <w:overflowPunct w:val="0"/>
                    <w:adjustRightInd w:val="0"/>
                    <w:snapToGrid w:val="0"/>
                    <w:rPr>
                      <w:rFonts w:ascii="Times New Roman" w:hAnsi="Times New Roman" w:cs="Times New Roman"/>
                    </w:rPr>
                  </w:pPr>
                  <w:r>
                    <w:rPr>
                      <w:rFonts w:ascii="Times New Roman" w:hAnsi="Times New Roman" w:cs="Times New Roman"/>
                    </w:rPr>
                    <w:t>符合性</w:t>
                  </w:r>
                </w:p>
              </w:tc>
            </w:tr>
            <w:tr w14:paraId="27D2DE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vMerge w:val="restart"/>
                  <w:tcBorders>
                    <w:tl2br w:val="nil"/>
                    <w:tr2bl w:val="nil"/>
                  </w:tcBorders>
                  <w:vAlign w:val="center"/>
                </w:tcPr>
                <w:p w14:paraId="2BCB33AF">
                  <w:pPr>
                    <w:pStyle w:val="62"/>
                    <w:kinsoku w:val="0"/>
                    <w:wordWrap w:val="0"/>
                    <w:overflowPunct w:val="0"/>
                    <w:adjustRightInd w:val="0"/>
                    <w:snapToGrid w:val="0"/>
                    <w:rPr>
                      <w:rFonts w:ascii="Times New Roman" w:hAnsi="Times New Roman" w:cs="Times New Roman"/>
                    </w:rPr>
                  </w:pPr>
                  <w:r>
                    <w:rPr>
                      <w:rFonts w:ascii="Times New Roman" w:hAnsi="Times New Roman" w:cs="Times New Roman"/>
                    </w:rPr>
                    <w:t>陕西省宝鸡市渭滨区重点管控单元4</w:t>
                  </w:r>
                </w:p>
              </w:tc>
              <w:tc>
                <w:tcPr>
                  <w:tcW w:w="502" w:type="pct"/>
                  <w:vMerge w:val="restart"/>
                  <w:tcBorders>
                    <w:tl2br w:val="nil"/>
                    <w:tr2bl w:val="nil"/>
                  </w:tcBorders>
                  <w:vAlign w:val="center"/>
                </w:tcPr>
                <w:p w14:paraId="0F4C2220">
                  <w:pPr>
                    <w:widowControl/>
                    <w:adjustRightInd w:val="0"/>
                    <w:snapToGrid w:val="0"/>
                    <w:jc w:val="center"/>
                    <w:rPr>
                      <w:rFonts w:ascii="Times New Roman" w:hAnsi="Times New Roman" w:cs="Times New Roman"/>
                      <w:szCs w:val="21"/>
                    </w:rPr>
                  </w:pPr>
                  <w:r>
                    <w:rPr>
                      <w:rFonts w:ascii="Times New Roman" w:hAnsi="Times New Roman" w:cs="Times New Roman"/>
                      <w:szCs w:val="21"/>
                    </w:rPr>
                    <w:t>大气环境受体</w:t>
                  </w:r>
                </w:p>
                <w:p w14:paraId="4102C2E8">
                  <w:pPr>
                    <w:widowControl/>
                    <w:adjustRightInd w:val="0"/>
                    <w:snapToGrid w:val="0"/>
                    <w:jc w:val="center"/>
                    <w:rPr>
                      <w:rFonts w:ascii="Times New Roman" w:hAnsi="Times New Roman" w:cs="Times New Roman"/>
                      <w:szCs w:val="21"/>
                    </w:rPr>
                  </w:pPr>
                  <w:r>
                    <w:rPr>
                      <w:rFonts w:ascii="Times New Roman" w:hAnsi="Times New Roman" w:cs="Times New Roman"/>
                      <w:szCs w:val="21"/>
                    </w:rPr>
                    <w:t>敏感重点管控</w:t>
                  </w:r>
                </w:p>
                <w:p w14:paraId="0A8C4F8A">
                  <w:pPr>
                    <w:widowControl/>
                    <w:adjustRightInd w:val="0"/>
                    <w:snapToGrid w:val="0"/>
                    <w:jc w:val="center"/>
                    <w:rPr>
                      <w:rFonts w:ascii="Times New Roman" w:hAnsi="Times New Roman" w:cs="Times New Roman"/>
                      <w:szCs w:val="21"/>
                    </w:rPr>
                  </w:pPr>
                  <w:r>
                    <w:rPr>
                      <w:rFonts w:ascii="Times New Roman" w:hAnsi="Times New Roman" w:cs="Times New Roman"/>
                      <w:szCs w:val="21"/>
                    </w:rPr>
                    <w:t>区、水环境工业污染重点管控区、生态用</w:t>
                  </w:r>
                </w:p>
                <w:p w14:paraId="4BC206EA">
                  <w:pPr>
                    <w:widowControl/>
                    <w:adjustRightInd w:val="0"/>
                    <w:snapToGrid w:val="0"/>
                    <w:jc w:val="center"/>
                    <w:rPr>
                      <w:rFonts w:ascii="Times New Roman" w:hAnsi="Times New Roman" w:cs="Times New Roman"/>
                      <w:szCs w:val="21"/>
                    </w:rPr>
                  </w:pPr>
                  <w:r>
                    <w:rPr>
                      <w:rFonts w:ascii="Times New Roman" w:hAnsi="Times New Roman" w:cs="Times New Roman"/>
                      <w:szCs w:val="21"/>
                    </w:rPr>
                    <w:t>水补给区管控</w:t>
                  </w:r>
                </w:p>
                <w:p w14:paraId="710EC4EE">
                  <w:pPr>
                    <w:widowControl/>
                    <w:adjustRightInd w:val="0"/>
                    <w:snapToGrid w:val="0"/>
                    <w:jc w:val="center"/>
                    <w:rPr>
                      <w:rFonts w:ascii="Times New Roman" w:hAnsi="Times New Roman" w:cs="Times New Roman"/>
                      <w:szCs w:val="21"/>
                    </w:rPr>
                  </w:pPr>
                  <w:r>
                    <w:rPr>
                      <w:rFonts w:ascii="Times New Roman" w:hAnsi="Times New Roman" w:cs="Times New Roman"/>
                      <w:szCs w:val="21"/>
                    </w:rPr>
                    <w:t>分区、土地资源重点管控</w:t>
                  </w:r>
                </w:p>
                <w:p w14:paraId="7684DE8A">
                  <w:pPr>
                    <w:widowControl/>
                    <w:adjustRightInd w:val="0"/>
                    <w:snapToGrid w:val="0"/>
                    <w:jc w:val="center"/>
                    <w:rPr>
                      <w:rFonts w:ascii="Times New Roman" w:hAnsi="Times New Roman" w:cs="Times New Roman"/>
                      <w:szCs w:val="21"/>
                    </w:rPr>
                  </w:pPr>
                  <w:r>
                    <w:rPr>
                      <w:rFonts w:ascii="Times New Roman" w:hAnsi="Times New Roman" w:cs="Times New Roman"/>
                      <w:szCs w:val="21"/>
                    </w:rPr>
                    <w:t>区、高污染燃料禁燃区、姜</w:t>
                  </w:r>
                </w:p>
                <w:p w14:paraId="1F266D82">
                  <w:pPr>
                    <w:widowControl/>
                    <w:adjustRightInd w:val="0"/>
                    <w:snapToGrid w:val="0"/>
                    <w:jc w:val="center"/>
                    <w:rPr>
                      <w:rFonts w:ascii="Times New Roman" w:hAnsi="Times New Roman" w:cs="Times New Roman"/>
                      <w:szCs w:val="21"/>
                    </w:rPr>
                  </w:pPr>
                  <w:r>
                    <w:rPr>
                      <w:rFonts w:ascii="Times New Roman" w:hAnsi="Times New Roman" w:cs="Times New Roman"/>
                      <w:szCs w:val="21"/>
                    </w:rPr>
                    <w:t>谭经济技术开发区</w:t>
                  </w:r>
                </w:p>
              </w:tc>
              <w:tc>
                <w:tcPr>
                  <w:tcW w:w="491" w:type="pct"/>
                  <w:tcBorders>
                    <w:tl2br w:val="nil"/>
                    <w:tr2bl w:val="nil"/>
                  </w:tcBorders>
                  <w:vAlign w:val="center"/>
                </w:tcPr>
                <w:p w14:paraId="57673D98">
                  <w:pPr>
                    <w:pStyle w:val="62"/>
                    <w:kinsoku w:val="0"/>
                    <w:wordWrap w:val="0"/>
                    <w:overflowPunct w:val="0"/>
                    <w:adjustRightInd w:val="0"/>
                    <w:snapToGrid w:val="0"/>
                    <w:rPr>
                      <w:rFonts w:ascii="Times New Roman" w:hAnsi="Times New Roman" w:cs="Times New Roman"/>
                    </w:rPr>
                  </w:pPr>
                  <w:r>
                    <w:rPr>
                      <w:rFonts w:ascii="Times New Roman" w:hAnsi="Times New Roman" w:cs="Times New Roman"/>
                    </w:rPr>
                    <w:t>空间</w:t>
                  </w:r>
                </w:p>
                <w:p w14:paraId="2DA70E47">
                  <w:pPr>
                    <w:pStyle w:val="62"/>
                    <w:kinsoku w:val="0"/>
                    <w:wordWrap w:val="0"/>
                    <w:overflowPunct w:val="0"/>
                    <w:adjustRightInd w:val="0"/>
                    <w:snapToGrid w:val="0"/>
                    <w:rPr>
                      <w:rFonts w:ascii="Times New Roman" w:hAnsi="Times New Roman" w:cs="Times New Roman"/>
                    </w:rPr>
                  </w:pPr>
                  <w:r>
                    <w:rPr>
                      <w:rFonts w:ascii="Times New Roman" w:hAnsi="Times New Roman" w:cs="Times New Roman"/>
                    </w:rPr>
                    <w:t>布局</w:t>
                  </w:r>
                </w:p>
                <w:p w14:paraId="2A87222C">
                  <w:pPr>
                    <w:pStyle w:val="62"/>
                    <w:kinsoku w:val="0"/>
                    <w:wordWrap w:val="0"/>
                    <w:overflowPunct w:val="0"/>
                    <w:adjustRightInd w:val="0"/>
                    <w:snapToGrid w:val="0"/>
                    <w:rPr>
                      <w:rFonts w:ascii="Times New Roman" w:hAnsi="Times New Roman" w:cs="Times New Roman"/>
                    </w:rPr>
                  </w:pPr>
                  <w:r>
                    <w:rPr>
                      <w:rFonts w:ascii="Times New Roman" w:hAnsi="Times New Roman" w:cs="Times New Roman"/>
                    </w:rPr>
                    <w:t>约束</w:t>
                  </w:r>
                </w:p>
              </w:tc>
              <w:tc>
                <w:tcPr>
                  <w:tcW w:w="2065" w:type="pct"/>
                  <w:tcBorders>
                    <w:tl2br w:val="nil"/>
                    <w:tr2bl w:val="nil"/>
                  </w:tcBorders>
                  <w:vAlign w:val="center"/>
                </w:tcPr>
                <w:p w14:paraId="1A6B5C95">
                  <w:pPr>
                    <w:widowControl/>
                    <w:adjustRightInd w:val="0"/>
                    <w:snapToGrid w:val="0"/>
                    <w:jc w:val="left"/>
                    <w:rPr>
                      <w:rFonts w:ascii="Times New Roman" w:hAnsi="Times New Roman" w:cs="Times New Roman"/>
                      <w:b/>
                      <w:bCs/>
                      <w:szCs w:val="21"/>
                    </w:rPr>
                  </w:pPr>
                  <w:r>
                    <w:rPr>
                      <w:rFonts w:ascii="Times New Roman" w:hAnsi="Times New Roman" w:cs="Times New Roman"/>
                      <w:b/>
                      <w:bCs/>
                      <w:szCs w:val="21"/>
                    </w:rPr>
                    <w:t>大气环境受体敏感重点管控区：</w:t>
                  </w:r>
                </w:p>
                <w:p w14:paraId="22E7BFB7">
                  <w:pPr>
                    <w:widowControl/>
                    <w:adjustRightInd w:val="0"/>
                    <w:snapToGrid w:val="0"/>
                    <w:jc w:val="left"/>
                    <w:rPr>
                      <w:rFonts w:ascii="Times New Roman" w:hAnsi="Times New Roman" w:cs="Times New Roman"/>
                      <w:szCs w:val="21"/>
                    </w:rPr>
                  </w:pPr>
                  <w:r>
                    <w:rPr>
                      <w:rFonts w:ascii="Times New Roman" w:hAnsi="Times New Roman" w:cs="Times New Roman"/>
                      <w:szCs w:val="21"/>
                    </w:rPr>
                    <w:t>1.严格控制新增《陕西省</w:t>
                  </w:r>
                  <w:r>
                    <w:rPr>
                      <w:rFonts w:hint="eastAsia" w:ascii="Times New Roman" w:hAnsi="Times New Roman" w:cs="Times New Roman"/>
                      <w:szCs w:val="21"/>
                    </w:rPr>
                    <w:t>“</w:t>
                  </w:r>
                  <w:r>
                    <w:rPr>
                      <w:rFonts w:ascii="Times New Roman" w:hAnsi="Times New Roman" w:cs="Times New Roman"/>
                      <w:szCs w:val="21"/>
                    </w:rPr>
                    <w:t>两高</w:t>
                  </w:r>
                  <w:r>
                    <w:rPr>
                      <w:rFonts w:hint="eastAsia" w:ascii="Times New Roman" w:hAnsi="Times New Roman" w:cs="Times New Roman"/>
                      <w:szCs w:val="21"/>
                    </w:rPr>
                    <w:t>”</w:t>
                  </w:r>
                  <w:r>
                    <w:rPr>
                      <w:rFonts w:ascii="Times New Roman" w:hAnsi="Times New Roman" w:cs="Times New Roman"/>
                      <w:szCs w:val="21"/>
                    </w:rPr>
                    <w:t>项目管理暂行目录》行业项目（民生等项目除外，后续对</w:t>
                  </w:r>
                  <w:r>
                    <w:rPr>
                      <w:rFonts w:hint="eastAsia" w:ascii="Times New Roman" w:hAnsi="Times New Roman" w:cs="Times New Roman"/>
                      <w:szCs w:val="21"/>
                    </w:rPr>
                    <w:t>“</w:t>
                  </w:r>
                  <w:r>
                    <w:rPr>
                      <w:rFonts w:ascii="Times New Roman" w:hAnsi="Times New Roman" w:cs="Times New Roman"/>
                      <w:szCs w:val="21"/>
                    </w:rPr>
                    <w:t>两高</w:t>
                  </w:r>
                  <w:r>
                    <w:rPr>
                      <w:rFonts w:hint="eastAsia" w:ascii="Times New Roman" w:hAnsi="Times New Roman" w:cs="Times New Roman"/>
                      <w:szCs w:val="21"/>
                    </w:rPr>
                    <w:t>”</w:t>
                  </w:r>
                  <w:r>
                    <w:rPr>
                      <w:rFonts w:ascii="Times New Roman" w:hAnsi="Times New Roman" w:cs="Times New Roman"/>
                      <w:szCs w:val="21"/>
                    </w:rPr>
                    <w:t>范围国家如有新规定的，从其规定）。</w:t>
                  </w:r>
                </w:p>
                <w:p w14:paraId="4D1C23D9">
                  <w:pPr>
                    <w:widowControl/>
                    <w:adjustRightInd w:val="0"/>
                    <w:snapToGrid w:val="0"/>
                    <w:jc w:val="left"/>
                    <w:rPr>
                      <w:rFonts w:ascii="Times New Roman" w:hAnsi="Times New Roman" w:cs="Times New Roman"/>
                      <w:szCs w:val="21"/>
                    </w:rPr>
                  </w:pPr>
                  <w:r>
                    <w:rPr>
                      <w:rFonts w:ascii="Times New Roman" w:hAnsi="Times New Roman" w:cs="Times New Roman"/>
                      <w:szCs w:val="21"/>
                    </w:rPr>
                    <w:t>2.严禁新增钢铁、焦化、水泥熟料、平板玻璃、电解铝、氧化铝、煤化工产能。</w:t>
                  </w:r>
                </w:p>
                <w:p w14:paraId="75435EA4">
                  <w:pPr>
                    <w:widowControl/>
                    <w:adjustRightInd w:val="0"/>
                    <w:snapToGrid w:val="0"/>
                    <w:jc w:val="left"/>
                    <w:rPr>
                      <w:rFonts w:ascii="Times New Roman" w:hAnsi="Times New Roman" w:cs="Times New Roman"/>
                      <w:szCs w:val="21"/>
                    </w:rPr>
                  </w:pPr>
                  <w:r>
                    <w:rPr>
                      <w:rFonts w:ascii="Times New Roman" w:hAnsi="Times New Roman" w:cs="Times New Roman"/>
                      <w:szCs w:val="21"/>
                    </w:rPr>
                    <w:t>3.推动重污染企业搬迁入园或依法关闭，实施工业企业退城搬迁改造。</w:t>
                  </w:r>
                </w:p>
                <w:p w14:paraId="7C2611E8">
                  <w:pPr>
                    <w:widowControl/>
                    <w:adjustRightInd w:val="0"/>
                    <w:snapToGrid w:val="0"/>
                    <w:jc w:val="left"/>
                    <w:rPr>
                      <w:rFonts w:ascii="Times New Roman" w:hAnsi="Times New Roman" w:cs="Times New Roman"/>
                      <w:szCs w:val="21"/>
                    </w:rPr>
                  </w:pPr>
                  <w:r>
                    <w:rPr>
                      <w:rFonts w:ascii="Times New Roman" w:hAnsi="Times New Roman" w:cs="Times New Roman"/>
                      <w:szCs w:val="21"/>
                    </w:rPr>
                    <w:t>4.新建商住楼必须设置专用烟道，配套安装高效油烟净化设施。城市建成区全面禁止露天烧烤。严查不正常使用油烟净化设施、超标排放油烟问题。</w:t>
                  </w:r>
                </w:p>
                <w:p w14:paraId="7C0A48C3">
                  <w:pPr>
                    <w:widowControl/>
                    <w:adjustRightInd w:val="0"/>
                    <w:snapToGrid w:val="0"/>
                    <w:jc w:val="left"/>
                    <w:rPr>
                      <w:rFonts w:ascii="Times New Roman" w:hAnsi="Times New Roman" w:cs="Times New Roman"/>
                      <w:szCs w:val="21"/>
                    </w:rPr>
                  </w:pPr>
                  <w:r>
                    <w:rPr>
                      <w:rFonts w:ascii="Times New Roman" w:hAnsi="Times New Roman" w:cs="Times New Roman"/>
                      <w:b/>
                      <w:bCs/>
                      <w:szCs w:val="21"/>
                    </w:rPr>
                    <w:t>水环境工业污染重点管控区：</w:t>
                  </w:r>
                </w:p>
                <w:p w14:paraId="7216AC71">
                  <w:pPr>
                    <w:widowControl/>
                    <w:adjustRightInd w:val="0"/>
                    <w:snapToGrid w:val="0"/>
                    <w:jc w:val="left"/>
                    <w:rPr>
                      <w:rFonts w:ascii="Times New Roman" w:hAnsi="Times New Roman" w:cs="Times New Roman"/>
                      <w:szCs w:val="21"/>
                    </w:rPr>
                  </w:pPr>
                  <w:r>
                    <w:rPr>
                      <w:rFonts w:ascii="Times New Roman" w:hAnsi="Times New Roman" w:cs="Times New Roman"/>
                      <w:szCs w:val="21"/>
                    </w:rPr>
                    <w:t>根据流域水质目标和主体功能区规划要求，实施差别化环境准入政策，严格限制增加氮磷污染物排放的工业项目。关中地区严格控制新建、扩建化学制浆造纸、化工、印染、果汁和淀粉加工等高耗水、高污染项目。</w:t>
                  </w:r>
                </w:p>
                <w:p w14:paraId="3C4A79D3">
                  <w:pPr>
                    <w:widowControl/>
                    <w:adjustRightInd w:val="0"/>
                    <w:snapToGrid w:val="0"/>
                    <w:jc w:val="left"/>
                    <w:rPr>
                      <w:rFonts w:hint="eastAsia" w:ascii="Times New Roman" w:hAnsi="Times New Roman" w:cs="Times New Roman" w:eastAsiaTheme="minorEastAsia"/>
                      <w:b/>
                      <w:bCs/>
                      <w:szCs w:val="21"/>
                      <w:lang w:eastAsia="zh-CN"/>
                    </w:rPr>
                  </w:pPr>
                  <w:r>
                    <w:rPr>
                      <w:rFonts w:ascii="Times New Roman" w:hAnsi="Times New Roman" w:cs="Times New Roman"/>
                      <w:b/>
                      <w:bCs/>
                      <w:szCs w:val="21"/>
                    </w:rPr>
                    <w:t>姜谭经济技术开发区</w:t>
                  </w:r>
                  <w:r>
                    <w:rPr>
                      <w:rFonts w:hint="eastAsia" w:ascii="Times New Roman" w:hAnsi="Times New Roman" w:cs="Times New Roman"/>
                      <w:b/>
                      <w:bCs/>
                      <w:szCs w:val="21"/>
                      <w:lang w:eastAsia="zh-CN"/>
                    </w:rPr>
                    <w:t>：</w:t>
                  </w:r>
                </w:p>
                <w:p w14:paraId="3CDECB36">
                  <w:pPr>
                    <w:widowControl/>
                    <w:adjustRightInd w:val="0"/>
                    <w:snapToGrid w:val="0"/>
                    <w:jc w:val="left"/>
                    <w:rPr>
                      <w:rFonts w:ascii="Times New Roman" w:hAnsi="Times New Roman" w:cs="Times New Roman"/>
                      <w:szCs w:val="21"/>
                    </w:rPr>
                  </w:pPr>
                  <w:r>
                    <w:rPr>
                      <w:rFonts w:ascii="Times New Roman" w:hAnsi="Times New Roman" w:cs="Times New Roman"/>
                      <w:szCs w:val="21"/>
                    </w:rPr>
                    <w:t>1.禁止引进国家明令淘汰的落后工艺和落后设备。经开区不得新增涉 5 种重点重金属（镉、汞、砷、铅、六价铬）排放企业，确需入园的，实行区域内等量消减；不得新增铸造产能。不得引入钢铁冶炼生产、有色金属冶炼造纸、印染、原料药制造、煤化工、含有毒有害氰化物电镀工艺</w:t>
                  </w:r>
                  <w:r>
                    <w:rPr>
                      <w:rFonts w:hint="eastAsia" w:ascii="Times New Roman" w:hAnsi="Times New Roman" w:cs="Times New Roman"/>
                      <w:szCs w:val="21"/>
                    </w:rPr>
                    <w:t>（</w:t>
                  </w:r>
                  <w:r>
                    <w:rPr>
                      <w:rFonts w:ascii="Times New Roman" w:hAnsi="Times New Roman" w:cs="Times New Roman"/>
                      <w:szCs w:val="21"/>
                    </w:rPr>
                    <w:t>电镀金、银、铜基合金及</w:t>
                  </w:r>
                  <w:r>
                    <w:rPr>
                      <w:rFonts w:hint="eastAsia" w:ascii="Times New Roman" w:hAnsi="Times New Roman" w:cs="Times New Roman"/>
                      <w:szCs w:val="21"/>
                      <w:lang w:eastAsia="zh-CN"/>
                    </w:rPr>
                    <w:t>预</w:t>
                  </w:r>
                  <w:r>
                    <w:rPr>
                      <w:rFonts w:ascii="Times New Roman" w:hAnsi="Times New Roman" w:cs="Times New Roman"/>
                      <w:szCs w:val="21"/>
                    </w:rPr>
                    <w:t>镀铜打底工艺除外</w:t>
                  </w:r>
                  <w:r>
                    <w:rPr>
                      <w:rFonts w:hint="eastAsia" w:ascii="Times New Roman" w:hAnsi="Times New Roman" w:cs="Times New Roman"/>
                      <w:szCs w:val="21"/>
                    </w:rPr>
                    <w:t>）</w:t>
                  </w:r>
                  <w:r>
                    <w:rPr>
                      <w:rFonts w:ascii="Times New Roman" w:hAnsi="Times New Roman" w:cs="Times New Roman"/>
                      <w:szCs w:val="21"/>
                    </w:rPr>
                    <w:t>等污染严重的企业入园；不得建设涉及有毒有害、易燃易爆物质和危险化学品（危险废物暂存中转间除外）集中仓储物流。</w:t>
                  </w:r>
                </w:p>
                <w:p w14:paraId="68E7A2C7">
                  <w:pPr>
                    <w:widowControl/>
                    <w:adjustRightInd w:val="0"/>
                    <w:snapToGrid w:val="0"/>
                    <w:jc w:val="left"/>
                    <w:rPr>
                      <w:rFonts w:ascii="Times New Roman" w:hAnsi="Times New Roman" w:cs="Times New Roman"/>
                      <w:szCs w:val="21"/>
                    </w:rPr>
                  </w:pPr>
                  <w:r>
                    <w:rPr>
                      <w:rFonts w:ascii="Times New Roman" w:hAnsi="Times New Roman" w:cs="Times New Roman"/>
                      <w:szCs w:val="21"/>
                    </w:rPr>
                    <w:t xml:space="preserve">2.经开区范围内禁止建设燃煤锅 </w:t>
                  </w:r>
                </w:p>
                <w:p w14:paraId="6B919FFA">
                  <w:pPr>
                    <w:widowControl/>
                    <w:adjustRightInd w:val="0"/>
                    <w:snapToGrid w:val="0"/>
                    <w:jc w:val="left"/>
                    <w:rPr>
                      <w:rFonts w:ascii="Times New Roman" w:hAnsi="Times New Roman" w:cs="Times New Roman"/>
                      <w:szCs w:val="21"/>
                    </w:rPr>
                  </w:pPr>
                  <w:r>
                    <w:rPr>
                      <w:rFonts w:ascii="Times New Roman" w:hAnsi="Times New Roman" w:cs="Times New Roman"/>
                      <w:szCs w:val="21"/>
                    </w:rPr>
                    <w:t>炉、燃煤工业炉窑，新建工业炉窑采用电或燃气型。</w:t>
                  </w:r>
                </w:p>
                <w:p w14:paraId="35B38C4C">
                  <w:pPr>
                    <w:widowControl/>
                    <w:adjustRightInd w:val="0"/>
                    <w:snapToGrid w:val="0"/>
                    <w:jc w:val="left"/>
                    <w:rPr>
                      <w:rFonts w:ascii="Times New Roman" w:hAnsi="Times New Roman" w:cs="Times New Roman"/>
                      <w:szCs w:val="21"/>
                    </w:rPr>
                  </w:pPr>
                  <w:r>
                    <w:rPr>
                      <w:rFonts w:ascii="Times New Roman" w:hAnsi="Times New Roman" w:cs="Times New Roman"/>
                      <w:szCs w:val="21"/>
                    </w:rPr>
                    <w:t>3.区内新建、改建、扩建的工业项目依法进行环境影响评价。</w:t>
                  </w:r>
                </w:p>
                <w:p w14:paraId="2F4D7E2E">
                  <w:pPr>
                    <w:widowControl/>
                    <w:adjustRightInd w:val="0"/>
                    <w:snapToGrid w:val="0"/>
                    <w:jc w:val="left"/>
                    <w:rPr>
                      <w:rFonts w:ascii="Times New Roman" w:hAnsi="Times New Roman" w:cs="Times New Roman"/>
                      <w:szCs w:val="21"/>
                    </w:rPr>
                  </w:pPr>
                  <w:r>
                    <w:rPr>
                      <w:rFonts w:ascii="Times New Roman" w:hAnsi="Times New Roman" w:cs="Times New Roman"/>
                      <w:szCs w:val="21"/>
                    </w:rPr>
                    <w:t>4.区内现有企业部分用地位于渭河堤防向外侧200m 范围，应按照渭河生态区总体规划要求，逐步退出或改建，不得新建有污染的工业项目。</w:t>
                  </w:r>
                </w:p>
                <w:p w14:paraId="6D7BB6E5">
                  <w:pPr>
                    <w:widowControl/>
                    <w:adjustRightInd w:val="0"/>
                    <w:snapToGrid w:val="0"/>
                    <w:jc w:val="left"/>
                    <w:rPr>
                      <w:rFonts w:ascii="Times New Roman" w:hAnsi="Times New Roman" w:cs="Times New Roman"/>
                      <w:szCs w:val="21"/>
                    </w:rPr>
                  </w:pPr>
                  <w:r>
                    <w:rPr>
                      <w:rFonts w:ascii="Times New Roman" w:hAnsi="Times New Roman" w:cs="Times New Roman"/>
                      <w:szCs w:val="21"/>
                    </w:rPr>
                    <w:t>5.执行宝鸡市生态环境要素分区总体准入清单中</w:t>
                  </w:r>
                  <w:r>
                    <w:rPr>
                      <w:rFonts w:hint="eastAsia" w:ascii="Times New Roman" w:hAnsi="Times New Roman" w:cs="Times New Roman"/>
                      <w:szCs w:val="21"/>
                    </w:rPr>
                    <w:t>“</w:t>
                  </w:r>
                  <w:r>
                    <w:rPr>
                      <w:rFonts w:ascii="Times New Roman" w:hAnsi="Times New Roman" w:cs="Times New Roman"/>
                      <w:szCs w:val="21"/>
                    </w:rPr>
                    <w:t>5.1 大气环境受体敏感重点管控区的空间布局约束</w:t>
                  </w:r>
                  <w:r>
                    <w:rPr>
                      <w:rFonts w:hint="eastAsia" w:ascii="Times New Roman" w:hAnsi="Times New Roman" w:cs="Times New Roman"/>
                      <w:szCs w:val="21"/>
                    </w:rPr>
                    <w:t>”</w:t>
                  </w:r>
                  <w:r>
                    <w:rPr>
                      <w:rFonts w:ascii="Times New Roman" w:hAnsi="Times New Roman" w:cs="Times New Roman"/>
                      <w:szCs w:val="21"/>
                    </w:rPr>
                    <w:t>；</w:t>
                  </w:r>
                </w:p>
                <w:p w14:paraId="5F62CCC1">
                  <w:pPr>
                    <w:widowControl/>
                    <w:adjustRightInd w:val="0"/>
                    <w:snapToGrid w:val="0"/>
                    <w:jc w:val="left"/>
                    <w:rPr>
                      <w:rFonts w:ascii="Times New Roman" w:hAnsi="Times New Roman" w:cs="Times New Roman"/>
                      <w:szCs w:val="21"/>
                    </w:rPr>
                  </w:pPr>
                  <w:r>
                    <w:rPr>
                      <w:rFonts w:ascii="Times New Roman" w:hAnsi="Times New Roman" w:cs="Times New Roman"/>
                      <w:szCs w:val="21"/>
                    </w:rPr>
                    <w:t>6.执行宝鸡市生态环境要素分区总体准入清单中</w:t>
                  </w:r>
                  <w:r>
                    <w:rPr>
                      <w:rFonts w:hint="eastAsia" w:ascii="Times New Roman" w:hAnsi="Times New Roman" w:cs="Times New Roman"/>
                      <w:szCs w:val="21"/>
                    </w:rPr>
                    <w:t>“</w:t>
                  </w:r>
                  <w:r>
                    <w:rPr>
                      <w:rFonts w:ascii="Times New Roman" w:hAnsi="Times New Roman" w:cs="Times New Roman"/>
                      <w:szCs w:val="21"/>
                    </w:rPr>
                    <w:t>5.3 大气环境布局敏感重点管控区的空间布局约束</w:t>
                  </w:r>
                  <w:r>
                    <w:rPr>
                      <w:rFonts w:hint="eastAsia" w:ascii="Times New Roman" w:hAnsi="Times New Roman" w:cs="Times New Roman"/>
                      <w:szCs w:val="21"/>
                    </w:rPr>
                    <w:t>”</w:t>
                  </w:r>
                  <w:r>
                    <w:rPr>
                      <w:rFonts w:ascii="Times New Roman" w:hAnsi="Times New Roman" w:cs="Times New Roman"/>
                      <w:szCs w:val="21"/>
                    </w:rPr>
                    <w:t>；</w:t>
                  </w:r>
                </w:p>
                <w:p w14:paraId="2EB00307">
                  <w:pPr>
                    <w:widowControl/>
                    <w:adjustRightInd w:val="0"/>
                    <w:snapToGrid w:val="0"/>
                    <w:jc w:val="left"/>
                    <w:rPr>
                      <w:rFonts w:ascii="Times New Roman" w:hAnsi="Times New Roman" w:cs="Times New Roman"/>
                      <w:szCs w:val="21"/>
                    </w:rPr>
                  </w:pPr>
                  <w:r>
                    <w:rPr>
                      <w:rFonts w:ascii="Times New Roman" w:hAnsi="Times New Roman" w:cs="Times New Roman"/>
                      <w:szCs w:val="21"/>
                    </w:rPr>
                    <w:t>7.执行宝鸡市生态环境要素分区总体准入清单中</w:t>
                  </w:r>
                  <w:r>
                    <w:rPr>
                      <w:rFonts w:hint="eastAsia" w:ascii="Times New Roman" w:hAnsi="Times New Roman" w:cs="Times New Roman"/>
                      <w:szCs w:val="21"/>
                    </w:rPr>
                    <w:t>“</w:t>
                  </w:r>
                  <w:r>
                    <w:rPr>
                      <w:rFonts w:ascii="Times New Roman" w:hAnsi="Times New Roman" w:cs="Times New Roman"/>
                      <w:szCs w:val="21"/>
                    </w:rPr>
                    <w:t>5.5 水环境工业污染重点管控区的空间布局约束</w:t>
                  </w:r>
                  <w:r>
                    <w:rPr>
                      <w:rFonts w:hint="eastAsia" w:ascii="Times New Roman" w:hAnsi="Times New Roman" w:cs="Times New Roman"/>
                      <w:szCs w:val="21"/>
                    </w:rPr>
                    <w:t>”</w:t>
                  </w:r>
                  <w:r>
                    <w:rPr>
                      <w:rFonts w:ascii="Times New Roman" w:hAnsi="Times New Roman" w:cs="Times New Roman"/>
                      <w:szCs w:val="21"/>
                    </w:rPr>
                    <w:t xml:space="preserve">； </w:t>
                  </w:r>
                </w:p>
                <w:p w14:paraId="5C24DD9A">
                  <w:pPr>
                    <w:widowControl/>
                    <w:adjustRightInd w:val="0"/>
                    <w:snapToGrid w:val="0"/>
                    <w:jc w:val="left"/>
                    <w:rPr>
                      <w:rFonts w:ascii="Times New Roman" w:hAnsi="Times New Roman" w:cs="Times New Roman"/>
                      <w:szCs w:val="21"/>
                    </w:rPr>
                  </w:pPr>
                  <w:r>
                    <w:rPr>
                      <w:rFonts w:ascii="Times New Roman" w:hAnsi="Times New Roman" w:cs="Times New Roman"/>
                      <w:szCs w:val="21"/>
                    </w:rPr>
                    <w:t>8.执行宝鸡市生态环境要素分区总体准入清单中</w:t>
                  </w:r>
                  <w:r>
                    <w:rPr>
                      <w:rFonts w:hint="eastAsia" w:ascii="Times New Roman" w:hAnsi="Times New Roman" w:cs="Times New Roman"/>
                      <w:szCs w:val="21"/>
                    </w:rPr>
                    <w:t>“</w:t>
                  </w:r>
                  <w:r>
                    <w:rPr>
                      <w:rFonts w:ascii="Times New Roman" w:hAnsi="Times New Roman" w:cs="Times New Roman"/>
                      <w:szCs w:val="21"/>
                    </w:rPr>
                    <w:t>5.9 建设用地污染风险重点管控区的空间布局约束</w:t>
                  </w:r>
                  <w:r>
                    <w:rPr>
                      <w:rFonts w:hint="eastAsia" w:ascii="Times New Roman" w:hAnsi="Times New Roman" w:cs="Times New Roman"/>
                      <w:szCs w:val="21"/>
                    </w:rPr>
                    <w:t>”</w:t>
                  </w:r>
                  <w:r>
                    <w:rPr>
                      <w:rFonts w:ascii="Times New Roman" w:hAnsi="Times New Roman" w:cs="Times New Roman"/>
                      <w:szCs w:val="21"/>
                    </w:rPr>
                    <w:t>；</w:t>
                  </w:r>
                </w:p>
                <w:p w14:paraId="15BF035C">
                  <w:pPr>
                    <w:widowControl/>
                    <w:adjustRightInd w:val="0"/>
                    <w:snapToGrid w:val="0"/>
                    <w:jc w:val="left"/>
                    <w:rPr>
                      <w:rFonts w:ascii="Times New Roman" w:hAnsi="Times New Roman" w:cs="Times New Roman"/>
                      <w:szCs w:val="21"/>
                    </w:rPr>
                  </w:pPr>
                  <w:r>
                    <w:rPr>
                      <w:rFonts w:ascii="Times New Roman" w:hAnsi="Times New Roman" w:cs="Times New Roman"/>
                      <w:szCs w:val="21"/>
                    </w:rPr>
                    <w:t xml:space="preserve">9.农用地优先保护区执行宝鸡市生态环境要素分区总体 </w:t>
                  </w:r>
                </w:p>
                <w:p w14:paraId="0D49D2FA">
                  <w:pPr>
                    <w:widowControl/>
                    <w:adjustRightInd w:val="0"/>
                    <w:snapToGrid w:val="0"/>
                    <w:jc w:val="left"/>
                    <w:rPr>
                      <w:rFonts w:ascii="Times New Roman" w:hAnsi="Times New Roman" w:cs="Times New Roman"/>
                      <w:szCs w:val="21"/>
                    </w:rPr>
                  </w:pPr>
                  <w:r>
                    <w:rPr>
                      <w:rFonts w:ascii="Times New Roman" w:hAnsi="Times New Roman" w:cs="Times New Roman"/>
                      <w:szCs w:val="21"/>
                    </w:rPr>
                    <w:t>准入清单中</w:t>
                  </w:r>
                  <w:r>
                    <w:rPr>
                      <w:rFonts w:hint="eastAsia" w:ascii="Times New Roman" w:hAnsi="Times New Roman" w:cs="Times New Roman"/>
                      <w:szCs w:val="21"/>
                    </w:rPr>
                    <w:t>“</w:t>
                  </w:r>
                  <w:r>
                    <w:rPr>
                      <w:rFonts w:ascii="Times New Roman" w:hAnsi="Times New Roman" w:cs="Times New Roman"/>
                      <w:szCs w:val="21"/>
                    </w:rPr>
                    <w:t>4.2 农用地优先保护区的空间布局约束</w:t>
                  </w:r>
                  <w:r>
                    <w:rPr>
                      <w:rFonts w:hint="eastAsia" w:ascii="Times New Roman" w:hAnsi="Times New Roman" w:cs="Times New Roman"/>
                      <w:szCs w:val="21"/>
                    </w:rPr>
                    <w:t>”</w:t>
                  </w:r>
                  <w:r>
                    <w:rPr>
                      <w:rFonts w:ascii="Times New Roman" w:hAnsi="Times New Roman" w:cs="Times New Roman"/>
                      <w:szCs w:val="21"/>
                    </w:rPr>
                    <w:t>。</w:t>
                  </w:r>
                </w:p>
              </w:tc>
              <w:tc>
                <w:tcPr>
                  <w:tcW w:w="1289" w:type="pct"/>
                  <w:tcBorders>
                    <w:tl2br w:val="nil"/>
                    <w:tr2bl w:val="nil"/>
                  </w:tcBorders>
                  <w:vAlign w:val="center"/>
                </w:tcPr>
                <w:p w14:paraId="1826BCED">
                  <w:pPr>
                    <w:pStyle w:val="62"/>
                    <w:wordWrap w:val="0"/>
                    <w:topLinePunct/>
                    <w:adjustRightInd w:val="0"/>
                    <w:snapToGrid w:val="0"/>
                    <w:jc w:val="left"/>
                    <w:rPr>
                      <w:rFonts w:ascii="Times New Roman" w:hAnsi="Times New Roman" w:cs="Times New Roman"/>
                    </w:rPr>
                  </w:pPr>
                  <w:r>
                    <w:rPr>
                      <w:rFonts w:ascii="Times New Roman" w:hAnsi="Times New Roman" w:cs="Times New Roman"/>
                    </w:rPr>
                    <w:t>①对照</w:t>
                  </w:r>
                  <w:r>
                    <w:rPr>
                      <w:rFonts w:ascii="Times New Roman" w:hAnsi="Times New Roman" w:cs="Times New Roman"/>
                      <w:kern w:val="2"/>
                    </w:rPr>
                    <w:t>《陕西省</w:t>
                  </w:r>
                  <w:r>
                    <w:rPr>
                      <w:rFonts w:hint="eastAsia" w:ascii="Times New Roman" w:hAnsi="Times New Roman" w:cs="Times New Roman"/>
                      <w:kern w:val="2"/>
                    </w:rPr>
                    <w:t>“</w:t>
                  </w:r>
                  <w:r>
                    <w:rPr>
                      <w:rFonts w:ascii="Times New Roman" w:hAnsi="Times New Roman" w:cs="Times New Roman"/>
                      <w:kern w:val="2"/>
                    </w:rPr>
                    <w:t>两高</w:t>
                  </w:r>
                  <w:r>
                    <w:rPr>
                      <w:rFonts w:hint="eastAsia" w:ascii="Times New Roman" w:hAnsi="Times New Roman" w:cs="Times New Roman"/>
                      <w:kern w:val="2"/>
                    </w:rPr>
                    <w:t>”</w:t>
                  </w:r>
                  <w:r>
                    <w:rPr>
                      <w:rFonts w:ascii="Times New Roman" w:hAnsi="Times New Roman" w:cs="Times New Roman"/>
                      <w:kern w:val="2"/>
                    </w:rPr>
                    <w:t>项目管理暂行目录》，本项目不属</w:t>
                  </w:r>
                  <w:r>
                    <w:rPr>
                      <w:rFonts w:hint="eastAsia" w:ascii="Times New Roman" w:hAnsi="Times New Roman" w:cs="Times New Roman"/>
                      <w:kern w:val="2"/>
                    </w:rPr>
                    <w:t>“</w:t>
                  </w:r>
                  <w:r>
                    <w:rPr>
                      <w:rFonts w:ascii="Times New Roman" w:hAnsi="Times New Roman" w:cs="Times New Roman"/>
                      <w:kern w:val="2"/>
                    </w:rPr>
                    <w:t>两高</w:t>
                  </w:r>
                  <w:r>
                    <w:rPr>
                      <w:rFonts w:hint="eastAsia" w:ascii="Times New Roman" w:hAnsi="Times New Roman" w:cs="Times New Roman"/>
                      <w:kern w:val="2"/>
                    </w:rPr>
                    <w:t>”</w:t>
                  </w:r>
                  <w:r>
                    <w:rPr>
                      <w:rFonts w:ascii="Times New Roman" w:hAnsi="Times New Roman" w:cs="Times New Roman"/>
                      <w:kern w:val="2"/>
                    </w:rPr>
                    <w:t>项目范围；</w:t>
                  </w:r>
                </w:p>
                <w:p w14:paraId="3397EEE6">
                  <w:pPr>
                    <w:widowControl/>
                    <w:adjustRightInd w:val="0"/>
                    <w:snapToGrid w:val="0"/>
                    <w:jc w:val="left"/>
                    <w:rPr>
                      <w:rFonts w:ascii="Times New Roman" w:hAnsi="Times New Roman" w:cs="Times New Roman"/>
                      <w:szCs w:val="21"/>
                    </w:rPr>
                  </w:pPr>
                  <w:r>
                    <w:rPr>
                      <w:rFonts w:ascii="Times New Roman" w:hAnsi="Times New Roman" w:cs="Times New Roman"/>
                      <w:szCs w:val="21"/>
                    </w:rPr>
                    <w:t>②本项目为</w:t>
                  </w:r>
                  <w:r>
                    <w:rPr>
                      <w:rFonts w:hint="eastAsia" w:ascii="Times New Roman" w:hAnsi="Times New Roman" w:cs="Times New Roman"/>
                      <w:szCs w:val="21"/>
                    </w:rPr>
                    <w:t>金属表面处理</w:t>
                  </w:r>
                  <w:r>
                    <w:rPr>
                      <w:rFonts w:ascii="Times New Roman" w:hAnsi="Times New Roman" w:cs="Times New Roman"/>
                      <w:szCs w:val="21"/>
                    </w:rPr>
                    <w:t>，不属于上述钢铁、焦化、水泥熟料、平板玻璃、电解铝、氧化铝、煤化工等禁止类项目；</w:t>
                  </w:r>
                </w:p>
                <w:p w14:paraId="557376F2">
                  <w:pPr>
                    <w:pStyle w:val="8"/>
                    <w:rPr>
                      <w:rFonts w:ascii="Times New Roman" w:hAnsi="Times New Roman" w:cs="Times New Roman"/>
                      <w:szCs w:val="21"/>
                    </w:rPr>
                  </w:pPr>
                  <w:r>
                    <w:rPr>
                      <w:rFonts w:ascii="Times New Roman" w:hAnsi="Times New Roman" w:cs="Times New Roman"/>
                      <w:szCs w:val="21"/>
                    </w:rPr>
                    <w:t>③本项目</w:t>
                  </w:r>
                  <w:r>
                    <w:rPr>
                      <w:rFonts w:hint="eastAsia" w:ascii="Times New Roman" w:hAnsi="Times New Roman" w:cs="Times New Roman"/>
                      <w:szCs w:val="21"/>
                    </w:rPr>
                    <w:t>不设置</w:t>
                  </w:r>
                  <w:r>
                    <w:rPr>
                      <w:rFonts w:ascii="Times New Roman" w:hAnsi="Times New Roman" w:cs="Times New Roman"/>
                      <w:szCs w:val="21"/>
                    </w:rPr>
                    <w:t>食堂</w:t>
                  </w:r>
                  <w:r>
                    <w:rPr>
                      <w:rFonts w:hint="eastAsia" w:ascii="Times New Roman" w:hAnsi="Times New Roman" w:cs="Times New Roman"/>
                      <w:szCs w:val="21"/>
                    </w:rPr>
                    <w:t>，</w:t>
                  </w:r>
                  <w:r>
                    <w:rPr>
                      <w:rFonts w:hint="eastAsia"/>
                      <w:szCs w:val="21"/>
                    </w:rPr>
                    <w:t>因此不涉及食堂油烟的排放</w:t>
                  </w:r>
                  <w:r>
                    <w:rPr>
                      <w:rFonts w:ascii="Times New Roman" w:hAnsi="Times New Roman" w:cs="Times New Roman"/>
                      <w:szCs w:val="21"/>
                    </w:rPr>
                    <w:t>；</w:t>
                  </w:r>
                </w:p>
                <w:p w14:paraId="6249B4F6">
                  <w:pPr>
                    <w:pStyle w:val="62"/>
                    <w:wordWrap w:val="0"/>
                    <w:topLinePunct/>
                    <w:adjustRightInd w:val="0"/>
                    <w:snapToGrid w:val="0"/>
                    <w:jc w:val="left"/>
                    <w:rPr>
                      <w:rFonts w:ascii="Times New Roman" w:hAnsi="Times New Roman" w:cs="Times New Roman"/>
                    </w:rPr>
                  </w:pPr>
                  <w:r>
                    <w:rPr>
                      <w:rFonts w:ascii="Times New Roman" w:hAnsi="Times New Roman" w:cs="Times New Roman"/>
                    </w:rPr>
                    <w:t>④本项目为</w:t>
                  </w:r>
                  <w:r>
                    <w:rPr>
                      <w:rFonts w:hint="eastAsia" w:ascii="Times New Roman" w:hAnsi="Times New Roman" w:cs="Times New Roman"/>
                    </w:rPr>
                    <w:t>金属表面处理</w:t>
                  </w:r>
                  <w:r>
                    <w:rPr>
                      <w:rFonts w:ascii="Times New Roman" w:hAnsi="Times New Roman" w:cs="Times New Roman"/>
                    </w:rPr>
                    <w:t>，不属于上述</w:t>
                  </w:r>
                  <w:r>
                    <w:rPr>
                      <w:rFonts w:ascii="Times New Roman" w:hAnsi="Times New Roman" w:cs="Times New Roman"/>
                      <w:kern w:val="2"/>
                    </w:rPr>
                    <w:t>化学制浆造纸、化工、印染、果汁和淀粉加工等高耗水、高污染项目，生产废水</w:t>
                  </w:r>
                  <w:r>
                    <w:rPr>
                      <w:rFonts w:hint="eastAsia" w:ascii="Times New Roman" w:hAnsi="Times New Roman" w:cs="Times New Roman"/>
                      <w:kern w:val="2"/>
                    </w:rPr>
                    <w:t>不</w:t>
                  </w:r>
                  <w:r>
                    <w:rPr>
                      <w:rFonts w:ascii="Times New Roman" w:hAnsi="Times New Roman" w:cs="Times New Roman"/>
                      <w:kern w:val="2"/>
                    </w:rPr>
                    <w:t>排放。</w:t>
                  </w:r>
                </w:p>
                <w:p w14:paraId="73B6D8ED">
                  <w:pPr>
                    <w:pStyle w:val="62"/>
                    <w:wordWrap w:val="0"/>
                    <w:topLinePunct/>
                    <w:adjustRightInd w:val="0"/>
                    <w:snapToGrid w:val="0"/>
                    <w:jc w:val="left"/>
                    <w:rPr>
                      <w:rFonts w:ascii="Times New Roman" w:hAnsi="Times New Roman" w:cs="Times New Roman"/>
                    </w:rPr>
                  </w:pPr>
                  <w:r>
                    <w:rPr>
                      <w:rFonts w:ascii="Times New Roman" w:hAnsi="Times New Roman" w:cs="Times New Roman"/>
                    </w:rPr>
                    <w:t>⑤本项目为</w:t>
                  </w:r>
                  <w:r>
                    <w:rPr>
                      <w:rFonts w:hint="eastAsia" w:ascii="Times New Roman" w:hAnsi="Times New Roman" w:cs="Times New Roman"/>
                    </w:rPr>
                    <w:t>金属表面处理</w:t>
                  </w:r>
                  <w:r>
                    <w:rPr>
                      <w:rFonts w:ascii="Times New Roman" w:hAnsi="Times New Roman" w:cs="Times New Roman"/>
                    </w:rPr>
                    <w:t>，采取目前国内先进的工艺以及设备；不属于钢铁冶炼生产、有色金属冶炼造纸、印染、原料药制造、煤化工、含有毒有害氰化物电镀工艺等禁止新增产能；</w:t>
                  </w:r>
                </w:p>
                <w:p w14:paraId="02B84701">
                  <w:pPr>
                    <w:pStyle w:val="62"/>
                    <w:wordWrap w:val="0"/>
                    <w:topLinePunct/>
                    <w:adjustRightInd w:val="0"/>
                    <w:snapToGrid w:val="0"/>
                    <w:jc w:val="left"/>
                    <w:rPr>
                      <w:rFonts w:ascii="Times New Roman" w:hAnsi="Times New Roman" w:cs="Times New Roman"/>
                    </w:rPr>
                  </w:pPr>
                  <w:r>
                    <w:rPr>
                      <w:rFonts w:ascii="Times New Roman" w:hAnsi="Times New Roman" w:cs="Times New Roman"/>
                    </w:rPr>
                    <w:t>⑥项目不涉及煤等高污染燃料；</w:t>
                  </w:r>
                </w:p>
                <w:p w14:paraId="19E4CE33">
                  <w:pPr>
                    <w:pStyle w:val="62"/>
                    <w:wordWrap w:val="0"/>
                    <w:topLinePunct/>
                    <w:adjustRightInd w:val="0"/>
                    <w:snapToGrid w:val="0"/>
                    <w:jc w:val="left"/>
                    <w:rPr>
                      <w:rFonts w:hint="eastAsia" w:ascii="Times New Roman" w:hAnsi="Times New Roman" w:cs="Times New Roman" w:eastAsiaTheme="minorEastAsia"/>
                      <w:lang w:eastAsia="zh-CN"/>
                    </w:rPr>
                  </w:pPr>
                  <w:r>
                    <w:rPr>
                      <w:rFonts w:ascii="Times New Roman" w:hAnsi="Times New Roman" w:cs="Times New Roman"/>
                    </w:rPr>
                    <w:t>⑥本项目按照</w:t>
                  </w:r>
                  <w:r>
                    <w:rPr>
                      <w:rFonts w:hint="eastAsia" w:ascii="Times New Roman" w:hAnsi="Times New Roman" w:cs="Times New Roman"/>
                    </w:rPr>
                    <w:t>“</w:t>
                  </w:r>
                  <w:r>
                    <w:rPr>
                      <w:rFonts w:ascii="Times New Roman" w:hAnsi="Times New Roman" w:cs="Times New Roman"/>
                    </w:rPr>
                    <w:t>三同时</w:t>
                  </w:r>
                  <w:r>
                    <w:rPr>
                      <w:rFonts w:hint="eastAsia" w:ascii="Times New Roman" w:hAnsi="Times New Roman" w:cs="Times New Roman"/>
                    </w:rPr>
                    <w:t>”</w:t>
                  </w:r>
                  <w:r>
                    <w:rPr>
                      <w:rFonts w:ascii="Times New Roman" w:hAnsi="Times New Roman" w:cs="Times New Roman"/>
                    </w:rPr>
                    <w:t>的要求正在进行环境影响评价工作</w:t>
                  </w:r>
                  <w:r>
                    <w:rPr>
                      <w:rFonts w:hint="eastAsia" w:ascii="Times New Roman" w:hAnsi="Times New Roman" w:cs="Times New Roman"/>
                      <w:lang w:eastAsia="zh-CN"/>
                    </w:rPr>
                    <w:t>；</w:t>
                  </w:r>
                </w:p>
                <w:p w14:paraId="55D6E9DE">
                  <w:pPr>
                    <w:pStyle w:val="62"/>
                    <w:wordWrap w:val="0"/>
                    <w:topLinePunct/>
                    <w:adjustRightInd w:val="0"/>
                    <w:snapToGrid w:val="0"/>
                    <w:jc w:val="left"/>
                    <w:rPr>
                      <w:rFonts w:ascii="Times New Roman" w:hAnsi="Times New Roman" w:cs="Times New Roman"/>
                    </w:rPr>
                  </w:pPr>
                  <w:r>
                    <w:rPr>
                      <w:rFonts w:ascii="Times New Roman" w:hAnsi="Times New Roman" w:cs="Times New Roman"/>
                      <w:color w:val="auto"/>
                    </w:rPr>
                    <w:t>⑦本项目位于渭河堤</w:t>
                  </w:r>
                  <w:r>
                    <w:rPr>
                      <w:rFonts w:hint="eastAsia"/>
                      <w:color w:val="auto"/>
                    </w:rPr>
                    <w:t>南侧</w:t>
                  </w:r>
                  <w:r>
                    <w:rPr>
                      <w:rFonts w:hint="eastAsia" w:ascii="Times New Roman" w:hAnsi="Times New Roman" w:cs="Times New Roman"/>
                      <w:color w:val="auto"/>
                    </w:rPr>
                    <w:t>8</w:t>
                  </w:r>
                  <w:r>
                    <w:rPr>
                      <w:rFonts w:hint="eastAsia" w:ascii="Times New Roman" w:hAnsi="Times New Roman" w:cs="Times New Roman"/>
                    </w:rPr>
                    <w:t>50</w:t>
                  </w:r>
                  <w:r>
                    <w:rPr>
                      <w:rFonts w:ascii="Times New Roman" w:hAnsi="Times New Roman" w:cs="Times New Roman"/>
                    </w:rPr>
                    <w:t>m，不在其生态保护范围内；</w:t>
                  </w:r>
                </w:p>
                <w:p w14:paraId="1B21203B">
                  <w:pPr>
                    <w:pStyle w:val="62"/>
                    <w:wordWrap w:val="0"/>
                    <w:topLinePunct/>
                    <w:adjustRightInd w:val="0"/>
                    <w:snapToGrid w:val="0"/>
                    <w:jc w:val="left"/>
                    <w:rPr>
                      <w:rFonts w:ascii="Times New Roman" w:hAnsi="Times New Roman" w:cs="Times New Roman"/>
                    </w:rPr>
                  </w:pPr>
                  <w:r>
                    <w:rPr>
                      <w:rFonts w:ascii="Times New Roman" w:hAnsi="Times New Roman" w:cs="Times New Roman"/>
                    </w:rPr>
                    <w:t>⑧对照宝鸡市生态环境分区管控准入清单中</w:t>
                  </w:r>
                  <w:r>
                    <w:rPr>
                      <w:rFonts w:ascii="Times New Roman" w:hAnsi="Times New Roman" w:cs="Times New Roman"/>
                      <w:kern w:val="2"/>
                    </w:rPr>
                    <w:t>5.1 大气环境受体敏感重点管控区的空间布局约束的要求</w:t>
                  </w:r>
                  <w:r>
                    <w:rPr>
                      <w:rFonts w:ascii="Times New Roman" w:hAnsi="Times New Roman" w:cs="Times New Roman"/>
                    </w:rPr>
                    <w:t>，本项目不属于煤电、石化、化工、钢铁、有色金属冶炼、建材等两高行业项目；</w:t>
                  </w:r>
                </w:p>
                <w:p w14:paraId="7220CC11">
                  <w:pPr>
                    <w:pStyle w:val="62"/>
                    <w:wordWrap w:val="0"/>
                    <w:topLinePunct/>
                    <w:adjustRightInd w:val="0"/>
                    <w:snapToGrid w:val="0"/>
                    <w:jc w:val="left"/>
                    <w:rPr>
                      <w:rFonts w:ascii="Times New Roman" w:hAnsi="Times New Roman" w:cs="Times New Roman"/>
                    </w:rPr>
                  </w:pPr>
                  <w:r>
                    <w:rPr>
                      <w:rFonts w:ascii="Times New Roman" w:hAnsi="Times New Roman" w:cs="Times New Roman"/>
                    </w:rPr>
                    <w:t>⑨对照宝鸡市生态环境分区管控准入清单中</w:t>
                  </w:r>
                  <w:r>
                    <w:rPr>
                      <w:rFonts w:ascii="Times New Roman" w:hAnsi="Times New Roman" w:cs="Times New Roman"/>
                      <w:kern w:val="2"/>
                    </w:rPr>
                    <w:t>5.3 大气环境布局敏感重点管控区的空间布局约束</w:t>
                  </w:r>
                  <w:r>
                    <w:rPr>
                      <w:rFonts w:ascii="Times New Roman" w:hAnsi="Times New Roman" w:cs="Times New Roman"/>
                    </w:rPr>
                    <w:t>要求，本项目为</w:t>
                  </w:r>
                  <w:r>
                    <w:rPr>
                      <w:rFonts w:hint="eastAsia" w:ascii="Times New Roman" w:hAnsi="Times New Roman" w:cs="Times New Roman"/>
                    </w:rPr>
                    <w:t>金属表面处理</w:t>
                  </w:r>
                  <w:r>
                    <w:rPr>
                      <w:rFonts w:ascii="Times New Roman" w:hAnsi="Times New Roman" w:cs="Times New Roman"/>
                    </w:rPr>
                    <w:t>，不属于煤电、石化、化工、钢铁、有色金属冶炼、建材等两高行业项目；</w:t>
                  </w:r>
                </w:p>
                <w:p w14:paraId="694691AB">
                  <w:pPr>
                    <w:pStyle w:val="62"/>
                    <w:wordWrap w:val="0"/>
                    <w:topLinePunct/>
                    <w:adjustRightInd w:val="0"/>
                    <w:snapToGrid w:val="0"/>
                    <w:jc w:val="left"/>
                    <w:rPr>
                      <w:rFonts w:ascii="Times New Roman" w:hAnsi="Times New Roman" w:cs="Times New Roman"/>
                      <w:kern w:val="2"/>
                    </w:rPr>
                  </w:pPr>
                  <w:r>
                    <w:rPr>
                      <w:rFonts w:ascii="Times New Roman" w:hAnsi="Times New Roman" w:cs="Times New Roman"/>
                    </w:rPr>
                    <w:t>⑩对照宝鸡市生态环境分区管控准入清单中</w:t>
                  </w:r>
                  <w:r>
                    <w:rPr>
                      <w:rFonts w:ascii="Times New Roman" w:hAnsi="Times New Roman" w:cs="Times New Roman"/>
                      <w:kern w:val="2"/>
                    </w:rPr>
                    <w:t>5.5 水环境工业污染重点管控区的空间布局约束</w:t>
                  </w:r>
                  <w:r>
                    <w:rPr>
                      <w:rFonts w:ascii="Times New Roman" w:hAnsi="Times New Roman" w:cs="Times New Roman"/>
                    </w:rPr>
                    <w:t>要求，本项目不属于上述</w:t>
                  </w:r>
                  <w:r>
                    <w:rPr>
                      <w:rFonts w:ascii="Times New Roman" w:hAnsi="Times New Roman" w:cs="Times New Roman"/>
                      <w:kern w:val="2"/>
                    </w:rPr>
                    <w:t>化学制浆造纸、化工、印染、果汁和淀粉加工等高耗水、</w:t>
                  </w:r>
                  <w:r>
                    <w:rPr>
                      <w:rFonts w:hint="eastAsia" w:ascii="Times New Roman" w:hAnsi="Times New Roman" w:cs="Times New Roman"/>
                      <w:kern w:val="2"/>
                    </w:rPr>
                    <w:t>生活废水依托原有工程处理达标排放。</w:t>
                  </w:r>
                </w:p>
                <w:p w14:paraId="5E95D840">
                  <w:pPr>
                    <w:pStyle w:val="62"/>
                    <w:wordWrap w:val="0"/>
                    <w:topLinePunct/>
                    <w:adjustRightInd w:val="0"/>
                    <w:snapToGrid w:val="0"/>
                    <w:jc w:val="left"/>
                    <w:rPr>
                      <w:rFonts w:ascii="Times New Roman" w:hAnsi="Times New Roman" w:cs="Times New Roman"/>
                    </w:rPr>
                  </w:pPr>
                  <w:r>
                    <w:rPr>
                      <w:rFonts w:ascii="Times New Roman" w:hAnsi="Times New Roman" w:cs="Times New Roman"/>
                    </w:rPr>
                    <w:t>⑪对照宝鸡市生态环境分区管控准入清单中</w:t>
                  </w:r>
                  <w:r>
                    <w:rPr>
                      <w:rFonts w:ascii="Times New Roman" w:hAnsi="Times New Roman" w:cs="Times New Roman"/>
                      <w:kern w:val="2"/>
                    </w:rPr>
                    <w:t>5.9 建设用地污染风险重点管控区的空间布局约束</w:t>
                  </w:r>
                  <w:r>
                    <w:rPr>
                      <w:rFonts w:ascii="Times New Roman" w:hAnsi="Times New Roman" w:cs="Times New Roman"/>
                    </w:rPr>
                    <w:t>要求，本项目位于姜谭经济开发区内，用地性质为工业用地；</w:t>
                  </w:r>
                </w:p>
                <w:p w14:paraId="3D408648">
                  <w:pPr>
                    <w:pStyle w:val="62"/>
                    <w:wordWrap w:val="0"/>
                    <w:topLinePunct/>
                    <w:adjustRightInd w:val="0"/>
                    <w:snapToGrid w:val="0"/>
                    <w:jc w:val="left"/>
                    <w:rPr>
                      <w:rFonts w:hint="eastAsia" w:ascii="Times New Roman" w:hAnsi="Times New Roman" w:cs="Times New Roman" w:eastAsiaTheme="minorEastAsia"/>
                      <w:lang w:eastAsia="zh-CN"/>
                    </w:rPr>
                  </w:pPr>
                  <w:r>
                    <w:rPr>
                      <w:rFonts w:ascii="Times New Roman" w:hAnsi="Times New Roman" w:cs="Times New Roman"/>
                    </w:rPr>
                    <w:t>⑨对照宝鸡市生态环境分区管控准入清单中</w:t>
                  </w:r>
                  <w:r>
                    <w:rPr>
                      <w:rFonts w:hint="eastAsia" w:ascii="Times New Roman" w:hAnsi="Times New Roman" w:cs="Times New Roman"/>
                      <w:kern w:val="2"/>
                    </w:rPr>
                    <w:t>“</w:t>
                  </w:r>
                  <w:r>
                    <w:rPr>
                      <w:rFonts w:ascii="Times New Roman" w:hAnsi="Times New Roman" w:cs="Times New Roman"/>
                      <w:kern w:val="2"/>
                    </w:rPr>
                    <w:t>4.2 农用地优先保护区</w:t>
                  </w:r>
                  <w:r>
                    <w:rPr>
                      <w:rFonts w:ascii="Times New Roman" w:hAnsi="Times New Roman" w:cs="Times New Roman"/>
                    </w:rPr>
                    <w:t>要求</w:t>
                  </w:r>
                  <w:r>
                    <w:rPr>
                      <w:rFonts w:hint="eastAsia" w:ascii="Times New Roman" w:hAnsi="Times New Roman" w:cs="Times New Roman"/>
                      <w:lang w:eastAsia="zh-CN"/>
                    </w:rPr>
                    <w:t>”</w:t>
                  </w:r>
                  <w:r>
                    <w:rPr>
                      <w:rFonts w:ascii="Times New Roman" w:hAnsi="Times New Roman" w:cs="Times New Roman"/>
                    </w:rPr>
                    <w:t>，本项目用地性质为工业用地，不在农用地及其保护区域内，且项目不</w:t>
                  </w:r>
                  <w:r>
                    <w:rPr>
                      <w:rFonts w:hint="eastAsia" w:ascii="Times New Roman" w:hAnsi="Times New Roman" w:cs="Times New Roman"/>
                    </w:rPr>
                    <w:t>属于</w:t>
                  </w:r>
                  <w:r>
                    <w:rPr>
                      <w:rFonts w:ascii="Times New Roman" w:hAnsi="Times New Roman" w:cs="Times New Roman"/>
                    </w:rPr>
                    <w:t>有色金属冶炼、石油化工、化工、焦化、电镀、制革等重污染企业</w:t>
                  </w:r>
                  <w:r>
                    <w:rPr>
                      <w:rFonts w:hint="eastAsia" w:ascii="Times New Roman" w:hAnsi="Times New Roman" w:cs="Times New Roman"/>
                      <w:lang w:eastAsia="zh-CN"/>
                    </w:rPr>
                    <w:t>。</w:t>
                  </w:r>
                </w:p>
              </w:tc>
              <w:tc>
                <w:tcPr>
                  <w:tcW w:w="299" w:type="pct"/>
                  <w:tcBorders>
                    <w:tl2br w:val="nil"/>
                    <w:tr2bl w:val="nil"/>
                  </w:tcBorders>
                  <w:vAlign w:val="center"/>
                </w:tcPr>
                <w:p w14:paraId="4EA5133C">
                  <w:pPr>
                    <w:pStyle w:val="62"/>
                    <w:kinsoku w:val="0"/>
                    <w:wordWrap w:val="0"/>
                    <w:overflowPunct w:val="0"/>
                    <w:adjustRightInd w:val="0"/>
                    <w:snapToGrid w:val="0"/>
                    <w:rPr>
                      <w:rFonts w:ascii="Times New Roman" w:hAnsi="Times New Roman" w:cs="Times New Roman"/>
                    </w:rPr>
                  </w:pPr>
                  <w:r>
                    <w:rPr>
                      <w:rFonts w:ascii="Times New Roman" w:hAnsi="Times New Roman" w:cs="Times New Roman"/>
                    </w:rPr>
                    <w:t>符合</w:t>
                  </w:r>
                </w:p>
              </w:tc>
            </w:tr>
            <w:tr w14:paraId="68BBE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vMerge w:val="continue"/>
                  <w:tcBorders>
                    <w:tl2br w:val="nil"/>
                    <w:tr2bl w:val="nil"/>
                  </w:tcBorders>
                  <w:vAlign w:val="center"/>
                </w:tcPr>
                <w:p w14:paraId="376E6080">
                  <w:pPr>
                    <w:pStyle w:val="62"/>
                    <w:kinsoku w:val="0"/>
                    <w:wordWrap w:val="0"/>
                    <w:overflowPunct w:val="0"/>
                    <w:adjustRightInd w:val="0"/>
                    <w:snapToGrid w:val="0"/>
                    <w:rPr>
                      <w:rFonts w:ascii="Times New Roman" w:hAnsi="Times New Roman" w:cs="Times New Roman"/>
                    </w:rPr>
                  </w:pPr>
                </w:p>
              </w:tc>
              <w:tc>
                <w:tcPr>
                  <w:tcW w:w="502" w:type="pct"/>
                  <w:vMerge w:val="continue"/>
                  <w:tcBorders>
                    <w:tl2br w:val="nil"/>
                    <w:tr2bl w:val="nil"/>
                  </w:tcBorders>
                  <w:vAlign w:val="center"/>
                </w:tcPr>
                <w:p w14:paraId="68A68791">
                  <w:pPr>
                    <w:pStyle w:val="62"/>
                    <w:kinsoku w:val="0"/>
                    <w:wordWrap w:val="0"/>
                    <w:overflowPunct w:val="0"/>
                    <w:adjustRightInd w:val="0"/>
                    <w:snapToGrid w:val="0"/>
                    <w:rPr>
                      <w:rFonts w:ascii="Times New Roman" w:hAnsi="Times New Roman" w:cs="Times New Roman"/>
                    </w:rPr>
                  </w:pPr>
                </w:p>
              </w:tc>
              <w:tc>
                <w:tcPr>
                  <w:tcW w:w="491" w:type="pct"/>
                  <w:tcBorders>
                    <w:tl2br w:val="nil"/>
                    <w:tr2bl w:val="nil"/>
                  </w:tcBorders>
                  <w:vAlign w:val="center"/>
                </w:tcPr>
                <w:p w14:paraId="4FBA03E5">
                  <w:pPr>
                    <w:pStyle w:val="62"/>
                    <w:kinsoku w:val="0"/>
                    <w:wordWrap w:val="0"/>
                    <w:overflowPunct w:val="0"/>
                    <w:adjustRightInd w:val="0"/>
                    <w:snapToGrid w:val="0"/>
                    <w:rPr>
                      <w:rFonts w:ascii="Times New Roman" w:hAnsi="Times New Roman" w:cs="Times New Roman"/>
                    </w:rPr>
                  </w:pPr>
                  <w:r>
                    <w:rPr>
                      <w:rFonts w:ascii="Times New Roman" w:hAnsi="Times New Roman" w:cs="Times New Roman"/>
                    </w:rPr>
                    <w:t>污染物排放管控</w:t>
                  </w:r>
                </w:p>
              </w:tc>
              <w:tc>
                <w:tcPr>
                  <w:tcW w:w="2065" w:type="pct"/>
                  <w:tcBorders>
                    <w:tl2br w:val="nil"/>
                    <w:tr2bl w:val="nil"/>
                  </w:tcBorders>
                  <w:vAlign w:val="center"/>
                </w:tcPr>
                <w:p w14:paraId="13377D8C">
                  <w:pPr>
                    <w:widowControl/>
                    <w:adjustRightInd w:val="0"/>
                    <w:snapToGrid w:val="0"/>
                    <w:jc w:val="left"/>
                    <w:rPr>
                      <w:rFonts w:ascii="Times New Roman" w:hAnsi="Times New Roman" w:cs="Times New Roman"/>
                      <w:b/>
                      <w:bCs/>
                      <w:szCs w:val="21"/>
                    </w:rPr>
                  </w:pPr>
                  <w:r>
                    <w:rPr>
                      <w:rFonts w:ascii="Times New Roman" w:hAnsi="Times New Roman" w:cs="Times New Roman"/>
                      <w:b/>
                      <w:bCs/>
                      <w:szCs w:val="21"/>
                    </w:rPr>
                    <w:t>大气环境受体敏感重点管控区：</w:t>
                  </w:r>
                </w:p>
                <w:p w14:paraId="7DA3DC78">
                  <w:pPr>
                    <w:widowControl/>
                    <w:adjustRightInd w:val="0"/>
                    <w:snapToGrid w:val="0"/>
                    <w:jc w:val="left"/>
                    <w:rPr>
                      <w:rFonts w:ascii="Times New Roman" w:hAnsi="Times New Roman" w:cs="Times New Roman"/>
                      <w:szCs w:val="21"/>
                    </w:rPr>
                  </w:pPr>
                  <w:r>
                    <w:rPr>
                      <w:rFonts w:ascii="Times New Roman" w:hAnsi="Times New Roman" w:cs="Times New Roman"/>
                      <w:szCs w:val="21"/>
                    </w:rPr>
                    <w:t>1.城市建成区产生油烟的餐饮服务单位全部安装油烟净化装置并保持正常运行和定期维护。</w:t>
                  </w:r>
                </w:p>
                <w:p w14:paraId="0ADD4474">
                  <w:pPr>
                    <w:widowControl/>
                    <w:adjustRightInd w:val="0"/>
                    <w:snapToGrid w:val="0"/>
                    <w:jc w:val="left"/>
                    <w:rPr>
                      <w:rFonts w:ascii="Times New Roman" w:hAnsi="Times New Roman" w:cs="Times New Roman"/>
                      <w:szCs w:val="21"/>
                    </w:rPr>
                  </w:pPr>
                  <w:r>
                    <w:rPr>
                      <w:rFonts w:ascii="Times New Roman" w:hAnsi="Times New Roman" w:cs="Times New Roman"/>
                      <w:szCs w:val="21"/>
                    </w:rPr>
                    <w:t>2.持续因地制宜实施</w:t>
                  </w:r>
                  <w:r>
                    <w:rPr>
                      <w:rFonts w:hint="eastAsia" w:ascii="Times New Roman" w:hAnsi="Times New Roman" w:cs="Times New Roman"/>
                      <w:szCs w:val="21"/>
                    </w:rPr>
                    <w:t>“</w:t>
                  </w:r>
                  <w:r>
                    <w:rPr>
                      <w:rFonts w:ascii="Times New Roman" w:hAnsi="Times New Roman" w:cs="Times New Roman"/>
                      <w:szCs w:val="21"/>
                    </w:rPr>
                    <w:t>煤改气</w:t>
                  </w:r>
                  <w:r>
                    <w:rPr>
                      <w:rFonts w:hint="eastAsia" w:ascii="Times New Roman" w:hAnsi="Times New Roman" w:cs="Times New Roman"/>
                      <w:szCs w:val="21"/>
                      <w:lang w:eastAsia="zh-CN"/>
                    </w:rPr>
                    <w:t>”“</w:t>
                  </w:r>
                  <w:r>
                    <w:rPr>
                      <w:rFonts w:ascii="Times New Roman" w:hAnsi="Times New Roman" w:cs="Times New Roman"/>
                      <w:szCs w:val="21"/>
                    </w:rPr>
                    <w:t>油改气</w:t>
                  </w:r>
                  <w:r>
                    <w:rPr>
                      <w:rFonts w:hint="eastAsia" w:ascii="Times New Roman" w:hAnsi="Times New Roman" w:cs="Times New Roman"/>
                      <w:szCs w:val="21"/>
                    </w:rPr>
                    <w:t>”</w:t>
                  </w:r>
                  <w:r>
                    <w:rPr>
                      <w:rFonts w:ascii="Times New Roman" w:hAnsi="Times New Roman" w:cs="Times New Roman"/>
                      <w:szCs w:val="21"/>
                    </w:rPr>
                    <w:t>、电能、地热、生物质等清洁能源取暖措施。巩固城市建成区、县（区）平原区域散煤动态清理成效。3.鼓励将老旧车辆和非道路移动机械替换为清洁能源车辆。推进新能源或清洁能源汽车使用。</w:t>
                  </w:r>
                </w:p>
                <w:p w14:paraId="1EC29E59">
                  <w:pPr>
                    <w:widowControl/>
                    <w:adjustRightInd w:val="0"/>
                    <w:snapToGrid w:val="0"/>
                    <w:jc w:val="left"/>
                    <w:rPr>
                      <w:rFonts w:ascii="Times New Roman" w:hAnsi="Times New Roman" w:cs="Times New Roman"/>
                      <w:szCs w:val="21"/>
                    </w:rPr>
                  </w:pPr>
                  <w:r>
                    <w:rPr>
                      <w:rFonts w:ascii="Times New Roman" w:hAnsi="Times New Roman" w:cs="Times New Roman"/>
                      <w:szCs w:val="21"/>
                    </w:rPr>
                    <w:t>4.不再新建燃煤集中供热站。构建跨区域热电联产电厂、工业余热集中供热体系。2025年10月底前，建成大唐宝鸡二电厂向市区供热管网项目，热电联产集中供热全面替代市区燃煤供热。淘汰管网覆盖范围内的供热燃煤锅炉，原有燃煤、燃气供热锅炉用于调峰备用。</w:t>
                  </w:r>
                </w:p>
                <w:p w14:paraId="050091F5">
                  <w:pPr>
                    <w:widowControl/>
                    <w:adjustRightInd w:val="0"/>
                    <w:snapToGrid w:val="0"/>
                    <w:jc w:val="left"/>
                    <w:rPr>
                      <w:rFonts w:ascii="Times New Roman" w:hAnsi="Times New Roman" w:cs="Times New Roman"/>
                      <w:szCs w:val="21"/>
                    </w:rPr>
                  </w:pPr>
                  <w:r>
                    <w:rPr>
                      <w:rFonts w:ascii="Times New Roman" w:hAnsi="Times New Roman" w:cs="Times New Roman"/>
                      <w:szCs w:val="21"/>
                    </w:rPr>
                    <w:t>5.市辖区及开发区新、改、扩建涉气重点行业企业应达到环保绩效A级、绩效引领性水平。</w:t>
                  </w:r>
                </w:p>
                <w:p w14:paraId="4EEF48A7">
                  <w:pPr>
                    <w:widowControl/>
                    <w:adjustRightInd w:val="0"/>
                    <w:snapToGrid w:val="0"/>
                    <w:jc w:val="left"/>
                    <w:rPr>
                      <w:rFonts w:ascii="Times New Roman" w:hAnsi="Times New Roman" w:cs="Times New Roman"/>
                      <w:b/>
                      <w:bCs/>
                      <w:szCs w:val="21"/>
                    </w:rPr>
                  </w:pPr>
                  <w:r>
                    <w:rPr>
                      <w:rFonts w:ascii="Times New Roman" w:hAnsi="Times New Roman" w:cs="Times New Roman"/>
                      <w:b/>
                      <w:bCs/>
                      <w:szCs w:val="21"/>
                    </w:rPr>
                    <w:t>水环境工业污染重点管控区：</w:t>
                  </w:r>
                </w:p>
                <w:p w14:paraId="4EE3E117">
                  <w:pPr>
                    <w:widowControl/>
                    <w:adjustRightInd w:val="0"/>
                    <w:snapToGrid w:val="0"/>
                    <w:jc w:val="left"/>
                    <w:rPr>
                      <w:rFonts w:ascii="Times New Roman" w:hAnsi="Times New Roman" w:cs="Times New Roman"/>
                      <w:szCs w:val="21"/>
                    </w:rPr>
                  </w:pPr>
                  <w:r>
                    <w:rPr>
                      <w:rFonts w:ascii="Times New Roman" w:hAnsi="Times New Roman" w:cs="Times New Roman"/>
                      <w:szCs w:val="21"/>
                    </w:rPr>
                    <w:t>1.推进工业园区污水处理设施分类管理、分期升级改造和污水管网排查整治，省级以上工业集聚区污水集中处理设施实现规范运行。</w:t>
                  </w:r>
                </w:p>
                <w:p w14:paraId="7FABF0A8">
                  <w:pPr>
                    <w:widowControl/>
                    <w:adjustRightInd w:val="0"/>
                    <w:snapToGrid w:val="0"/>
                    <w:jc w:val="left"/>
                    <w:rPr>
                      <w:rFonts w:ascii="Times New Roman" w:hAnsi="Times New Roman" w:cs="Times New Roman"/>
                      <w:szCs w:val="21"/>
                    </w:rPr>
                  </w:pPr>
                  <w:r>
                    <w:rPr>
                      <w:rFonts w:ascii="Times New Roman" w:hAnsi="Times New Roman" w:cs="Times New Roman"/>
                      <w:szCs w:val="21"/>
                    </w:rPr>
                    <w:t>2.鼓励工业企业污水近零排放，降低污染负荷。鼓励有条件的地区，实行工业和生活等不同领域、造纸、印染、化工、电镀等不同行业废水分质分类处理。</w:t>
                  </w:r>
                </w:p>
                <w:p w14:paraId="12B08E0E">
                  <w:pPr>
                    <w:widowControl/>
                    <w:adjustRightInd w:val="0"/>
                    <w:snapToGrid w:val="0"/>
                    <w:jc w:val="left"/>
                    <w:rPr>
                      <w:rFonts w:hint="eastAsia" w:ascii="Times New Roman" w:hAnsi="Times New Roman" w:cs="Times New Roman" w:eastAsiaTheme="minorEastAsia"/>
                      <w:b/>
                      <w:bCs/>
                      <w:szCs w:val="21"/>
                      <w:lang w:eastAsia="zh-CN"/>
                    </w:rPr>
                  </w:pPr>
                  <w:r>
                    <w:rPr>
                      <w:rFonts w:ascii="Times New Roman" w:hAnsi="Times New Roman" w:cs="Times New Roman"/>
                      <w:b/>
                      <w:bCs/>
                      <w:szCs w:val="21"/>
                    </w:rPr>
                    <w:t>姜谭经济技术开发区</w:t>
                  </w:r>
                  <w:r>
                    <w:rPr>
                      <w:rFonts w:hint="eastAsia" w:ascii="Times New Roman" w:hAnsi="Times New Roman" w:cs="Times New Roman"/>
                      <w:b/>
                      <w:bCs/>
                      <w:szCs w:val="21"/>
                      <w:lang w:eastAsia="zh-CN"/>
                    </w:rPr>
                    <w:t>：</w:t>
                  </w:r>
                </w:p>
                <w:p w14:paraId="217F0C8A">
                  <w:pPr>
                    <w:widowControl/>
                    <w:adjustRightInd w:val="0"/>
                    <w:snapToGrid w:val="0"/>
                    <w:jc w:val="left"/>
                    <w:rPr>
                      <w:rFonts w:ascii="Times New Roman" w:hAnsi="Times New Roman" w:cs="Times New Roman"/>
                      <w:szCs w:val="21"/>
                    </w:rPr>
                  </w:pPr>
                  <w:r>
                    <w:rPr>
                      <w:rFonts w:ascii="Times New Roman" w:hAnsi="Times New Roman" w:cs="Times New Roman"/>
                      <w:szCs w:val="21"/>
                    </w:rPr>
                    <w:t>1.大气污染物排放达标利用率达到100%。工业废水排放达标率达到100%，污水集中处理率大于100%。工业固体废弃物综合利用率不小于70%，危险废物无害化处理和处置率达100%，生活垃圾无害化处理率不小于100%，污泥无害化处理率不小于90%。噪声排放达标率100%。</w:t>
                  </w:r>
                </w:p>
                <w:p w14:paraId="352B9918">
                  <w:pPr>
                    <w:widowControl/>
                    <w:adjustRightInd w:val="0"/>
                    <w:snapToGrid w:val="0"/>
                    <w:jc w:val="left"/>
                    <w:rPr>
                      <w:rFonts w:ascii="Times New Roman" w:hAnsi="Times New Roman" w:cs="Times New Roman"/>
                      <w:szCs w:val="21"/>
                    </w:rPr>
                  </w:pPr>
                  <w:r>
                    <w:rPr>
                      <w:rFonts w:ascii="Times New Roman" w:hAnsi="Times New Roman" w:cs="Times New Roman"/>
                      <w:szCs w:val="21"/>
                    </w:rPr>
                    <w:t>2.近期气化率达到80%，远期气化率100%。预计到2035 年二氧化硫排放量3.935t/a，二氧化氮排放量 44.893t/a，VOCs排放量16.635t/a。</w:t>
                  </w:r>
                </w:p>
                <w:p w14:paraId="423056A1">
                  <w:pPr>
                    <w:widowControl/>
                    <w:adjustRightInd w:val="0"/>
                    <w:snapToGrid w:val="0"/>
                    <w:jc w:val="left"/>
                    <w:rPr>
                      <w:rFonts w:ascii="Times New Roman" w:hAnsi="Times New Roman" w:cs="Times New Roman"/>
                      <w:szCs w:val="21"/>
                    </w:rPr>
                  </w:pPr>
                  <w:r>
                    <w:rPr>
                      <w:rFonts w:ascii="Times New Roman" w:hAnsi="Times New Roman" w:cs="Times New Roman"/>
                      <w:szCs w:val="21"/>
                    </w:rPr>
                    <w:t>3.执行宝鸡市生态环境要素分区总体准入清单中</w:t>
                  </w:r>
                  <w:r>
                    <w:rPr>
                      <w:rFonts w:hint="eastAsia" w:ascii="Times New Roman" w:hAnsi="Times New Roman" w:cs="Times New Roman"/>
                      <w:szCs w:val="21"/>
                    </w:rPr>
                    <w:t>“</w:t>
                  </w:r>
                  <w:r>
                    <w:rPr>
                      <w:rFonts w:ascii="Times New Roman" w:hAnsi="Times New Roman" w:cs="Times New Roman"/>
                      <w:szCs w:val="21"/>
                    </w:rPr>
                    <w:t>5.1 大气环境受体敏感重点管控区的污染物排放管控</w:t>
                  </w:r>
                  <w:r>
                    <w:rPr>
                      <w:rFonts w:hint="eastAsia" w:ascii="Times New Roman" w:hAnsi="Times New Roman" w:cs="Times New Roman"/>
                      <w:szCs w:val="21"/>
                    </w:rPr>
                    <w:t>”</w:t>
                  </w:r>
                  <w:r>
                    <w:rPr>
                      <w:rFonts w:ascii="Times New Roman" w:hAnsi="Times New Roman" w:cs="Times New Roman"/>
                      <w:szCs w:val="21"/>
                    </w:rPr>
                    <w:t>；4.执行宝鸡市生态环境要素分区总体准入清单中</w:t>
                  </w:r>
                  <w:r>
                    <w:rPr>
                      <w:rFonts w:hint="eastAsia" w:ascii="Times New Roman" w:hAnsi="Times New Roman" w:cs="Times New Roman"/>
                      <w:szCs w:val="21"/>
                    </w:rPr>
                    <w:t>“</w:t>
                  </w:r>
                  <w:r>
                    <w:rPr>
                      <w:rFonts w:ascii="Times New Roman" w:hAnsi="Times New Roman" w:cs="Times New Roman"/>
                      <w:szCs w:val="21"/>
                    </w:rPr>
                    <w:t>5.3大气环境布局敏感重点管控区的污染物排放管控</w:t>
                  </w:r>
                  <w:r>
                    <w:rPr>
                      <w:rFonts w:hint="eastAsia" w:ascii="Times New Roman" w:hAnsi="Times New Roman" w:cs="Times New Roman"/>
                      <w:szCs w:val="21"/>
                    </w:rPr>
                    <w:t>”</w:t>
                  </w:r>
                  <w:r>
                    <w:rPr>
                      <w:rFonts w:ascii="Times New Roman" w:hAnsi="Times New Roman" w:cs="Times New Roman"/>
                      <w:szCs w:val="21"/>
                    </w:rPr>
                    <w:t>；5.执行宝鸡市生态环境要素分区总体准入清单中</w:t>
                  </w:r>
                  <w:r>
                    <w:rPr>
                      <w:rFonts w:hint="eastAsia" w:ascii="Times New Roman" w:hAnsi="Times New Roman" w:cs="Times New Roman"/>
                      <w:szCs w:val="21"/>
                    </w:rPr>
                    <w:t>“</w:t>
                  </w:r>
                  <w:r>
                    <w:rPr>
                      <w:rFonts w:ascii="Times New Roman" w:hAnsi="Times New Roman" w:cs="Times New Roman"/>
                      <w:szCs w:val="21"/>
                    </w:rPr>
                    <w:t>5.5 水环境工业污染重点管控区的污染物排放管控</w:t>
                  </w:r>
                  <w:r>
                    <w:rPr>
                      <w:rFonts w:hint="eastAsia" w:ascii="Times New Roman" w:hAnsi="Times New Roman" w:cs="Times New Roman"/>
                      <w:szCs w:val="21"/>
                    </w:rPr>
                    <w:t>”</w:t>
                  </w:r>
                  <w:r>
                    <w:rPr>
                      <w:rFonts w:ascii="Times New Roman" w:hAnsi="Times New Roman" w:cs="Times New Roman"/>
                      <w:szCs w:val="21"/>
                    </w:rPr>
                    <w:t>。</w:t>
                  </w:r>
                </w:p>
              </w:tc>
              <w:tc>
                <w:tcPr>
                  <w:tcW w:w="1289" w:type="pct"/>
                  <w:tcBorders>
                    <w:tl2br w:val="nil"/>
                    <w:tr2bl w:val="nil"/>
                  </w:tcBorders>
                  <w:vAlign w:val="center"/>
                </w:tcPr>
                <w:p w14:paraId="3E90E78D">
                  <w:pPr>
                    <w:pStyle w:val="62"/>
                    <w:wordWrap w:val="0"/>
                    <w:topLinePunct/>
                    <w:adjustRightInd w:val="0"/>
                    <w:snapToGrid w:val="0"/>
                    <w:jc w:val="left"/>
                    <w:rPr>
                      <w:rFonts w:ascii="Times New Roman" w:hAnsi="Times New Roman" w:cs="Times New Roman"/>
                    </w:rPr>
                  </w:pPr>
                  <w:r>
                    <w:rPr>
                      <w:rFonts w:ascii="Times New Roman" w:hAnsi="Times New Roman" w:cs="Times New Roman"/>
                    </w:rPr>
                    <w:t>①本项目</w:t>
                  </w:r>
                  <w:r>
                    <w:rPr>
                      <w:rFonts w:hint="eastAsia" w:ascii="Times New Roman" w:hAnsi="Times New Roman" w:cs="Times New Roman"/>
                    </w:rPr>
                    <w:t>不设置</w:t>
                  </w:r>
                  <w:r>
                    <w:rPr>
                      <w:rFonts w:ascii="Times New Roman" w:hAnsi="Times New Roman" w:cs="Times New Roman"/>
                    </w:rPr>
                    <w:t>食堂；</w:t>
                  </w:r>
                </w:p>
                <w:p w14:paraId="7B723108">
                  <w:pPr>
                    <w:pStyle w:val="62"/>
                    <w:wordWrap w:val="0"/>
                    <w:topLinePunct/>
                    <w:adjustRightInd w:val="0"/>
                    <w:snapToGrid w:val="0"/>
                    <w:jc w:val="left"/>
                    <w:rPr>
                      <w:rFonts w:ascii="Times New Roman" w:hAnsi="Times New Roman" w:cs="Times New Roman"/>
                    </w:rPr>
                  </w:pPr>
                  <w:r>
                    <w:rPr>
                      <w:rFonts w:ascii="Times New Roman" w:hAnsi="Times New Roman" w:cs="Times New Roman"/>
                    </w:rPr>
                    <w:t>②</w:t>
                  </w:r>
                  <w:r>
                    <w:rPr>
                      <w:rFonts w:hint="eastAsia" w:ascii="Times New Roman" w:hAnsi="Times New Roman" w:cs="Times New Roman"/>
                    </w:rPr>
                    <w:t>项</w:t>
                  </w:r>
                  <w:r>
                    <w:rPr>
                      <w:rFonts w:ascii="Times New Roman" w:hAnsi="Times New Roman" w:cs="Times New Roman"/>
                    </w:rPr>
                    <w:t>目</w:t>
                  </w:r>
                  <w:r>
                    <w:rPr>
                      <w:rFonts w:hint="eastAsia" w:ascii="Times New Roman" w:hAnsi="Times New Roman" w:cs="Times New Roman"/>
                    </w:rPr>
                    <w:t>使用均为电能，</w:t>
                  </w:r>
                  <w:r>
                    <w:rPr>
                      <w:rFonts w:ascii="Times New Roman" w:hAnsi="Times New Roman" w:cs="Times New Roman"/>
                    </w:rPr>
                    <w:t>不涉及煤等高污染燃料；</w:t>
                  </w:r>
                </w:p>
                <w:p w14:paraId="1C127854">
                  <w:pPr>
                    <w:pStyle w:val="62"/>
                    <w:wordWrap w:val="0"/>
                    <w:topLinePunct/>
                    <w:adjustRightInd w:val="0"/>
                    <w:snapToGrid w:val="0"/>
                    <w:jc w:val="left"/>
                    <w:rPr>
                      <w:rFonts w:ascii="Times New Roman" w:hAnsi="Times New Roman" w:cs="Times New Roman"/>
                    </w:rPr>
                  </w:pPr>
                  <w:r>
                    <w:rPr>
                      <w:rFonts w:ascii="Times New Roman" w:hAnsi="Times New Roman" w:cs="Times New Roman"/>
                    </w:rPr>
                    <w:t>③根据《关于进一步加强关中地区涉气重点行业项目环评管理的通知》和《重污染天气重点行业应急减排措施制定技术指南》</w:t>
                  </w:r>
                  <w:r>
                    <w:rPr>
                      <w:rFonts w:hint="eastAsia" w:ascii="Times New Roman" w:hAnsi="Times New Roman" w:cs="Times New Roman"/>
                    </w:rPr>
                    <w:t>（</w:t>
                  </w:r>
                  <w:r>
                    <w:rPr>
                      <w:rFonts w:ascii="Times New Roman" w:hAnsi="Times New Roman" w:cs="Times New Roman"/>
                    </w:rPr>
                    <w:t>2020年修订版），本项目属于重点行业</w:t>
                  </w:r>
                  <w:r>
                    <w:rPr>
                      <w:rFonts w:hint="eastAsia" w:ascii="Times New Roman" w:hAnsi="Times New Roman" w:cs="Times New Roman"/>
                    </w:rPr>
                    <w:t>，需达到</w:t>
                  </w:r>
                  <w:r>
                    <w:rPr>
                      <w:rFonts w:ascii="Times New Roman" w:hAnsi="Times New Roman" w:cs="Times New Roman"/>
                      <w:kern w:val="2"/>
                    </w:rPr>
                    <w:t>环保绩效A级</w:t>
                  </w:r>
                  <w:r>
                    <w:rPr>
                      <w:rFonts w:hint="eastAsia" w:ascii="Times New Roman" w:hAnsi="Times New Roman" w:cs="Times New Roman"/>
                      <w:kern w:val="2"/>
                    </w:rPr>
                    <w:t>水平</w:t>
                  </w:r>
                  <w:r>
                    <w:rPr>
                      <w:rFonts w:ascii="Times New Roman" w:hAnsi="Times New Roman" w:cs="Times New Roman"/>
                    </w:rPr>
                    <w:t>；</w:t>
                  </w:r>
                </w:p>
                <w:p w14:paraId="267E8D2E">
                  <w:pPr>
                    <w:pStyle w:val="62"/>
                    <w:wordWrap w:val="0"/>
                    <w:topLinePunct/>
                    <w:adjustRightInd w:val="0"/>
                    <w:snapToGrid w:val="0"/>
                    <w:jc w:val="left"/>
                    <w:rPr>
                      <w:rFonts w:ascii="Times New Roman" w:hAnsi="Times New Roman" w:cs="Times New Roman"/>
                    </w:rPr>
                  </w:pPr>
                  <w:r>
                    <w:rPr>
                      <w:rFonts w:ascii="Times New Roman" w:hAnsi="Times New Roman" w:cs="Times New Roman"/>
                    </w:rPr>
                    <w:t>④本项目生产废水经处理循环使用，不外排；</w:t>
                  </w:r>
                </w:p>
                <w:p w14:paraId="1EE1CF67">
                  <w:pPr>
                    <w:pStyle w:val="62"/>
                    <w:wordWrap w:val="0"/>
                    <w:topLinePunct/>
                    <w:adjustRightInd w:val="0"/>
                    <w:snapToGrid w:val="0"/>
                    <w:jc w:val="left"/>
                    <w:rPr>
                      <w:rFonts w:ascii="Times New Roman" w:hAnsi="Times New Roman" w:cs="Times New Roman"/>
                    </w:rPr>
                  </w:pPr>
                  <w:r>
                    <w:rPr>
                      <w:rFonts w:ascii="Times New Roman" w:hAnsi="Times New Roman" w:cs="Times New Roman"/>
                    </w:rPr>
                    <w:t>⑤本项目产生的废气经处理后均可达标排放，达标率100%；</w:t>
                  </w:r>
                  <w:r>
                    <w:rPr>
                      <w:rFonts w:hint="eastAsia" w:ascii="Times New Roman" w:hAnsi="Times New Roman" w:cs="Times New Roman"/>
                    </w:rPr>
                    <w:t>生活污水依托现有工程经处理后</w:t>
                  </w:r>
                  <w:r>
                    <w:rPr>
                      <w:rFonts w:ascii="Times New Roman" w:hAnsi="Times New Roman" w:cs="Times New Roman"/>
                    </w:rPr>
                    <w:t>均可达标排放，达标率100%；危险废物均委托有资质单位处置，处置率100%；一般工业固体废物均能综合利用，处置率100%；高噪声设备设置隔声罩等降噪措施，厂界噪声达标率100%</w:t>
                  </w:r>
                  <w:r>
                    <w:rPr>
                      <w:rFonts w:hint="eastAsia" w:ascii="Times New Roman" w:hAnsi="Times New Roman" w:cs="Times New Roman"/>
                    </w:rPr>
                    <w:t>；</w:t>
                  </w:r>
                </w:p>
                <w:p w14:paraId="26414EA0">
                  <w:pPr>
                    <w:pStyle w:val="62"/>
                    <w:wordWrap w:val="0"/>
                    <w:topLinePunct/>
                    <w:adjustRightInd w:val="0"/>
                    <w:snapToGrid w:val="0"/>
                    <w:jc w:val="left"/>
                    <w:rPr>
                      <w:rFonts w:ascii="Times New Roman" w:hAnsi="Times New Roman" w:cs="Times New Roman"/>
                    </w:rPr>
                  </w:pPr>
                  <w:r>
                    <w:rPr>
                      <w:rFonts w:ascii="Times New Roman" w:hAnsi="Times New Roman" w:cs="Times New Roman"/>
                    </w:rPr>
                    <w:t>⑦对照宝鸡市生态环境分区管控准入清单中</w:t>
                  </w:r>
                  <w:r>
                    <w:rPr>
                      <w:rFonts w:hint="eastAsia" w:ascii="Times New Roman" w:hAnsi="Times New Roman" w:cs="Times New Roman"/>
                    </w:rPr>
                    <w:t>“</w:t>
                  </w:r>
                  <w:r>
                    <w:rPr>
                      <w:rFonts w:ascii="Times New Roman" w:hAnsi="Times New Roman" w:cs="Times New Roman"/>
                      <w:kern w:val="2"/>
                    </w:rPr>
                    <w:t>5.1大气环境受体敏感重点管控区的污染物排放管控</w:t>
                  </w:r>
                  <w:r>
                    <w:rPr>
                      <w:rFonts w:hint="eastAsia" w:ascii="Times New Roman" w:hAnsi="Times New Roman" w:cs="Times New Roman"/>
                      <w:lang w:eastAsia="zh-CN"/>
                    </w:rPr>
                    <w:t>”</w:t>
                  </w:r>
                  <w:r>
                    <w:rPr>
                      <w:rFonts w:ascii="Times New Roman" w:hAnsi="Times New Roman" w:cs="Times New Roman"/>
                    </w:rPr>
                    <w:t>要求，本项目采用先进的生产工艺，废气、废水等污染物经处理后均可达标排放；</w:t>
                  </w:r>
                </w:p>
                <w:p w14:paraId="25E7887A">
                  <w:pPr>
                    <w:pStyle w:val="62"/>
                    <w:wordWrap w:val="0"/>
                    <w:topLinePunct/>
                    <w:adjustRightInd w:val="0"/>
                    <w:snapToGrid w:val="0"/>
                    <w:jc w:val="left"/>
                    <w:rPr>
                      <w:rFonts w:ascii="Times New Roman" w:hAnsi="Times New Roman" w:cs="Times New Roman"/>
                    </w:rPr>
                  </w:pPr>
                  <w:r>
                    <w:rPr>
                      <w:rFonts w:ascii="Times New Roman" w:hAnsi="Times New Roman" w:cs="Times New Roman"/>
                    </w:rPr>
                    <w:t>⑧对照宝鸡市生态环境分区管控准入清单中</w:t>
                  </w:r>
                  <w:r>
                    <w:rPr>
                      <w:rFonts w:hint="eastAsia" w:ascii="Times New Roman" w:hAnsi="Times New Roman" w:cs="Times New Roman"/>
                    </w:rPr>
                    <w:t>“</w:t>
                  </w:r>
                  <w:r>
                    <w:rPr>
                      <w:rFonts w:ascii="Times New Roman" w:hAnsi="Times New Roman" w:cs="Times New Roman"/>
                      <w:kern w:val="2"/>
                    </w:rPr>
                    <w:t>5.3大气环境布局敏感重点管控区的污染物排放管控</w:t>
                  </w:r>
                  <w:r>
                    <w:rPr>
                      <w:rFonts w:hint="eastAsia" w:ascii="Times New Roman" w:hAnsi="Times New Roman" w:cs="Times New Roman"/>
                      <w:lang w:eastAsia="zh-CN"/>
                    </w:rPr>
                    <w:t>”</w:t>
                  </w:r>
                  <w:r>
                    <w:rPr>
                      <w:rFonts w:ascii="Times New Roman" w:hAnsi="Times New Roman" w:cs="Times New Roman"/>
                    </w:rPr>
                    <w:t>要求，本项目采用先进的生产工艺，废气、废水等污染物经处理后均可达标排放；</w:t>
                  </w:r>
                </w:p>
                <w:p w14:paraId="554C5836">
                  <w:pPr>
                    <w:pStyle w:val="62"/>
                    <w:wordWrap w:val="0"/>
                    <w:topLinePunct/>
                    <w:adjustRightInd w:val="0"/>
                    <w:snapToGrid w:val="0"/>
                    <w:jc w:val="left"/>
                    <w:rPr>
                      <w:rFonts w:hint="eastAsia" w:ascii="Times New Roman" w:hAnsi="Times New Roman" w:cs="Times New Roman" w:eastAsiaTheme="minorEastAsia"/>
                      <w:lang w:eastAsia="zh-CN"/>
                    </w:rPr>
                  </w:pPr>
                  <w:r>
                    <w:rPr>
                      <w:rFonts w:ascii="Times New Roman" w:hAnsi="Times New Roman" w:cs="Times New Roman"/>
                    </w:rPr>
                    <w:t>⑤对照宝鸡市生态环境分区管控准入清单中</w:t>
                  </w:r>
                  <w:r>
                    <w:rPr>
                      <w:rFonts w:hint="eastAsia" w:ascii="Times New Roman" w:hAnsi="Times New Roman" w:cs="Times New Roman"/>
                    </w:rPr>
                    <w:t>“</w:t>
                  </w:r>
                  <w:r>
                    <w:rPr>
                      <w:rFonts w:ascii="Times New Roman" w:hAnsi="Times New Roman" w:cs="Times New Roman"/>
                      <w:kern w:val="2"/>
                    </w:rPr>
                    <w:t>5水环境工业污染重点管控区的污染物排放管控</w:t>
                  </w:r>
                  <w:r>
                    <w:rPr>
                      <w:rFonts w:hint="eastAsia" w:ascii="Times New Roman" w:hAnsi="Times New Roman" w:cs="Times New Roman"/>
                      <w:lang w:eastAsia="zh-CN"/>
                    </w:rPr>
                    <w:t>”</w:t>
                  </w:r>
                  <w:r>
                    <w:rPr>
                      <w:rFonts w:ascii="Times New Roman" w:hAnsi="Times New Roman" w:cs="Times New Roman"/>
                    </w:rPr>
                    <w:t>要求，本项目所在区域市政污水管网已建成</w:t>
                  </w:r>
                  <w:r>
                    <w:rPr>
                      <w:rFonts w:hint="eastAsia" w:ascii="Times New Roman" w:hAnsi="Times New Roman" w:cs="Times New Roman"/>
                      <w:lang w:eastAsia="zh-CN"/>
                    </w:rPr>
                    <w:t>。</w:t>
                  </w:r>
                </w:p>
              </w:tc>
              <w:tc>
                <w:tcPr>
                  <w:tcW w:w="299" w:type="pct"/>
                  <w:tcBorders>
                    <w:tl2br w:val="nil"/>
                    <w:tr2bl w:val="nil"/>
                  </w:tcBorders>
                  <w:vAlign w:val="center"/>
                </w:tcPr>
                <w:p w14:paraId="5792F874">
                  <w:pPr>
                    <w:pStyle w:val="62"/>
                    <w:kinsoku w:val="0"/>
                    <w:wordWrap w:val="0"/>
                    <w:overflowPunct w:val="0"/>
                    <w:adjustRightInd w:val="0"/>
                    <w:snapToGrid w:val="0"/>
                    <w:rPr>
                      <w:rFonts w:ascii="Times New Roman" w:hAnsi="Times New Roman" w:cs="Times New Roman"/>
                    </w:rPr>
                  </w:pPr>
                  <w:r>
                    <w:rPr>
                      <w:rFonts w:ascii="Times New Roman" w:hAnsi="Times New Roman" w:cs="Times New Roman"/>
                    </w:rPr>
                    <w:t>符合</w:t>
                  </w:r>
                </w:p>
              </w:tc>
            </w:tr>
            <w:tr w14:paraId="219A70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vMerge w:val="continue"/>
                  <w:tcBorders>
                    <w:tl2br w:val="nil"/>
                    <w:tr2bl w:val="nil"/>
                  </w:tcBorders>
                  <w:vAlign w:val="center"/>
                </w:tcPr>
                <w:p w14:paraId="06A0F270">
                  <w:pPr>
                    <w:pStyle w:val="62"/>
                    <w:kinsoku w:val="0"/>
                    <w:wordWrap w:val="0"/>
                    <w:overflowPunct w:val="0"/>
                    <w:adjustRightInd w:val="0"/>
                    <w:snapToGrid w:val="0"/>
                    <w:rPr>
                      <w:rFonts w:ascii="Times New Roman" w:hAnsi="Times New Roman" w:cs="Times New Roman"/>
                    </w:rPr>
                  </w:pPr>
                </w:p>
              </w:tc>
              <w:tc>
                <w:tcPr>
                  <w:tcW w:w="502" w:type="pct"/>
                  <w:vMerge w:val="continue"/>
                  <w:tcBorders>
                    <w:tl2br w:val="nil"/>
                    <w:tr2bl w:val="nil"/>
                  </w:tcBorders>
                  <w:vAlign w:val="center"/>
                </w:tcPr>
                <w:p w14:paraId="74CB4511">
                  <w:pPr>
                    <w:pStyle w:val="62"/>
                    <w:kinsoku w:val="0"/>
                    <w:wordWrap w:val="0"/>
                    <w:overflowPunct w:val="0"/>
                    <w:adjustRightInd w:val="0"/>
                    <w:snapToGrid w:val="0"/>
                    <w:rPr>
                      <w:rFonts w:ascii="Times New Roman" w:hAnsi="Times New Roman" w:cs="Times New Roman"/>
                    </w:rPr>
                  </w:pPr>
                </w:p>
              </w:tc>
              <w:tc>
                <w:tcPr>
                  <w:tcW w:w="491" w:type="pct"/>
                  <w:tcBorders>
                    <w:tl2br w:val="nil"/>
                    <w:tr2bl w:val="nil"/>
                  </w:tcBorders>
                  <w:vAlign w:val="center"/>
                </w:tcPr>
                <w:p w14:paraId="704E8396">
                  <w:pPr>
                    <w:pStyle w:val="62"/>
                    <w:kinsoku w:val="0"/>
                    <w:wordWrap w:val="0"/>
                    <w:overflowPunct w:val="0"/>
                    <w:adjustRightInd w:val="0"/>
                    <w:snapToGrid w:val="0"/>
                    <w:rPr>
                      <w:rFonts w:ascii="Times New Roman" w:hAnsi="Times New Roman" w:cs="Times New Roman"/>
                      <w:kern w:val="2"/>
                    </w:rPr>
                  </w:pPr>
                  <w:r>
                    <w:rPr>
                      <w:rFonts w:ascii="Times New Roman" w:hAnsi="Times New Roman" w:cs="Times New Roman"/>
                      <w:kern w:val="2"/>
                    </w:rPr>
                    <w:t>环境</w:t>
                  </w:r>
                </w:p>
                <w:p w14:paraId="088458D0">
                  <w:pPr>
                    <w:pStyle w:val="62"/>
                    <w:kinsoku w:val="0"/>
                    <w:wordWrap w:val="0"/>
                    <w:overflowPunct w:val="0"/>
                    <w:adjustRightInd w:val="0"/>
                    <w:snapToGrid w:val="0"/>
                    <w:rPr>
                      <w:rFonts w:ascii="Times New Roman" w:hAnsi="Times New Roman" w:cs="Times New Roman"/>
                      <w:kern w:val="2"/>
                    </w:rPr>
                  </w:pPr>
                  <w:r>
                    <w:rPr>
                      <w:rFonts w:ascii="Times New Roman" w:hAnsi="Times New Roman" w:cs="Times New Roman"/>
                      <w:kern w:val="2"/>
                    </w:rPr>
                    <w:t>风险</w:t>
                  </w:r>
                </w:p>
                <w:p w14:paraId="145A8B5B">
                  <w:pPr>
                    <w:pStyle w:val="62"/>
                    <w:kinsoku w:val="0"/>
                    <w:wordWrap w:val="0"/>
                    <w:overflowPunct w:val="0"/>
                    <w:adjustRightInd w:val="0"/>
                    <w:snapToGrid w:val="0"/>
                    <w:rPr>
                      <w:rFonts w:ascii="Times New Roman" w:hAnsi="Times New Roman" w:cs="Times New Roman"/>
                      <w:kern w:val="2"/>
                    </w:rPr>
                  </w:pPr>
                  <w:r>
                    <w:rPr>
                      <w:rFonts w:ascii="Times New Roman" w:hAnsi="Times New Roman" w:cs="Times New Roman"/>
                      <w:kern w:val="2"/>
                    </w:rPr>
                    <w:t>防控</w:t>
                  </w:r>
                </w:p>
              </w:tc>
              <w:tc>
                <w:tcPr>
                  <w:tcW w:w="2065" w:type="pct"/>
                  <w:tcBorders>
                    <w:tl2br w:val="nil"/>
                    <w:tr2bl w:val="nil"/>
                  </w:tcBorders>
                  <w:vAlign w:val="center"/>
                </w:tcPr>
                <w:p w14:paraId="1F99B705">
                  <w:pPr>
                    <w:widowControl/>
                    <w:adjustRightInd w:val="0"/>
                    <w:snapToGrid w:val="0"/>
                    <w:rPr>
                      <w:rFonts w:hint="eastAsia" w:ascii="Times New Roman" w:hAnsi="Times New Roman" w:cs="Times New Roman" w:eastAsiaTheme="minorEastAsia"/>
                      <w:b/>
                      <w:bCs/>
                      <w:szCs w:val="21"/>
                      <w:lang w:eastAsia="zh-CN"/>
                    </w:rPr>
                  </w:pPr>
                  <w:r>
                    <w:rPr>
                      <w:rFonts w:ascii="Times New Roman" w:hAnsi="Times New Roman" w:cs="Times New Roman"/>
                      <w:b/>
                      <w:bCs/>
                      <w:szCs w:val="21"/>
                    </w:rPr>
                    <w:t>姜谭经济技术开发区</w:t>
                  </w:r>
                  <w:r>
                    <w:rPr>
                      <w:rFonts w:hint="eastAsia" w:ascii="Times New Roman" w:hAnsi="Times New Roman" w:cs="Times New Roman"/>
                      <w:b/>
                      <w:bCs/>
                      <w:szCs w:val="21"/>
                      <w:lang w:eastAsia="zh-CN"/>
                    </w:rPr>
                    <w:t>：</w:t>
                  </w:r>
                </w:p>
                <w:p w14:paraId="775C26A2">
                  <w:pPr>
                    <w:widowControl/>
                    <w:adjustRightInd w:val="0"/>
                    <w:snapToGrid w:val="0"/>
                    <w:rPr>
                      <w:rFonts w:ascii="Times New Roman" w:hAnsi="Times New Roman" w:cs="Times New Roman"/>
                      <w:szCs w:val="21"/>
                    </w:rPr>
                  </w:pPr>
                  <w:r>
                    <w:rPr>
                      <w:rFonts w:ascii="Times New Roman" w:hAnsi="Times New Roman" w:cs="Times New Roman"/>
                      <w:szCs w:val="21"/>
                    </w:rPr>
                    <w:t>1.加强生产装置区、储罐区的巡查、监视力度，强化风险管理，完善企业环境风险应急机制；建设和完善项目园区内环境风险预警体系、环境风险防控工程、环境应急保障体系，构建区域环境风险联控机制。</w:t>
                  </w:r>
                </w:p>
                <w:p w14:paraId="46D03DEC">
                  <w:pPr>
                    <w:widowControl/>
                    <w:adjustRightInd w:val="0"/>
                    <w:snapToGrid w:val="0"/>
                    <w:rPr>
                      <w:rFonts w:ascii="Times New Roman" w:hAnsi="Times New Roman" w:cs="Times New Roman"/>
                      <w:szCs w:val="21"/>
                    </w:rPr>
                  </w:pPr>
                  <w:r>
                    <w:rPr>
                      <w:rFonts w:ascii="Times New Roman" w:hAnsi="Times New Roman" w:cs="Times New Roman"/>
                      <w:szCs w:val="21"/>
                    </w:rPr>
                    <w:t>2.工业区污水处理厂及排放工业废水的企业须设置足够容量的事故污水池，严禁污水超标排放；企业厂内可设围堰，地面进行防渗处理，并制定相应的应急预案。</w:t>
                  </w:r>
                </w:p>
                <w:p w14:paraId="7AE640AB">
                  <w:pPr>
                    <w:widowControl/>
                    <w:adjustRightInd w:val="0"/>
                    <w:snapToGrid w:val="0"/>
                    <w:rPr>
                      <w:rFonts w:ascii="Times New Roman" w:hAnsi="Times New Roman" w:cs="Times New Roman"/>
                      <w:szCs w:val="21"/>
                    </w:rPr>
                  </w:pPr>
                  <w:r>
                    <w:rPr>
                      <w:rFonts w:ascii="Times New Roman" w:hAnsi="Times New Roman" w:cs="Times New Roman"/>
                      <w:szCs w:val="21"/>
                    </w:rPr>
                    <w:t>3.企业进行危险化学品环境管理登记，建立化学品环境管理台账和信息档案；危化品库房设围堰和排水管沟，地面和排水管沟作防腐防渗处理。</w:t>
                  </w:r>
                </w:p>
                <w:p w14:paraId="2D5956B0">
                  <w:pPr>
                    <w:widowControl/>
                    <w:adjustRightInd w:val="0"/>
                    <w:snapToGrid w:val="0"/>
                    <w:jc w:val="left"/>
                    <w:rPr>
                      <w:rFonts w:ascii="Times New Roman" w:hAnsi="Times New Roman" w:cs="Times New Roman"/>
                      <w:szCs w:val="21"/>
                    </w:rPr>
                  </w:pPr>
                  <w:r>
                    <w:rPr>
                      <w:rFonts w:ascii="Times New Roman" w:hAnsi="Times New Roman" w:cs="Times New Roman"/>
                      <w:szCs w:val="21"/>
                    </w:rPr>
                    <w:t>4.执行宝鸡市生态环境要素分区总体准入清单中</w:t>
                  </w:r>
                  <w:r>
                    <w:rPr>
                      <w:rFonts w:hint="eastAsia" w:ascii="Times New Roman" w:hAnsi="Times New Roman" w:cs="Times New Roman"/>
                      <w:szCs w:val="21"/>
                    </w:rPr>
                    <w:t>“</w:t>
                  </w:r>
                  <w:r>
                    <w:rPr>
                      <w:rFonts w:ascii="Times New Roman" w:hAnsi="Times New Roman" w:cs="Times New Roman"/>
                      <w:szCs w:val="21"/>
                    </w:rPr>
                    <w:t>5.9 建设用地污染风险重点管控区的环境风险防控</w:t>
                  </w:r>
                  <w:r>
                    <w:rPr>
                      <w:rFonts w:hint="eastAsia" w:ascii="Times New Roman" w:hAnsi="Times New Roman" w:cs="Times New Roman"/>
                      <w:szCs w:val="21"/>
                    </w:rPr>
                    <w:t>”</w:t>
                  </w:r>
                  <w:r>
                    <w:rPr>
                      <w:rFonts w:ascii="Times New Roman" w:hAnsi="Times New Roman" w:cs="Times New Roman"/>
                      <w:szCs w:val="21"/>
                    </w:rPr>
                    <w:t>。</w:t>
                  </w:r>
                </w:p>
              </w:tc>
              <w:tc>
                <w:tcPr>
                  <w:tcW w:w="1289" w:type="pct"/>
                  <w:tcBorders>
                    <w:tl2br w:val="nil"/>
                    <w:tr2bl w:val="nil"/>
                  </w:tcBorders>
                  <w:vAlign w:val="center"/>
                </w:tcPr>
                <w:p w14:paraId="04901AB9">
                  <w:pPr>
                    <w:pStyle w:val="62"/>
                    <w:wordWrap w:val="0"/>
                    <w:topLinePunct/>
                    <w:adjustRightInd w:val="0"/>
                    <w:snapToGrid w:val="0"/>
                    <w:jc w:val="left"/>
                    <w:rPr>
                      <w:rFonts w:ascii="Times New Roman" w:hAnsi="Times New Roman" w:cs="Times New Roman"/>
                    </w:rPr>
                  </w:pPr>
                  <w:r>
                    <w:rPr>
                      <w:rFonts w:ascii="Times New Roman" w:hAnsi="Times New Roman" w:cs="Times New Roman"/>
                    </w:rPr>
                    <w:t>①本项目风险物质Q值＜1，采取本环评提出的风险防范措施后，风险水平可接受；</w:t>
                  </w:r>
                </w:p>
                <w:p w14:paraId="4605B41F">
                  <w:pPr>
                    <w:pStyle w:val="62"/>
                    <w:wordWrap w:val="0"/>
                    <w:topLinePunct/>
                    <w:adjustRightInd w:val="0"/>
                    <w:snapToGrid w:val="0"/>
                    <w:jc w:val="left"/>
                    <w:rPr>
                      <w:rFonts w:hint="eastAsia" w:ascii="Times New Roman" w:hAnsi="Times New Roman" w:cs="Times New Roman" w:eastAsiaTheme="minorEastAsia"/>
                      <w:lang w:eastAsia="zh-CN"/>
                    </w:rPr>
                  </w:pPr>
                  <w:r>
                    <w:rPr>
                      <w:rFonts w:ascii="Times New Roman" w:hAnsi="Times New Roman" w:cs="Times New Roman"/>
                    </w:rPr>
                    <w:t>②对照宝鸡市生态环境分区管控准入清单中</w:t>
                  </w:r>
                  <w:r>
                    <w:rPr>
                      <w:rFonts w:hint="eastAsia" w:ascii="Times New Roman" w:hAnsi="Times New Roman" w:cs="Times New Roman"/>
                    </w:rPr>
                    <w:t>“</w:t>
                  </w:r>
                  <w:r>
                    <w:rPr>
                      <w:rFonts w:ascii="Times New Roman" w:hAnsi="Times New Roman" w:cs="Times New Roman"/>
                      <w:kern w:val="2"/>
                    </w:rPr>
                    <w:t>5.9建设用地污染风险重点管控区的环境风险防控</w:t>
                  </w:r>
                  <w:r>
                    <w:rPr>
                      <w:rFonts w:hint="eastAsia" w:ascii="Times New Roman" w:hAnsi="Times New Roman" w:cs="Times New Roman"/>
                      <w:kern w:val="2"/>
                    </w:rPr>
                    <w:t>”</w:t>
                  </w:r>
                  <w:r>
                    <w:rPr>
                      <w:rFonts w:ascii="Times New Roman" w:hAnsi="Times New Roman" w:cs="Times New Roman"/>
                    </w:rPr>
                    <w:t>要求，本项目不属于化工、印染、原料药制造等污染较重的企业</w:t>
                  </w:r>
                  <w:r>
                    <w:rPr>
                      <w:rFonts w:hint="eastAsia" w:ascii="Times New Roman" w:hAnsi="Times New Roman" w:cs="Times New Roman"/>
                      <w:lang w:eastAsia="zh-CN"/>
                    </w:rPr>
                    <w:t>。</w:t>
                  </w:r>
                </w:p>
              </w:tc>
              <w:tc>
                <w:tcPr>
                  <w:tcW w:w="299" w:type="pct"/>
                  <w:tcBorders>
                    <w:tl2br w:val="nil"/>
                    <w:tr2bl w:val="nil"/>
                  </w:tcBorders>
                  <w:vAlign w:val="center"/>
                </w:tcPr>
                <w:p w14:paraId="131C7479">
                  <w:pPr>
                    <w:pStyle w:val="62"/>
                    <w:kinsoku w:val="0"/>
                    <w:wordWrap w:val="0"/>
                    <w:overflowPunct w:val="0"/>
                    <w:adjustRightInd w:val="0"/>
                    <w:snapToGrid w:val="0"/>
                    <w:rPr>
                      <w:rFonts w:ascii="Times New Roman" w:hAnsi="Times New Roman" w:cs="Times New Roman"/>
                    </w:rPr>
                  </w:pPr>
                  <w:r>
                    <w:rPr>
                      <w:rFonts w:ascii="Times New Roman" w:hAnsi="Times New Roman" w:cs="Times New Roman"/>
                    </w:rPr>
                    <w:t>符合</w:t>
                  </w:r>
                </w:p>
              </w:tc>
            </w:tr>
            <w:tr w14:paraId="127E0D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vMerge w:val="continue"/>
                  <w:tcBorders>
                    <w:tl2br w:val="nil"/>
                    <w:tr2bl w:val="nil"/>
                  </w:tcBorders>
                  <w:vAlign w:val="center"/>
                </w:tcPr>
                <w:p w14:paraId="302E547E">
                  <w:pPr>
                    <w:pStyle w:val="62"/>
                    <w:kinsoku w:val="0"/>
                    <w:wordWrap w:val="0"/>
                    <w:overflowPunct w:val="0"/>
                    <w:adjustRightInd w:val="0"/>
                    <w:snapToGrid w:val="0"/>
                    <w:rPr>
                      <w:rFonts w:ascii="Times New Roman" w:hAnsi="Times New Roman" w:cs="Times New Roman"/>
                    </w:rPr>
                  </w:pPr>
                </w:p>
              </w:tc>
              <w:tc>
                <w:tcPr>
                  <w:tcW w:w="502" w:type="pct"/>
                  <w:vMerge w:val="continue"/>
                  <w:tcBorders>
                    <w:tl2br w:val="nil"/>
                    <w:tr2bl w:val="nil"/>
                  </w:tcBorders>
                  <w:vAlign w:val="center"/>
                </w:tcPr>
                <w:p w14:paraId="33D67C54">
                  <w:pPr>
                    <w:pStyle w:val="62"/>
                    <w:kinsoku w:val="0"/>
                    <w:wordWrap w:val="0"/>
                    <w:overflowPunct w:val="0"/>
                    <w:adjustRightInd w:val="0"/>
                    <w:snapToGrid w:val="0"/>
                    <w:rPr>
                      <w:rFonts w:ascii="Times New Roman" w:hAnsi="Times New Roman" w:cs="Times New Roman"/>
                    </w:rPr>
                  </w:pPr>
                </w:p>
              </w:tc>
              <w:tc>
                <w:tcPr>
                  <w:tcW w:w="491" w:type="pct"/>
                  <w:tcBorders>
                    <w:tl2br w:val="nil"/>
                    <w:tr2bl w:val="nil"/>
                  </w:tcBorders>
                  <w:vAlign w:val="center"/>
                </w:tcPr>
                <w:p w14:paraId="61D5BCF2">
                  <w:pPr>
                    <w:pStyle w:val="62"/>
                    <w:kinsoku w:val="0"/>
                    <w:wordWrap w:val="0"/>
                    <w:overflowPunct w:val="0"/>
                    <w:adjustRightInd w:val="0"/>
                    <w:snapToGrid w:val="0"/>
                    <w:rPr>
                      <w:rFonts w:ascii="Times New Roman" w:hAnsi="Times New Roman" w:cs="Times New Roman"/>
                    </w:rPr>
                  </w:pPr>
                  <w:r>
                    <w:rPr>
                      <w:rFonts w:ascii="Times New Roman" w:hAnsi="Times New Roman" w:cs="Times New Roman"/>
                    </w:rPr>
                    <w:t>资源</w:t>
                  </w:r>
                </w:p>
                <w:p w14:paraId="22C9118D">
                  <w:pPr>
                    <w:pStyle w:val="62"/>
                    <w:kinsoku w:val="0"/>
                    <w:wordWrap w:val="0"/>
                    <w:overflowPunct w:val="0"/>
                    <w:adjustRightInd w:val="0"/>
                    <w:snapToGrid w:val="0"/>
                    <w:rPr>
                      <w:rFonts w:ascii="Times New Roman" w:hAnsi="Times New Roman" w:cs="Times New Roman"/>
                    </w:rPr>
                  </w:pPr>
                  <w:r>
                    <w:rPr>
                      <w:rFonts w:ascii="Times New Roman" w:hAnsi="Times New Roman" w:cs="Times New Roman"/>
                    </w:rPr>
                    <w:t>利用</w:t>
                  </w:r>
                </w:p>
                <w:p w14:paraId="5C16D3FC">
                  <w:pPr>
                    <w:pStyle w:val="62"/>
                    <w:kinsoku w:val="0"/>
                    <w:wordWrap w:val="0"/>
                    <w:overflowPunct w:val="0"/>
                    <w:adjustRightInd w:val="0"/>
                    <w:snapToGrid w:val="0"/>
                    <w:rPr>
                      <w:rFonts w:ascii="Times New Roman" w:hAnsi="Times New Roman" w:cs="Times New Roman"/>
                    </w:rPr>
                  </w:pPr>
                  <w:r>
                    <w:rPr>
                      <w:rFonts w:ascii="Times New Roman" w:hAnsi="Times New Roman" w:cs="Times New Roman"/>
                    </w:rPr>
                    <w:t>效率</w:t>
                  </w:r>
                </w:p>
                <w:p w14:paraId="38248FE4">
                  <w:pPr>
                    <w:pStyle w:val="62"/>
                    <w:kinsoku w:val="0"/>
                    <w:wordWrap w:val="0"/>
                    <w:overflowPunct w:val="0"/>
                    <w:adjustRightInd w:val="0"/>
                    <w:snapToGrid w:val="0"/>
                    <w:rPr>
                      <w:rFonts w:ascii="Times New Roman" w:hAnsi="Times New Roman" w:cs="Times New Roman"/>
                    </w:rPr>
                  </w:pPr>
                  <w:r>
                    <w:rPr>
                      <w:rFonts w:ascii="Times New Roman" w:hAnsi="Times New Roman" w:cs="Times New Roman"/>
                    </w:rPr>
                    <w:t>要求</w:t>
                  </w:r>
                </w:p>
              </w:tc>
              <w:tc>
                <w:tcPr>
                  <w:tcW w:w="2065" w:type="pct"/>
                  <w:tcBorders>
                    <w:tl2br w:val="nil"/>
                    <w:tr2bl w:val="nil"/>
                  </w:tcBorders>
                  <w:vAlign w:val="center"/>
                </w:tcPr>
                <w:p w14:paraId="6CA63C63">
                  <w:pPr>
                    <w:widowControl/>
                    <w:adjustRightInd w:val="0"/>
                    <w:snapToGrid w:val="0"/>
                    <w:jc w:val="left"/>
                    <w:rPr>
                      <w:rFonts w:ascii="Times New Roman" w:hAnsi="Times New Roman" w:cs="Times New Roman"/>
                      <w:b/>
                      <w:bCs/>
                      <w:szCs w:val="21"/>
                    </w:rPr>
                  </w:pPr>
                  <w:r>
                    <w:rPr>
                      <w:rFonts w:ascii="Times New Roman" w:hAnsi="Times New Roman" w:cs="Times New Roman"/>
                      <w:b/>
                      <w:bCs/>
                      <w:szCs w:val="21"/>
                    </w:rPr>
                    <w:t>生态用水补给区管控分区：</w:t>
                  </w:r>
                </w:p>
                <w:p w14:paraId="130A9A90">
                  <w:pPr>
                    <w:widowControl/>
                    <w:numPr>
                      <w:ilvl w:val="0"/>
                      <w:numId w:val="2"/>
                    </w:numPr>
                    <w:adjustRightInd w:val="0"/>
                    <w:snapToGrid w:val="0"/>
                    <w:jc w:val="left"/>
                    <w:rPr>
                      <w:rFonts w:ascii="Times New Roman" w:hAnsi="Times New Roman" w:cs="Times New Roman"/>
                      <w:szCs w:val="21"/>
                    </w:rPr>
                  </w:pPr>
                  <w:r>
                    <w:rPr>
                      <w:rFonts w:ascii="Times New Roman" w:hAnsi="Times New Roman" w:cs="Times New Roman"/>
                      <w:szCs w:val="21"/>
                    </w:rPr>
                    <w:t>加强生态流量日常监管，提高枯水期和关键期生态流量，探索生态流量联合监管机制，维持河道生态系统稳定。</w:t>
                  </w:r>
                </w:p>
                <w:p w14:paraId="1C15D528">
                  <w:pPr>
                    <w:widowControl/>
                    <w:adjustRightInd w:val="0"/>
                    <w:snapToGrid w:val="0"/>
                    <w:jc w:val="left"/>
                    <w:rPr>
                      <w:rFonts w:ascii="Times New Roman" w:hAnsi="Times New Roman" w:cs="Times New Roman"/>
                      <w:szCs w:val="21"/>
                    </w:rPr>
                  </w:pPr>
                  <w:r>
                    <w:rPr>
                      <w:rFonts w:ascii="Times New Roman" w:hAnsi="Times New Roman" w:cs="Times New Roman"/>
                      <w:szCs w:val="21"/>
                    </w:rPr>
                    <w:t>2.水资源配置应首先考虑生态用水，保护修复水生态环境。已成工程通过水源置换、退减被挤占的河道内生态环境用水，规划工程应在保障河道生态环境用水的前提下，进行合理开发。</w:t>
                  </w:r>
                </w:p>
                <w:p w14:paraId="17D361C9">
                  <w:pPr>
                    <w:widowControl/>
                    <w:adjustRightInd w:val="0"/>
                    <w:snapToGrid w:val="0"/>
                    <w:jc w:val="left"/>
                    <w:rPr>
                      <w:rFonts w:ascii="Times New Roman" w:hAnsi="Times New Roman" w:cs="Times New Roman"/>
                      <w:szCs w:val="21"/>
                    </w:rPr>
                  </w:pPr>
                  <w:r>
                    <w:rPr>
                      <w:rFonts w:ascii="Times New Roman" w:hAnsi="Times New Roman" w:cs="Times New Roman"/>
                      <w:szCs w:val="21"/>
                    </w:rPr>
                    <w:t>3. 在保护生态环境和水资源可持续利用的前提下，确保河道内生态用水的要求并兼顾河道内生产用水需求，合理确定河道外用水消耗量不超过河流水系的水资源可利用量。严格执行用水总量指标，在用水总量控制的前提下，逐步退还被挤占的河道内生态环境用水。</w:t>
                  </w:r>
                </w:p>
                <w:p w14:paraId="55ED035F">
                  <w:pPr>
                    <w:widowControl/>
                    <w:adjustRightInd w:val="0"/>
                    <w:snapToGrid w:val="0"/>
                    <w:jc w:val="left"/>
                    <w:rPr>
                      <w:rFonts w:ascii="Times New Roman" w:hAnsi="Times New Roman" w:cs="Times New Roman"/>
                      <w:szCs w:val="21"/>
                    </w:rPr>
                  </w:pPr>
                  <w:r>
                    <w:rPr>
                      <w:rFonts w:ascii="Times New Roman" w:hAnsi="Times New Roman" w:cs="Times New Roman"/>
                      <w:szCs w:val="21"/>
                    </w:rPr>
                    <w:t>4.将河湖生态流量保障目标落实纳入水资源调度方案和年度调度计划，以重要水利水电工程和水资源配置工程为重点，实施水资源统一调度，落实水利水电工程生态流量下泄措施。</w:t>
                  </w:r>
                </w:p>
                <w:p w14:paraId="21A6EDA9">
                  <w:pPr>
                    <w:widowControl/>
                    <w:adjustRightInd w:val="0"/>
                    <w:snapToGrid w:val="0"/>
                    <w:jc w:val="left"/>
                    <w:rPr>
                      <w:rFonts w:ascii="Times New Roman" w:hAnsi="Times New Roman" w:cs="Times New Roman"/>
                      <w:b/>
                      <w:bCs/>
                      <w:szCs w:val="21"/>
                    </w:rPr>
                  </w:pPr>
                  <w:r>
                    <w:rPr>
                      <w:rFonts w:ascii="Times New Roman" w:hAnsi="Times New Roman" w:cs="Times New Roman"/>
                      <w:b/>
                      <w:bCs/>
                      <w:szCs w:val="21"/>
                    </w:rPr>
                    <w:t>土地资源重点管控区：</w:t>
                  </w:r>
                </w:p>
                <w:p w14:paraId="2C74C4CF">
                  <w:pPr>
                    <w:widowControl/>
                    <w:adjustRightInd w:val="0"/>
                    <w:snapToGrid w:val="0"/>
                    <w:jc w:val="left"/>
                    <w:rPr>
                      <w:rFonts w:ascii="Times New Roman" w:hAnsi="Times New Roman" w:cs="Times New Roman"/>
                      <w:szCs w:val="21"/>
                    </w:rPr>
                  </w:pPr>
                  <w:r>
                    <w:rPr>
                      <w:rFonts w:ascii="Times New Roman" w:hAnsi="Times New Roman" w:cs="Times New Roman"/>
                      <w:szCs w:val="21"/>
                    </w:rPr>
                    <w:t>1.按照布局集中、用地集约、产业集聚、效益集显的原则，重点依托省级以上开发区、县域工业集中区等，推进战略性新兴产业、先进制造业、生产性服务业等产业项目在工业产业区块内集中布局。严格控制在园区外安排新增工业用地。确需在园区外安排重大或有特殊工艺要求工业项目的，须加强科学论证。</w:t>
                  </w:r>
                </w:p>
                <w:p w14:paraId="69E2EA6B">
                  <w:pPr>
                    <w:widowControl/>
                    <w:adjustRightInd w:val="0"/>
                    <w:snapToGrid w:val="0"/>
                    <w:jc w:val="left"/>
                    <w:rPr>
                      <w:rFonts w:ascii="Times New Roman" w:hAnsi="Times New Roman" w:cs="Times New Roman"/>
                      <w:szCs w:val="21"/>
                    </w:rPr>
                  </w:pPr>
                  <w:r>
                    <w:rPr>
                      <w:rFonts w:ascii="Times New Roman" w:hAnsi="Times New Roman" w:cs="Times New Roman"/>
                      <w:szCs w:val="21"/>
                    </w:rPr>
                    <w:t>2.严格用地准入管理。严格执行自然资源开发利用限制和禁止目录、建设用地定额标准和市场准入负面清单。</w:t>
                  </w:r>
                </w:p>
                <w:p w14:paraId="0912AC7B">
                  <w:pPr>
                    <w:widowControl/>
                    <w:adjustRightInd w:val="0"/>
                    <w:snapToGrid w:val="0"/>
                    <w:jc w:val="left"/>
                    <w:rPr>
                      <w:rFonts w:ascii="Times New Roman" w:hAnsi="Times New Roman" w:cs="Times New Roman"/>
                      <w:szCs w:val="21"/>
                    </w:rPr>
                  </w:pPr>
                  <w:r>
                    <w:rPr>
                      <w:rFonts w:ascii="Times New Roman" w:hAnsi="Times New Roman" w:cs="Times New Roman"/>
                      <w:b/>
                      <w:bCs/>
                      <w:szCs w:val="21"/>
                    </w:rPr>
                    <w:t>高污染燃料禁燃区：</w:t>
                  </w:r>
                </w:p>
                <w:p w14:paraId="16695588">
                  <w:pPr>
                    <w:widowControl/>
                    <w:adjustRightInd w:val="0"/>
                    <w:snapToGrid w:val="0"/>
                    <w:jc w:val="left"/>
                    <w:rPr>
                      <w:rFonts w:ascii="Times New Roman" w:hAnsi="Times New Roman" w:cs="Times New Roman"/>
                      <w:szCs w:val="21"/>
                    </w:rPr>
                  </w:pPr>
                  <w:r>
                    <w:rPr>
                      <w:rFonts w:ascii="Times New Roman" w:hAnsi="Times New Roman" w:cs="Times New Roman"/>
                      <w:szCs w:val="21"/>
                    </w:rPr>
                    <w:t>1.禁止销售、燃用高污染燃料（35蒸吨及以上锅炉、火力发电企业机组除外）。</w:t>
                  </w:r>
                </w:p>
                <w:p w14:paraId="68C1BE19">
                  <w:pPr>
                    <w:widowControl/>
                    <w:adjustRightInd w:val="0"/>
                    <w:snapToGrid w:val="0"/>
                    <w:jc w:val="left"/>
                    <w:rPr>
                      <w:rFonts w:ascii="Times New Roman" w:hAnsi="Times New Roman" w:cs="Times New Roman"/>
                      <w:szCs w:val="21"/>
                    </w:rPr>
                  </w:pPr>
                  <w:r>
                    <w:rPr>
                      <w:rFonts w:ascii="Times New Roman" w:hAnsi="Times New Roman" w:cs="Times New Roman"/>
                      <w:szCs w:val="21"/>
                    </w:rPr>
                    <w:t>2.高污染燃料禁燃区执行Ⅲ类（严格）要求，禁止使用煤炭及其制品、石油焦、油页岩、原油、重油、渣油、煤焦油以及非专用锅炉或未配置高效除尘设施的专用锅炉燃用的生物质成型燃料。</w:t>
                  </w:r>
                </w:p>
                <w:p w14:paraId="7D3692E5">
                  <w:pPr>
                    <w:widowControl/>
                    <w:adjustRightInd w:val="0"/>
                    <w:snapToGrid w:val="0"/>
                    <w:jc w:val="left"/>
                    <w:rPr>
                      <w:rFonts w:ascii="Times New Roman" w:hAnsi="Times New Roman" w:cs="Times New Roman"/>
                      <w:szCs w:val="21"/>
                    </w:rPr>
                  </w:pPr>
                  <w:r>
                    <w:rPr>
                      <w:rFonts w:hint="eastAsia" w:ascii="Times New Roman" w:hAnsi="Times New Roman" w:cs="Times New Roman"/>
                      <w:szCs w:val="21"/>
                    </w:rPr>
                    <w:t>3</w:t>
                  </w:r>
                  <w:r>
                    <w:rPr>
                      <w:rFonts w:ascii="Times New Roman" w:hAnsi="Times New Roman" w:cs="Times New Roman"/>
                      <w:szCs w:val="21"/>
                    </w:rPr>
                    <w:t>.禁止新建、扩建燃用高污染燃料的锅炉、窑炉、炉灶等设施，不得将其他燃料燃用设施改造为高污染燃料燃用设施。</w:t>
                  </w:r>
                </w:p>
                <w:p w14:paraId="0ED6D3EC">
                  <w:pPr>
                    <w:widowControl/>
                    <w:adjustRightInd w:val="0"/>
                    <w:snapToGrid w:val="0"/>
                    <w:jc w:val="left"/>
                    <w:rPr>
                      <w:rFonts w:ascii="Times New Roman" w:hAnsi="Times New Roman" w:cs="Times New Roman"/>
                      <w:szCs w:val="21"/>
                    </w:rPr>
                  </w:pPr>
                  <w:r>
                    <w:rPr>
                      <w:rFonts w:ascii="Times New Roman" w:hAnsi="Times New Roman" w:cs="Times New Roman"/>
                      <w:szCs w:val="21"/>
                    </w:rPr>
                    <w:t>4.禁燃区内集中供热企业必须使用符合《商品煤质量管理暂行办法》的燃煤，发电企业必须使用符合《商品煤质量发电煤粉锅炉用煤》（GB/T7562-2018）标准的燃煤，不得擅自</w:t>
                  </w:r>
                  <w:r>
                    <w:rPr>
                      <w:rFonts w:hint="eastAsia" w:ascii="Times New Roman" w:hAnsi="Times New Roman" w:cs="Times New Roman"/>
                      <w:szCs w:val="21"/>
                    </w:rPr>
                    <w:t>改用其他</w:t>
                  </w:r>
                  <w:r>
                    <w:rPr>
                      <w:rFonts w:ascii="Times New Roman" w:hAnsi="Times New Roman" w:cs="Times New Roman"/>
                      <w:szCs w:val="21"/>
                    </w:rPr>
                    <w:t>类型的高污染燃料，高效除尘、脱硫、脱硝设施必须正常稳定运行，确保大气污染物达标排放。</w:t>
                  </w:r>
                </w:p>
                <w:p w14:paraId="47FF53E2">
                  <w:pPr>
                    <w:widowControl/>
                    <w:adjustRightInd w:val="0"/>
                    <w:snapToGrid w:val="0"/>
                    <w:jc w:val="left"/>
                    <w:rPr>
                      <w:rFonts w:ascii="Times New Roman" w:hAnsi="Times New Roman" w:cs="Times New Roman"/>
                      <w:szCs w:val="21"/>
                    </w:rPr>
                  </w:pPr>
                  <w:r>
                    <w:rPr>
                      <w:rFonts w:ascii="Times New Roman" w:hAnsi="Times New Roman" w:cs="Times New Roman"/>
                      <w:szCs w:val="21"/>
                    </w:rPr>
                    <w:t>5.禁止生产、销售和使用高污染燃料。禁止露天烧烤，禁止焦（木）炭烧烤，禁止焚烧垃圾（树叶、杂草）、沥青、油毡、橡胶、皮革等可产生有毒、有害烟尘和恶臭气体的物质。</w:t>
                  </w:r>
                </w:p>
                <w:p w14:paraId="1266F3BD">
                  <w:pPr>
                    <w:widowControl/>
                    <w:tabs>
                      <w:tab w:val="right" w:pos="2967"/>
                    </w:tabs>
                    <w:adjustRightInd w:val="0"/>
                    <w:snapToGrid w:val="0"/>
                    <w:jc w:val="left"/>
                    <w:rPr>
                      <w:rFonts w:hint="eastAsia" w:ascii="Times New Roman" w:hAnsi="Times New Roman" w:cs="Times New Roman" w:eastAsiaTheme="minorEastAsia"/>
                      <w:b/>
                      <w:bCs/>
                      <w:szCs w:val="21"/>
                      <w:lang w:eastAsia="zh-CN"/>
                    </w:rPr>
                  </w:pPr>
                  <w:r>
                    <w:rPr>
                      <w:rFonts w:ascii="Times New Roman" w:hAnsi="Times New Roman" w:cs="Times New Roman"/>
                      <w:b/>
                      <w:bCs/>
                      <w:szCs w:val="21"/>
                    </w:rPr>
                    <w:t>姜谭经济技术开发区</w:t>
                  </w:r>
                  <w:r>
                    <w:rPr>
                      <w:rFonts w:hint="eastAsia" w:ascii="Times New Roman" w:hAnsi="Times New Roman" w:cs="Times New Roman"/>
                      <w:b/>
                      <w:bCs/>
                      <w:szCs w:val="21"/>
                      <w:lang w:eastAsia="zh-CN"/>
                    </w:rPr>
                    <w:t>：</w:t>
                  </w:r>
                </w:p>
                <w:p w14:paraId="46482A70">
                  <w:pPr>
                    <w:widowControl/>
                    <w:adjustRightInd w:val="0"/>
                    <w:snapToGrid w:val="0"/>
                    <w:jc w:val="left"/>
                    <w:rPr>
                      <w:rFonts w:ascii="Times New Roman" w:hAnsi="Times New Roman" w:cs="Times New Roman"/>
                      <w:szCs w:val="21"/>
                    </w:rPr>
                  </w:pPr>
                  <w:r>
                    <w:rPr>
                      <w:rFonts w:ascii="Times New Roman" w:hAnsi="Times New Roman" w:cs="Times New Roman"/>
                      <w:szCs w:val="21"/>
                    </w:rPr>
                    <w:t>1.再生水回用率不低于30%；工业用水重复利用率75%。</w:t>
                  </w:r>
                </w:p>
                <w:p w14:paraId="636B1C9A">
                  <w:pPr>
                    <w:widowControl/>
                    <w:adjustRightInd w:val="0"/>
                    <w:snapToGrid w:val="0"/>
                    <w:jc w:val="left"/>
                    <w:rPr>
                      <w:rFonts w:ascii="Times New Roman" w:hAnsi="Times New Roman" w:cs="Times New Roman"/>
                      <w:szCs w:val="21"/>
                    </w:rPr>
                  </w:pPr>
                  <w:r>
                    <w:rPr>
                      <w:rFonts w:ascii="Times New Roman" w:hAnsi="Times New Roman" w:cs="Times New Roman"/>
                      <w:szCs w:val="21"/>
                    </w:rPr>
                    <w:t>2.执行宝鸡市生态环境要素分区总准入清单中</w:t>
                  </w:r>
                  <w:r>
                    <w:rPr>
                      <w:rFonts w:hint="eastAsia" w:ascii="Times New Roman" w:hAnsi="Times New Roman" w:cs="Times New Roman"/>
                      <w:szCs w:val="21"/>
                    </w:rPr>
                    <w:t>“</w:t>
                  </w:r>
                  <w:r>
                    <w:rPr>
                      <w:rFonts w:ascii="Times New Roman" w:hAnsi="Times New Roman" w:cs="Times New Roman"/>
                      <w:szCs w:val="21"/>
                    </w:rPr>
                    <w:t>5.10 生态用水补给区管控分区的资源利用效率要求</w:t>
                  </w:r>
                  <w:r>
                    <w:rPr>
                      <w:rFonts w:hint="eastAsia" w:ascii="Times New Roman" w:hAnsi="Times New Roman" w:cs="Times New Roman"/>
                      <w:szCs w:val="21"/>
                    </w:rPr>
                    <w:t>”</w:t>
                  </w:r>
                  <w:r>
                    <w:rPr>
                      <w:rFonts w:ascii="Times New Roman" w:hAnsi="Times New Roman" w:cs="Times New Roman"/>
                      <w:szCs w:val="21"/>
                    </w:rPr>
                    <w:t>；</w:t>
                  </w:r>
                </w:p>
                <w:p w14:paraId="5B030C94">
                  <w:pPr>
                    <w:widowControl/>
                    <w:adjustRightInd w:val="0"/>
                    <w:snapToGrid w:val="0"/>
                    <w:jc w:val="left"/>
                    <w:rPr>
                      <w:rFonts w:ascii="Times New Roman" w:hAnsi="Times New Roman" w:cs="Times New Roman"/>
                      <w:szCs w:val="21"/>
                    </w:rPr>
                  </w:pPr>
                  <w:r>
                    <w:rPr>
                      <w:rFonts w:ascii="Times New Roman" w:hAnsi="Times New Roman" w:cs="Times New Roman"/>
                      <w:szCs w:val="21"/>
                    </w:rPr>
                    <w:t>3.执行宝鸡市生态环境要素分区总体准入清单中</w:t>
                  </w:r>
                  <w:r>
                    <w:rPr>
                      <w:rFonts w:hint="eastAsia" w:ascii="Times New Roman" w:hAnsi="Times New Roman" w:cs="Times New Roman"/>
                      <w:szCs w:val="21"/>
                    </w:rPr>
                    <w:t>“</w:t>
                  </w:r>
                  <w:r>
                    <w:rPr>
                      <w:rFonts w:ascii="Times New Roman" w:hAnsi="Times New Roman" w:cs="Times New Roman"/>
                      <w:szCs w:val="21"/>
                    </w:rPr>
                    <w:t>5.12 土地资源重点管控区的资源利用效率要求</w:t>
                  </w:r>
                  <w:r>
                    <w:rPr>
                      <w:rFonts w:hint="eastAsia" w:ascii="Times New Roman" w:hAnsi="Times New Roman" w:cs="Times New Roman"/>
                      <w:szCs w:val="21"/>
                    </w:rPr>
                    <w:t>”</w:t>
                  </w:r>
                  <w:r>
                    <w:rPr>
                      <w:rFonts w:ascii="Times New Roman" w:hAnsi="Times New Roman" w:cs="Times New Roman"/>
                      <w:szCs w:val="21"/>
                    </w:rPr>
                    <w:t>；</w:t>
                  </w:r>
                </w:p>
                <w:p w14:paraId="10C02FE3">
                  <w:pPr>
                    <w:widowControl/>
                    <w:adjustRightInd w:val="0"/>
                    <w:snapToGrid w:val="0"/>
                    <w:jc w:val="left"/>
                    <w:rPr>
                      <w:rFonts w:hint="eastAsia" w:ascii="Times New Roman" w:hAnsi="Times New Roman" w:cs="Times New Roman" w:eastAsiaTheme="minorEastAsia"/>
                      <w:szCs w:val="21"/>
                      <w:lang w:eastAsia="zh-CN"/>
                    </w:rPr>
                  </w:pPr>
                  <w:r>
                    <w:rPr>
                      <w:rFonts w:ascii="Times New Roman" w:hAnsi="Times New Roman" w:cs="Times New Roman"/>
                      <w:szCs w:val="21"/>
                    </w:rPr>
                    <w:t>4.执行宝鸡市生态环境要素分区总体准入清单中</w:t>
                  </w:r>
                  <w:r>
                    <w:rPr>
                      <w:rFonts w:hint="eastAsia" w:ascii="Times New Roman" w:hAnsi="Times New Roman" w:cs="Times New Roman"/>
                      <w:szCs w:val="21"/>
                    </w:rPr>
                    <w:t>“</w:t>
                  </w:r>
                  <w:r>
                    <w:rPr>
                      <w:rFonts w:ascii="Times New Roman" w:hAnsi="Times New Roman" w:cs="Times New Roman"/>
                      <w:szCs w:val="21"/>
                    </w:rPr>
                    <w:t>5.13 高污染燃料禁燃区的资源利用效率要求</w:t>
                  </w:r>
                  <w:r>
                    <w:rPr>
                      <w:rFonts w:hint="eastAsia" w:ascii="Times New Roman" w:hAnsi="Times New Roman" w:cs="Times New Roman"/>
                      <w:szCs w:val="21"/>
                    </w:rPr>
                    <w:t>”</w:t>
                  </w:r>
                  <w:r>
                    <w:rPr>
                      <w:rFonts w:hint="eastAsia" w:ascii="Times New Roman" w:hAnsi="Times New Roman" w:cs="Times New Roman"/>
                      <w:szCs w:val="21"/>
                      <w:lang w:eastAsia="zh-CN"/>
                    </w:rPr>
                    <w:t>。</w:t>
                  </w:r>
                </w:p>
              </w:tc>
              <w:tc>
                <w:tcPr>
                  <w:tcW w:w="1289" w:type="pct"/>
                  <w:tcBorders>
                    <w:tl2br w:val="nil"/>
                    <w:tr2bl w:val="nil"/>
                  </w:tcBorders>
                  <w:vAlign w:val="center"/>
                </w:tcPr>
                <w:p w14:paraId="00E4325A">
                  <w:pPr>
                    <w:pStyle w:val="62"/>
                    <w:wordWrap w:val="0"/>
                    <w:topLinePunct/>
                    <w:adjustRightInd w:val="0"/>
                    <w:snapToGrid w:val="0"/>
                    <w:jc w:val="left"/>
                    <w:rPr>
                      <w:rFonts w:ascii="Times New Roman" w:hAnsi="Times New Roman" w:cs="Times New Roman"/>
                    </w:rPr>
                  </w:pPr>
                  <w:r>
                    <w:rPr>
                      <w:rFonts w:ascii="Times New Roman" w:hAnsi="Times New Roman" w:cs="Times New Roman"/>
                    </w:rPr>
                    <w:t>①本项目位于园区内，用地性质为工业用地，符合园区的用地规划；</w:t>
                  </w:r>
                </w:p>
                <w:p w14:paraId="73981C33">
                  <w:pPr>
                    <w:pStyle w:val="62"/>
                    <w:wordWrap w:val="0"/>
                    <w:topLinePunct/>
                    <w:adjustRightInd w:val="0"/>
                    <w:snapToGrid w:val="0"/>
                    <w:jc w:val="left"/>
                    <w:rPr>
                      <w:rFonts w:ascii="Times New Roman" w:hAnsi="Times New Roman" w:cs="Times New Roman"/>
                    </w:rPr>
                  </w:pPr>
                  <w:r>
                    <w:rPr>
                      <w:rFonts w:ascii="Times New Roman" w:hAnsi="Times New Roman" w:cs="Times New Roman"/>
                    </w:rPr>
                    <w:t>③项目不涉及煤等高污染燃料；</w:t>
                  </w:r>
                </w:p>
                <w:p w14:paraId="405B457E">
                  <w:pPr>
                    <w:pStyle w:val="62"/>
                    <w:wordWrap w:val="0"/>
                    <w:topLinePunct/>
                    <w:adjustRightInd w:val="0"/>
                    <w:snapToGrid w:val="0"/>
                    <w:jc w:val="left"/>
                    <w:rPr>
                      <w:rFonts w:hint="eastAsia" w:ascii="Times New Roman" w:hAnsi="Times New Roman" w:cs="Times New Roman" w:eastAsiaTheme="minorEastAsia"/>
                      <w:lang w:eastAsia="zh-CN"/>
                    </w:rPr>
                  </w:pPr>
                  <w:r>
                    <w:rPr>
                      <w:rFonts w:ascii="Times New Roman" w:hAnsi="Times New Roman" w:cs="Times New Roman"/>
                    </w:rPr>
                    <w:t>④对照宝鸡市生态环境分区管控准入清单中</w:t>
                  </w:r>
                  <w:r>
                    <w:rPr>
                      <w:rFonts w:hint="eastAsia" w:ascii="Times New Roman" w:hAnsi="Times New Roman" w:cs="Times New Roman"/>
                    </w:rPr>
                    <w:t>“</w:t>
                  </w:r>
                  <w:r>
                    <w:rPr>
                      <w:rFonts w:ascii="Times New Roman" w:hAnsi="Times New Roman" w:cs="Times New Roman"/>
                      <w:kern w:val="2"/>
                    </w:rPr>
                    <w:t>5.10 生态用水补给区管控分区的资源利用效率</w:t>
                  </w:r>
                  <w:r>
                    <w:rPr>
                      <w:rFonts w:hint="eastAsia" w:ascii="Times New Roman" w:hAnsi="Times New Roman" w:cs="Times New Roman"/>
                      <w:kern w:val="2"/>
                      <w:lang w:eastAsia="zh-CN"/>
                    </w:rPr>
                    <w:t>”</w:t>
                  </w:r>
                  <w:r>
                    <w:rPr>
                      <w:rFonts w:hint="eastAsia" w:ascii="Times New Roman" w:hAnsi="Times New Roman" w:cs="Times New Roman"/>
                      <w:kern w:val="2"/>
                    </w:rPr>
                    <w:t>要求</w:t>
                  </w:r>
                  <w:r>
                    <w:rPr>
                      <w:rFonts w:ascii="Times New Roman" w:hAnsi="Times New Roman" w:cs="Times New Roman"/>
                    </w:rPr>
                    <w:t>，本项目</w:t>
                  </w:r>
                  <w:r>
                    <w:rPr>
                      <w:rFonts w:hint="eastAsia" w:ascii="Times New Roman" w:hAnsi="Times New Roman" w:cs="Times New Roman"/>
                    </w:rPr>
                    <w:t>生产</w:t>
                  </w:r>
                  <w:r>
                    <w:rPr>
                      <w:rFonts w:ascii="Times New Roman" w:hAnsi="Times New Roman" w:cs="Times New Roman"/>
                    </w:rPr>
                    <w:t>废水</w:t>
                  </w:r>
                  <w:r>
                    <w:rPr>
                      <w:rFonts w:hint="eastAsia" w:ascii="Times New Roman" w:hAnsi="Times New Roman" w:cs="Times New Roman"/>
                    </w:rPr>
                    <w:t>不外排</w:t>
                  </w:r>
                  <w:r>
                    <w:rPr>
                      <w:rFonts w:hint="eastAsia" w:ascii="Times New Roman" w:hAnsi="Times New Roman" w:cs="Times New Roman"/>
                      <w:lang w:eastAsia="zh-CN"/>
                    </w:rPr>
                    <w:t>；</w:t>
                  </w:r>
                </w:p>
                <w:p w14:paraId="78A39C77">
                  <w:pPr>
                    <w:widowControl/>
                    <w:adjustRightInd w:val="0"/>
                    <w:snapToGrid w:val="0"/>
                    <w:jc w:val="left"/>
                    <w:rPr>
                      <w:rFonts w:ascii="Times New Roman" w:hAnsi="Times New Roman" w:cs="Times New Roman"/>
                      <w:szCs w:val="21"/>
                    </w:rPr>
                  </w:pPr>
                  <w:r>
                    <w:rPr>
                      <w:rFonts w:ascii="Times New Roman" w:hAnsi="Times New Roman" w:cs="Times New Roman"/>
                      <w:szCs w:val="21"/>
                    </w:rPr>
                    <w:t>⑤对照宝鸡市生态环境分区管控准入清单中</w:t>
                  </w:r>
                  <w:r>
                    <w:rPr>
                      <w:rFonts w:hint="eastAsia" w:ascii="Times New Roman" w:hAnsi="Times New Roman" w:cs="Times New Roman"/>
                      <w:szCs w:val="21"/>
                    </w:rPr>
                    <w:t>“</w:t>
                  </w:r>
                  <w:r>
                    <w:rPr>
                      <w:rFonts w:ascii="Times New Roman" w:hAnsi="Times New Roman" w:cs="Times New Roman"/>
                      <w:szCs w:val="21"/>
                    </w:rPr>
                    <w:t>5.13 高污染燃料禁燃区的资源利用效率准入</w:t>
                  </w:r>
                  <w:r>
                    <w:rPr>
                      <w:rFonts w:hint="eastAsia" w:ascii="Times New Roman" w:hAnsi="Times New Roman" w:cs="Times New Roman"/>
                      <w:szCs w:val="21"/>
                      <w:lang w:eastAsia="zh-CN"/>
                    </w:rPr>
                    <w:t>”</w:t>
                  </w:r>
                  <w:r>
                    <w:rPr>
                      <w:rFonts w:ascii="Times New Roman" w:hAnsi="Times New Roman" w:cs="Times New Roman"/>
                      <w:szCs w:val="21"/>
                    </w:rPr>
                    <w:t>要求，本项目使用能源主要为电能</w:t>
                  </w:r>
                  <w:r>
                    <w:rPr>
                      <w:rFonts w:hint="eastAsia" w:ascii="Times New Roman" w:hAnsi="Times New Roman" w:cs="Times New Roman"/>
                      <w:szCs w:val="21"/>
                    </w:rPr>
                    <w:t>，</w:t>
                  </w:r>
                  <w:r>
                    <w:rPr>
                      <w:rFonts w:ascii="Times New Roman" w:hAnsi="Times New Roman" w:cs="Times New Roman"/>
                      <w:szCs w:val="21"/>
                    </w:rPr>
                    <w:t>不涉及煤炭等高污染燃料</w:t>
                  </w:r>
                  <w:r>
                    <w:rPr>
                      <w:rFonts w:hint="eastAsia" w:ascii="Times New Roman" w:hAnsi="Times New Roman" w:cs="Times New Roman"/>
                      <w:szCs w:val="21"/>
                    </w:rPr>
                    <w:t>。</w:t>
                  </w:r>
                </w:p>
              </w:tc>
              <w:tc>
                <w:tcPr>
                  <w:tcW w:w="299" w:type="pct"/>
                  <w:tcBorders>
                    <w:tl2br w:val="nil"/>
                    <w:tr2bl w:val="nil"/>
                  </w:tcBorders>
                  <w:vAlign w:val="center"/>
                </w:tcPr>
                <w:p w14:paraId="6463EAA7">
                  <w:pPr>
                    <w:pStyle w:val="62"/>
                    <w:kinsoku w:val="0"/>
                    <w:wordWrap w:val="0"/>
                    <w:overflowPunct w:val="0"/>
                    <w:adjustRightInd w:val="0"/>
                    <w:snapToGrid w:val="0"/>
                    <w:rPr>
                      <w:rFonts w:ascii="Times New Roman" w:hAnsi="Times New Roman" w:cs="Times New Roman"/>
                    </w:rPr>
                  </w:pPr>
                  <w:r>
                    <w:rPr>
                      <w:rFonts w:ascii="Times New Roman" w:hAnsi="Times New Roman" w:cs="Times New Roman"/>
                    </w:rPr>
                    <w:t>符合</w:t>
                  </w:r>
                </w:p>
              </w:tc>
            </w:tr>
          </w:tbl>
          <w:p w14:paraId="26DC2286">
            <w:pPr>
              <w:autoSpaceDE w:val="0"/>
              <w:autoSpaceDN w:val="0"/>
              <w:adjustRightInd w:val="0"/>
              <w:snapToGrid w:val="0"/>
              <w:spacing w:line="360" w:lineRule="auto"/>
              <w:ind w:firstLine="480" w:firstLineChars="200"/>
              <w:rPr>
                <w:rFonts w:ascii="Times New Roman" w:hAnsi="Times New Roman" w:cs="Times New Roman"/>
                <w:b/>
                <w:sz w:val="24"/>
              </w:rPr>
            </w:pPr>
            <w:r>
              <w:rPr>
                <w:rFonts w:ascii="Times New Roman" w:hAnsi="Times New Roman" w:cs="Times New Roman"/>
                <w:sz w:val="24"/>
              </w:rPr>
              <w:t>综上所述，本项目建设符合</w:t>
            </w:r>
            <w:r>
              <w:rPr>
                <w:rFonts w:ascii="Times New Roman" w:hAnsi="Times New Roman" w:eastAsia="宋体" w:cs="Times New Roman"/>
                <w:sz w:val="24"/>
              </w:rPr>
              <w:t>《宝鸡市人民政府关于印发宝鸡市</w:t>
            </w:r>
            <w:r>
              <w:rPr>
                <w:rFonts w:hint="eastAsia" w:ascii="Times New Roman" w:hAnsi="Times New Roman" w:cs="Times New Roman"/>
                <w:sz w:val="24"/>
              </w:rPr>
              <w:t>“</w:t>
            </w:r>
            <w:r>
              <w:rPr>
                <w:rFonts w:ascii="Times New Roman" w:hAnsi="Times New Roman" w:eastAsia="宋体" w:cs="Times New Roman"/>
                <w:sz w:val="24"/>
              </w:rPr>
              <w:t>三线一单</w:t>
            </w:r>
            <w:r>
              <w:rPr>
                <w:rFonts w:hint="eastAsia" w:ascii="Times New Roman" w:hAnsi="Times New Roman" w:cs="Times New Roman"/>
                <w:sz w:val="24"/>
              </w:rPr>
              <w:t>”</w:t>
            </w:r>
            <w:r>
              <w:rPr>
                <w:rFonts w:ascii="Times New Roman" w:hAnsi="Times New Roman" w:eastAsia="宋体" w:cs="Times New Roman"/>
                <w:sz w:val="24"/>
              </w:rPr>
              <w:t>生态环境分区管控方案的通知》宝政发〔2021〕19号文件</w:t>
            </w:r>
            <w:r>
              <w:rPr>
                <w:rFonts w:ascii="Times New Roman" w:hAnsi="Times New Roman" w:cs="Times New Roman"/>
                <w:sz w:val="24"/>
              </w:rPr>
              <w:t>的要求。</w:t>
            </w:r>
          </w:p>
          <w:p w14:paraId="10E72C63">
            <w:pPr>
              <w:widowControl/>
              <w:jc w:val="center"/>
              <w:rPr>
                <w:szCs w:val="21"/>
              </w:rPr>
            </w:pPr>
            <w:r>
              <w:rPr>
                <w:rFonts w:ascii="宋体" w:hAnsi="宋体" w:eastAsia="宋体" w:cs="宋体"/>
                <w:kern w:val="0"/>
                <w:szCs w:val="21"/>
              </w:rPr>
              <w:drawing>
                <wp:inline distT="0" distB="0" distL="114300" distR="114300">
                  <wp:extent cx="3886200" cy="6086475"/>
                  <wp:effectExtent l="0" t="0" r="0" b="9525"/>
                  <wp:docPr id="35"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descr="IMG_256"/>
                          <pic:cNvPicPr>
                            <a:picLocks noChangeAspect="1"/>
                          </pic:cNvPicPr>
                        </pic:nvPicPr>
                        <pic:blipFill>
                          <a:blip r:embed="rId8"/>
                          <a:stretch>
                            <a:fillRect/>
                          </a:stretch>
                        </pic:blipFill>
                        <pic:spPr>
                          <a:xfrm>
                            <a:off x="0" y="0"/>
                            <a:ext cx="3886200" cy="6086475"/>
                          </a:xfrm>
                          <a:prstGeom prst="rect">
                            <a:avLst/>
                          </a:prstGeom>
                          <a:noFill/>
                          <a:ln w="9525">
                            <a:noFill/>
                          </a:ln>
                        </pic:spPr>
                      </pic:pic>
                    </a:graphicData>
                  </a:graphic>
                </wp:inline>
              </w:drawing>
            </w:r>
          </w:p>
          <w:p w14:paraId="36A63B5E">
            <w:pPr>
              <w:adjustRightInd w:val="0"/>
              <w:snapToGrid w:val="0"/>
              <w:spacing w:line="360" w:lineRule="auto"/>
              <w:rPr>
                <w:rFonts w:ascii="Times New Roman" w:hAnsi="Times New Roman" w:cs="Times New Roman"/>
                <w:szCs w:val="21"/>
              </w:rPr>
            </w:pPr>
          </w:p>
          <w:p w14:paraId="0DE0FC04">
            <w:pPr>
              <w:adjustRightInd w:val="0"/>
              <w:snapToGrid w:val="0"/>
              <w:spacing w:line="360" w:lineRule="auto"/>
              <w:jc w:val="center"/>
              <w:rPr>
                <w:rFonts w:ascii="Times New Roman" w:hAnsi="Times New Roman" w:cs="Times New Roman"/>
                <w:b/>
                <w:szCs w:val="21"/>
                <w:highlight w:val="yellow"/>
              </w:rPr>
            </w:pPr>
            <w:r>
              <w:rPr>
                <w:rFonts w:ascii="Times New Roman" w:hAnsi="Times New Roman" w:cs="Times New Roman"/>
                <w:b/>
                <w:bCs/>
                <w:szCs w:val="21"/>
              </w:rPr>
              <w:t>图1-</w:t>
            </w:r>
            <w:r>
              <w:rPr>
                <w:rFonts w:hint="eastAsia" w:ascii="Times New Roman" w:hAnsi="Times New Roman" w:cs="Times New Roman"/>
                <w:b/>
                <w:bCs/>
                <w:szCs w:val="21"/>
              </w:rPr>
              <w:t>2</w:t>
            </w:r>
            <w:r>
              <w:rPr>
                <w:rFonts w:ascii="Times New Roman" w:hAnsi="Times New Roman" w:cs="Times New Roman"/>
                <w:b/>
                <w:bCs/>
                <w:szCs w:val="21"/>
              </w:rPr>
              <w:t xml:space="preserve">  陕西省</w:t>
            </w:r>
            <w:r>
              <w:rPr>
                <w:rFonts w:hint="eastAsia" w:ascii="Times New Roman" w:hAnsi="Times New Roman" w:cs="Times New Roman"/>
                <w:b/>
                <w:bCs/>
                <w:szCs w:val="21"/>
              </w:rPr>
              <w:t>“</w:t>
            </w:r>
            <w:r>
              <w:rPr>
                <w:rFonts w:ascii="Times New Roman" w:hAnsi="Times New Roman" w:cs="Times New Roman"/>
                <w:b/>
                <w:bCs/>
                <w:szCs w:val="21"/>
              </w:rPr>
              <w:t>三线一单</w:t>
            </w:r>
            <w:r>
              <w:rPr>
                <w:rFonts w:hint="eastAsia" w:ascii="Times New Roman" w:hAnsi="Times New Roman" w:cs="Times New Roman"/>
                <w:b/>
                <w:bCs/>
                <w:szCs w:val="21"/>
              </w:rPr>
              <w:t>”</w:t>
            </w:r>
            <w:r>
              <w:rPr>
                <w:rFonts w:ascii="Times New Roman" w:hAnsi="Times New Roman" w:cs="Times New Roman"/>
                <w:b/>
                <w:bCs/>
                <w:szCs w:val="21"/>
              </w:rPr>
              <w:t>数据应用系统冲突分析图</w:t>
            </w:r>
          </w:p>
          <w:p w14:paraId="19D38B26">
            <w:pPr>
              <w:adjustRightInd w:val="0"/>
              <w:snapToGrid w:val="0"/>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2、产业政策符合性</w:t>
            </w:r>
          </w:p>
          <w:p w14:paraId="49ABA522">
            <w:pPr>
              <w:autoSpaceDE w:val="0"/>
              <w:autoSpaceDN w:val="0"/>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本项目运营期主要从事</w:t>
            </w:r>
            <w:r>
              <w:rPr>
                <w:rFonts w:hint="eastAsia" w:ascii="Times New Roman" w:hAnsi="Times New Roman" w:eastAsia="宋体" w:cs="Times New Roman"/>
                <w:sz w:val="24"/>
              </w:rPr>
              <w:t>铁路零部件</w:t>
            </w:r>
            <w:r>
              <w:rPr>
                <w:rFonts w:ascii="Times New Roman" w:hAnsi="Times New Roman" w:eastAsia="宋体" w:cs="Times New Roman"/>
                <w:sz w:val="24"/>
              </w:rPr>
              <w:t>金属表面处理及热处理加工活动，国民经济行业类别为C3360金属表面处</w:t>
            </w:r>
            <w:r>
              <w:rPr>
                <w:rFonts w:ascii="Times New Roman" w:hAnsi="Times New Roman" w:eastAsia="宋体" w:cs="Times New Roman"/>
                <w:color w:val="auto"/>
                <w:sz w:val="24"/>
              </w:rPr>
              <w:t>理及热处理加工，经查阅《市场准入负面清单（2025年版）》，不在制造业的禁止准入清单。经</w:t>
            </w:r>
            <w:r>
              <w:rPr>
                <w:rFonts w:ascii="Times New Roman" w:hAnsi="Times New Roman" w:eastAsia="宋体" w:cs="Times New Roman"/>
                <w:sz w:val="24"/>
              </w:rPr>
              <w:t>查阅《产业结构调整</w:t>
            </w:r>
            <w:r>
              <w:rPr>
                <w:rFonts w:hint="eastAsia" w:ascii="Times New Roman" w:hAnsi="Times New Roman" w:eastAsia="宋体" w:cs="Times New Roman"/>
                <w:sz w:val="24"/>
              </w:rPr>
              <w:t>指导</w:t>
            </w:r>
            <w:r>
              <w:rPr>
                <w:rFonts w:ascii="Times New Roman" w:hAnsi="Times New Roman" w:eastAsia="宋体" w:cs="Times New Roman"/>
                <w:sz w:val="24"/>
              </w:rPr>
              <w:t>目录（202</w:t>
            </w:r>
            <w:r>
              <w:rPr>
                <w:rFonts w:hint="eastAsia" w:ascii="Times New Roman" w:hAnsi="Times New Roman" w:eastAsia="宋体" w:cs="Times New Roman"/>
                <w:sz w:val="24"/>
              </w:rPr>
              <w:t>4</w:t>
            </w:r>
            <w:r>
              <w:rPr>
                <w:rFonts w:ascii="Times New Roman" w:hAnsi="Times New Roman" w:eastAsia="宋体" w:cs="Times New Roman"/>
                <w:sz w:val="24"/>
              </w:rPr>
              <w:t>年）》及其修改单，本项目不在鼓励类及限制类中</w:t>
            </w:r>
            <w:r>
              <w:rPr>
                <w:rFonts w:hint="eastAsia" w:ascii="Times New Roman" w:hAnsi="Times New Roman" w:eastAsia="宋体" w:cs="Times New Roman"/>
                <w:sz w:val="24"/>
              </w:rPr>
              <w:t>，可视作允许类</w:t>
            </w:r>
            <w:r>
              <w:rPr>
                <w:rFonts w:ascii="Times New Roman" w:hAnsi="Times New Roman" w:eastAsia="宋体" w:cs="Times New Roman"/>
                <w:sz w:val="24"/>
              </w:rPr>
              <w:t>。</w:t>
            </w:r>
          </w:p>
          <w:p w14:paraId="2E1527E8">
            <w:pPr>
              <w:adjustRightInd w:val="0"/>
              <w:snapToGrid w:val="0"/>
              <w:spacing w:line="360" w:lineRule="auto"/>
              <w:ind w:firstLine="482" w:firstLineChars="200"/>
              <w:rPr>
                <w:rFonts w:ascii="Times New Roman" w:hAnsi="Times New Roman" w:cs="Times New Roman"/>
                <w:sz w:val="24"/>
              </w:rPr>
            </w:pPr>
            <w:r>
              <w:rPr>
                <w:rFonts w:hint="eastAsia" w:ascii="Times New Roman" w:hAnsi="Times New Roman" w:cs="Times New Roman"/>
                <w:b/>
                <w:sz w:val="24"/>
              </w:rPr>
              <w:t>3</w:t>
            </w:r>
            <w:r>
              <w:rPr>
                <w:rFonts w:ascii="Times New Roman" w:hAnsi="Times New Roman" w:cs="Times New Roman"/>
                <w:b/>
                <w:sz w:val="24"/>
              </w:rPr>
              <w:t>、</w:t>
            </w:r>
            <w:r>
              <w:rPr>
                <w:rFonts w:ascii="Times New Roman" w:hAnsi="Times New Roman" w:cs="Times New Roman"/>
                <w:b/>
                <w:bCs/>
                <w:sz w:val="24"/>
              </w:rPr>
              <w:t>项目与其他生态环境有关法律、政策的符合性分析</w:t>
            </w:r>
          </w:p>
          <w:p w14:paraId="3BD07848">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具体见下表。</w:t>
            </w:r>
          </w:p>
          <w:p w14:paraId="6E14C6A9">
            <w:pPr>
              <w:adjustRightInd w:val="0"/>
              <w:snapToGrid w:val="0"/>
              <w:ind w:firstLine="422" w:firstLineChars="200"/>
              <w:jc w:val="center"/>
              <w:rPr>
                <w:rFonts w:ascii="Times New Roman" w:hAnsi="Times New Roman" w:cs="Times New Roman"/>
                <w:szCs w:val="21"/>
              </w:rPr>
            </w:pPr>
            <w:r>
              <w:rPr>
                <w:rFonts w:ascii="Times New Roman" w:hAnsi="Times New Roman" w:cs="Times New Roman"/>
                <w:b/>
                <w:bCs/>
                <w:szCs w:val="21"/>
              </w:rPr>
              <w:t>表1-5  与其他生态环境有关法律、政策的符合性分析一览表</w:t>
            </w:r>
          </w:p>
          <w:tbl>
            <w:tblPr>
              <w:tblStyle w:val="26"/>
              <w:tblW w:w="4970" w:type="pct"/>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2331"/>
              <w:gridCol w:w="2305"/>
              <w:gridCol w:w="976"/>
            </w:tblGrid>
            <w:tr w14:paraId="1D2808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tcBorders>
                    <w:tl2br w:val="nil"/>
                    <w:tr2bl w:val="nil"/>
                  </w:tcBorders>
                  <w:vAlign w:val="center"/>
                </w:tcPr>
                <w:p w14:paraId="58E7B800">
                  <w:pPr>
                    <w:adjustRightInd w:val="0"/>
                    <w:snapToGrid w:val="0"/>
                    <w:jc w:val="center"/>
                    <w:rPr>
                      <w:rFonts w:ascii="Times New Roman" w:hAnsi="Times New Roman" w:cs="Times New Roman"/>
                      <w:b/>
                      <w:bCs/>
                      <w:szCs w:val="21"/>
                    </w:rPr>
                  </w:pPr>
                  <w:r>
                    <w:rPr>
                      <w:rFonts w:ascii="Times New Roman" w:hAnsi="Times New Roman" w:cs="Times New Roman"/>
                      <w:b/>
                      <w:bCs/>
                      <w:szCs w:val="21"/>
                    </w:rPr>
                    <w:t>法律、政策</w:t>
                  </w:r>
                </w:p>
              </w:tc>
              <w:tc>
                <w:tcPr>
                  <w:tcW w:w="1520" w:type="pct"/>
                  <w:tcBorders>
                    <w:tl2br w:val="nil"/>
                    <w:tr2bl w:val="nil"/>
                  </w:tcBorders>
                  <w:vAlign w:val="center"/>
                </w:tcPr>
                <w:p w14:paraId="1C7FA1CF">
                  <w:pPr>
                    <w:adjustRightInd w:val="0"/>
                    <w:snapToGrid w:val="0"/>
                    <w:jc w:val="center"/>
                    <w:rPr>
                      <w:rFonts w:ascii="Times New Roman" w:hAnsi="Times New Roman" w:cs="Times New Roman"/>
                      <w:b/>
                      <w:bCs/>
                      <w:szCs w:val="21"/>
                    </w:rPr>
                  </w:pPr>
                  <w:r>
                    <w:rPr>
                      <w:rFonts w:ascii="Times New Roman" w:hAnsi="Times New Roman" w:cs="Times New Roman"/>
                      <w:b/>
                      <w:bCs/>
                      <w:szCs w:val="21"/>
                    </w:rPr>
                    <w:t>要求</w:t>
                  </w:r>
                </w:p>
              </w:tc>
              <w:tc>
                <w:tcPr>
                  <w:tcW w:w="1503" w:type="pct"/>
                  <w:tcBorders>
                    <w:tl2br w:val="nil"/>
                    <w:tr2bl w:val="nil"/>
                  </w:tcBorders>
                  <w:vAlign w:val="center"/>
                </w:tcPr>
                <w:p w14:paraId="1046605F">
                  <w:pPr>
                    <w:adjustRightInd w:val="0"/>
                    <w:snapToGrid w:val="0"/>
                    <w:jc w:val="center"/>
                    <w:rPr>
                      <w:rFonts w:ascii="Times New Roman" w:hAnsi="Times New Roman" w:cs="Times New Roman"/>
                      <w:b/>
                      <w:bCs/>
                      <w:szCs w:val="21"/>
                    </w:rPr>
                  </w:pPr>
                  <w:r>
                    <w:rPr>
                      <w:rFonts w:ascii="Times New Roman" w:hAnsi="Times New Roman" w:cs="Times New Roman"/>
                      <w:b/>
                      <w:bCs/>
                      <w:szCs w:val="21"/>
                    </w:rPr>
                    <w:t>本项目情况</w:t>
                  </w:r>
                </w:p>
              </w:tc>
              <w:tc>
                <w:tcPr>
                  <w:tcW w:w="636" w:type="pct"/>
                  <w:tcBorders>
                    <w:tl2br w:val="nil"/>
                    <w:tr2bl w:val="nil"/>
                  </w:tcBorders>
                  <w:vAlign w:val="center"/>
                </w:tcPr>
                <w:p w14:paraId="73DFE5D7">
                  <w:pPr>
                    <w:adjustRightInd w:val="0"/>
                    <w:snapToGrid w:val="0"/>
                    <w:jc w:val="center"/>
                    <w:rPr>
                      <w:rFonts w:ascii="Times New Roman" w:hAnsi="Times New Roman" w:cs="Times New Roman"/>
                      <w:b/>
                      <w:bCs/>
                      <w:szCs w:val="21"/>
                    </w:rPr>
                  </w:pPr>
                  <w:r>
                    <w:rPr>
                      <w:rFonts w:ascii="Times New Roman" w:hAnsi="Times New Roman" w:cs="Times New Roman"/>
                      <w:b/>
                      <w:bCs/>
                      <w:szCs w:val="21"/>
                    </w:rPr>
                    <w:t>相符性</w:t>
                  </w:r>
                </w:p>
              </w:tc>
            </w:tr>
            <w:tr w14:paraId="13B05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vMerge w:val="restart"/>
                  <w:tcBorders>
                    <w:tl2br w:val="nil"/>
                    <w:tr2bl w:val="nil"/>
                  </w:tcBorders>
                  <w:vAlign w:val="center"/>
                </w:tcPr>
                <w:p w14:paraId="1706F9AE">
                  <w:pPr>
                    <w:adjustRightInd w:val="0"/>
                    <w:snapToGrid w:val="0"/>
                    <w:jc w:val="center"/>
                    <w:rPr>
                      <w:rFonts w:ascii="Times New Roman" w:hAnsi="Times New Roman" w:cs="Times New Roman"/>
                      <w:szCs w:val="21"/>
                    </w:rPr>
                  </w:pPr>
                  <w:r>
                    <w:rPr>
                      <w:rFonts w:ascii="Times New Roman" w:hAnsi="Times New Roman" w:cs="Times New Roman"/>
                      <w:snapToGrid w:val="0"/>
                      <w:szCs w:val="21"/>
                    </w:rPr>
                    <w:t>《挥发性有机物（</w:t>
                  </w:r>
                  <w:r>
                    <w:rPr>
                      <w:rFonts w:hint="eastAsia" w:ascii="Times New Roman" w:hAnsi="Times New Roman" w:cs="Times New Roman"/>
                      <w:snapToGrid w:val="0"/>
                      <w:szCs w:val="21"/>
                    </w:rPr>
                    <w:t>VOC</w:t>
                  </w:r>
                  <w:r>
                    <w:rPr>
                      <w:rFonts w:hint="eastAsia" w:ascii="Times New Roman" w:hAnsi="Times New Roman" w:cs="Times New Roman"/>
                      <w:snapToGrid w:val="0"/>
                      <w:szCs w:val="21"/>
                      <w:vertAlign w:val="subscript"/>
                    </w:rPr>
                    <w:t>S</w:t>
                  </w:r>
                  <w:r>
                    <w:rPr>
                      <w:rFonts w:ascii="Times New Roman" w:hAnsi="Times New Roman" w:cs="Times New Roman"/>
                      <w:snapToGrid w:val="0"/>
                      <w:szCs w:val="21"/>
                    </w:rPr>
                    <w:t>）污染防治技术政策》</w:t>
                  </w:r>
                  <w:r>
                    <w:rPr>
                      <w:rFonts w:hint="eastAsia" w:ascii="Times New Roman" w:hAnsi="Times New Roman" w:cs="Times New Roman"/>
                      <w:szCs w:val="21"/>
                    </w:rPr>
                    <w:t>(公告2013年第31号2013-05-24实施)</w:t>
                  </w:r>
                  <w:r>
                    <w:rPr>
                      <w:rFonts w:hint="eastAsia" w:ascii="Times New Roman" w:hAnsi="Times New Roman" w:cs="Times New Roman"/>
                      <w:snapToGrid w:val="0"/>
                      <w:szCs w:val="21"/>
                    </w:rPr>
                    <w:t>）</w:t>
                  </w:r>
                </w:p>
              </w:tc>
              <w:tc>
                <w:tcPr>
                  <w:tcW w:w="1520" w:type="pct"/>
                  <w:tcBorders>
                    <w:tl2br w:val="nil"/>
                    <w:tr2bl w:val="nil"/>
                  </w:tcBorders>
                  <w:vAlign w:val="center"/>
                </w:tcPr>
                <w:p w14:paraId="5E75815A">
                  <w:pPr>
                    <w:autoSpaceDE w:val="0"/>
                    <w:autoSpaceDN w:val="0"/>
                    <w:adjustRightInd w:val="0"/>
                    <w:snapToGrid w:val="0"/>
                    <w:rPr>
                      <w:rFonts w:hint="eastAsia" w:ascii="Times New Roman" w:hAnsi="Times New Roman" w:cs="Times New Roman" w:eastAsiaTheme="minorEastAsia"/>
                      <w:szCs w:val="21"/>
                      <w:lang w:eastAsia="zh-CN"/>
                    </w:rPr>
                  </w:pPr>
                  <w:r>
                    <w:rPr>
                      <w:rFonts w:ascii="Times New Roman" w:hAnsi="Times New Roman" w:cs="Times New Roman"/>
                      <w:szCs w:val="21"/>
                      <w:shd w:val="clear" w:color="auto" w:fill="FFFFFF"/>
                    </w:rPr>
                    <w:t>对于含低浓度非甲烷总烃的废气，有回收价值时可采用吸附技术、吸收技术对有机溶剂回收后达标排放；不宜回收时，可采用吸附浓缩燃烧技术、生物技术、吸收技术、等离子体技术或紫外光高级氧化技术等净化后达标排放</w:t>
                  </w:r>
                  <w:r>
                    <w:rPr>
                      <w:rFonts w:hint="eastAsia" w:ascii="Times New Roman" w:hAnsi="Times New Roman" w:cs="Times New Roman"/>
                      <w:szCs w:val="21"/>
                      <w:shd w:val="clear" w:color="auto" w:fill="FFFFFF"/>
                      <w:lang w:eastAsia="zh-CN"/>
                    </w:rPr>
                    <w:t>。</w:t>
                  </w:r>
                </w:p>
              </w:tc>
              <w:tc>
                <w:tcPr>
                  <w:tcW w:w="1503" w:type="pct"/>
                  <w:tcBorders>
                    <w:tl2br w:val="nil"/>
                    <w:tr2bl w:val="nil"/>
                  </w:tcBorders>
                  <w:vAlign w:val="center"/>
                </w:tcPr>
                <w:p w14:paraId="1652A4B2">
                  <w:pPr>
                    <w:autoSpaceDE w:val="0"/>
                    <w:autoSpaceDN w:val="0"/>
                    <w:adjustRightInd w:val="0"/>
                    <w:snapToGrid w:val="0"/>
                    <w:rPr>
                      <w:rFonts w:hint="eastAsia" w:ascii="Times New Roman" w:hAnsi="Times New Roman" w:cs="Times New Roman" w:eastAsiaTheme="minorEastAsia"/>
                      <w:szCs w:val="21"/>
                      <w:lang w:eastAsia="zh-CN"/>
                    </w:rPr>
                  </w:pPr>
                  <w:r>
                    <w:rPr>
                      <w:rFonts w:ascii="Times New Roman" w:hAnsi="Times New Roman" w:cs="Times New Roman"/>
                      <w:snapToGrid w:val="0"/>
                      <w:szCs w:val="21"/>
                    </w:rPr>
                    <w:t>本项目产生的</w:t>
                  </w:r>
                  <w:r>
                    <w:rPr>
                      <w:rFonts w:hint="eastAsia" w:ascii="Times New Roman" w:hAnsi="Times New Roman" w:cs="Times New Roman"/>
                      <w:snapToGrid w:val="0"/>
                      <w:szCs w:val="21"/>
                    </w:rPr>
                    <w:t>有机废气</w:t>
                  </w:r>
                  <w:r>
                    <w:rPr>
                      <w:rFonts w:ascii="Times New Roman" w:hAnsi="Times New Roman" w:cs="Times New Roman"/>
                      <w:snapToGrid w:val="0"/>
                      <w:szCs w:val="21"/>
                    </w:rPr>
                    <w:t>采用</w:t>
                  </w:r>
                  <w:r>
                    <w:rPr>
                      <w:rFonts w:hint="eastAsia" w:ascii="Times New Roman" w:hAnsi="Times New Roman" w:cs="Times New Roman"/>
                      <w:snapToGrid w:val="0"/>
                      <w:szCs w:val="21"/>
                    </w:rPr>
                    <w:t>二级活性炭吸附</w:t>
                  </w:r>
                  <w:r>
                    <w:rPr>
                      <w:rFonts w:ascii="Times New Roman" w:hAnsi="Times New Roman" w:cs="Times New Roman"/>
                      <w:snapToGrid w:val="0"/>
                      <w:szCs w:val="21"/>
                    </w:rPr>
                    <w:t>装置处理后</w:t>
                  </w:r>
                  <w:r>
                    <w:rPr>
                      <w:rFonts w:hint="eastAsia" w:ascii="Times New Roman" w:hAnsi="Times New Roman" w:cs="Times New Roman"/>
                      <w:snapToGrid w:val="0"/>
                      <w:szCs w:val="21"/>
                      <w:lang w:eastAsia="zh-CN"/>
                    </w:rPr>
                    <w:t>依托在建项目</w:t>
                  </w:r>
                  <w:r>
                    <w:rPr>
                      <w:rFonts w:ascii="Times New Roman" w:hAnsi="Times New Roman" w:cs="Times New Roman"/>
                      <w:snapToGrid w:val="0"/>
                      <w:szCs w:val="21"/>
                    </w:rPr>
                    <w:t>15m高</w:t>
                  </w:r>
                  <w:r>
                    <w:rPr>
                      <w:rFonts w:hint="eastAsia" w:ascii="Times New Roman" w:hAnsi="Times New Roman" w:cs="Times New Roman"/>
                      <w:snapToGrid w:val="0"/>
                      <w:szCs w:val="21"/>
                      <w:lang w:eastAsia="zh-CN"/>
                    </w:rPr>
                    <w:t>排气筒（</w:t>
                  </w:r>
                  <w:r>
                    <w:rPr>
                      <w:rFonts w:hint="eastAsia" w:ascii="Times New Roman" w:hAnsi="Times New Roman" w:cs="Times New Roman"/>
                      <w:snapToGrid w:val="0"/>
                      <w:szCs w:val="21"/>
                      <w:lang w:val="en-US" w:eastAsia="zh-CN"/>
                    </w:rPr>
                    <w:t>DA003</w:t>
                  </w:r>
                  <w:r>
                    <w:rPr>
                      <w:rFonts w:hint="eastAsia" w:ascii="Times New Roman" w:hAnsi="Times New Roman" w:cs="Times New Roman"/>
                      <w:snapToGrid w:val="0"/>
                      <w:szCs w:val="21"/>
                      <w:lang w:eastAsia="zh-CN"/>
                    </w:rPr>
                    <w:t>）</w:t>
                  </w:r>
                  <w:r>
                    <w:rPr>
                      <w:rFonts w:hint="eastAsia" w:ascii="Times New Roman" w:hAnsi="Times New Roman" w:cs="Times New Roman"/>
                      <w:snapToGrid w:val="0"/>
                      <w:szCs w:val="21"/>
                      <w:lang w:val="en-US" w:eastAsia="zh-CN"/>
                    </w:rPr>
                    <w:t>合并排放</w:t>
                  </w:r>
                  <w:r>
                    <w:rPr>
                      <w:rFonts w:ascii="Times New Roman" w:hAnsi="Times New Roman" w:cs="Times New Roman"/>
                      <w:snapToGrid w:val="0"/>
                      <w:szCs w:val="21"/>
                    </w:rPr>
                    <w:t>，属于排污许可证申请与合法技术规范中可行技术，废气可达标排放</w:t>
                  </w:r>
                  <w:r>
                    <w:rPr>
                      <w:rFonts w:hint="eastAsia" w:ascii="Times New Roman" w:hAnsi="Times New Roman" w:cs="Times New Roman"/>
                      <w:snapToGrid w:val="0"/>
                      <w:szCs w:val="21"/>
                      <w:lang w:eastAsia="zh-CN"/>
                    </w:rPr>
                    <w:t>。</w:t>
                  </w:r>
                </w:p>
              </w:tc>
              <w:tc>
                <w:tcPr>
                  <w:tcW w:w="636" w:type="pct"/>
                  <w:tcBorders>
                    <w:tl2br w:val="nil"/>
                    <w:tr2bl w:val="nil"/>
                  </w:tcBorders>
                  <w:vAlign w:val="center"/>
                </w:tcPr>
                <w:p w14:paraId="422F011A">
                  <w:pPr>
                    <w:autoSpaceDE w:val="0"/>
                    <w:autoSpaceDN w:val="0"/>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436DA8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vMerge w:val="continue"/>
                  <w:tcBorders>
                    <w:tl2br w:val="nil"/>
                    <w:tr2bl w:val="nil"/>
                  </w:tcBorders>
                  <w:vAlign w:val="center"/>
                </w:tcPr>
                <w:p w14:paraId="5F05BBF1">
                  <w:pPr>
                    <w:adjustRightInd w:val="0"/>
                    <w:snapToGrid w:val="0"/>
                    <w:jc w:val="center"/>
                    <w:rPr>
                      <w:rFonts w:ascii="Times New Roman" w:hAnsi="Times New Roman" w:cs="Times New Roman"/>
                      <w:szCs w:val="21"/>
                    </w:rPr>
                  </w:pPr>
                </w:p>
              </w:tc>
              <w:tc>
                <w:tcPr>
                  <w:tcW w:w="1520" w:type="pct"/>
                  <w:tcBorders>
                    <w:tl2br w:val="nil"/>
                    <w:tr2bl w:val="nil"/>
                  </w:tcBorders>
                  <w:vAlign w:val="center"/>
                </w:tcPr>
                <w:p w14:paraId="427836E6">
                  <w:pPr>
                    <w:autoSpaceDE w:val="0"/>
                    <w:autoSpaceDN w:val="0"/>
                    <w:adjustRightInd w:val="0"/>
                    <w:snapToGrid w:val="0"/>
                    <w:rPr>
                      <w:rFonts w:hint="eastAsia" w:ascii="Times New Roman" w:hAnsi="Times New Roman" w:cs="Times New Roman" w:eastAsiaTheme="minorEastAsia"/>
                      <w:szCs w:val="21"/>
                      <w:lang w:eastAsia="zh-CN"/>
                    </w:rPr>
                  </w:pPr>
                  <w:r>
                    <w:rPr>
                      <w:rFonts w:ascii="Times New Roman" w:hAnsi="Times New Roman" w:cs="Times New Roman"/>
                      <w:szCs w:val="21"/>
                    </w:rPr>
                    <w:t>对于不能再生的过滤材料、吸附剂及催化剂等净化材料，应按照国家固体废物管理的相关规定处理处置</w:t>
                  </w:r>
                  <w:r>
                    <w:rPr>
                      <w:rFonts w:hint="eastAsia" w:ascii="Times New Roman" w:hAnsi="Times New Roman" w:cs="Times New Roman"/>
                      <w:szCs w:val="21"/>
                      <w:lang w:eastAsia="zh-CN"/>
                    </w:rPr>
                    <w:t>。</w:t>
                  </w:r>
                </w:p>
              </w:tc>
              <w:tc>
                <w:tcPr>
                  <w:tcW w:w="1503" w:type="pct"/>
                  <w:tcBorders>
                    <w:tl2br w:val="nil"/>
                    <w:tr2bl w:val="nil"/>
                  </w:tcBorders>
                  <w:vAlign w:val="center"/>
                </w:tcPr>
                <w:p w14:paraId="2AC45663">
                  <w:pPr>
                    <w:autoSpaceDE w:val="0"/>
                    <w:autoSpaceDN w:val="0"/>
                    <w:adjustRightInd w:val="0"/>
                    <w:snapToGrid w:val="0"/>
                    <w:rPr>
                      <w:rFonts w:hint="eastAsia" w:ascii="Times New Roman" w:hAnsi="Times New Roman" w:cs="Times New Roman" w:eastAsiaTheme="minorEastAsia"/>
                      <w:szCs w:val="21"/>
                      <w:lang w:eastAsia="zh-CN"/>
                    </w:rPr>
                  </w:pPr>
                  <w:r>
                    <w:rPr>
                      <w:rFonts w:ascii="Times New Roman" w:hAnsi="Times New Roman" w:cs="Times New Roman"/>
                      <w:szCs w:val="21"/>
                    </w:rPr>
                    <w:t>项目有机废气处理工序产生的</w:t>
                  </w:r>
                  <w:r>
                    <w:rPr>
                      <w:rFonts w:ascii="Times New Roman" w:hAnsi="Times New Roman" w:cs="Times New Roman"/>
                      <w:bCs/>
                      <w:snapToGrid w:val="0"/>
                      <w:szCs w:val="21"/>
                    </w:rPr>
                    <w:t>废活性炭</w:t>
                  </w:r>
                  <w:r>
                    <w:rPr>
                      <w:rFonts w:ascii="Times New Roman" w:hAnsi="Times New Roman" w:cs="Times New Roman"/>
                      <w:szCs w:val="21"/>
                    </w:rPr>
                    <w:t>收集后作为危废，交由有危废资质单位进行处置</w:t>
                  </w:r>
                  <w:r>
                    <w:rPr>
                      <w:rFonts w:hint="eastAsia" w:ascii="Times New Roman" w:hAnsi="Times New Roman" w:cs="Times New Roman"/>
                      <w:szCs w:val="21"/>
                      <w:lang w:eastAsia="zh-CN"/>
                    </w:rPr>
                    <w:t>。</w:t>
                  </w:r>
                </w:p>
              </w:tc>
              <w:tc>
                <w:tcPr>
                  <w:tcW w:w="636" w:type="pct"/>
                  <w:tcBorders>
                    <w:tl2br w:val="nil"/>
                    <w:tr2bl w:val="nil"/>
                  </w:tcBorders>
                  <w:vAlign w:val="center"/>
                </w:tcPr>
                <w:p w14:paraId="1794D919">
                  <w:pPr>
                    <w:autoSpaceDE w:val="0"/>
                    <w:autoSpaceDN w:val="0"/>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08BD8F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vMerge w:val="continue"/>
                  <w:tcBorders>
                    <w:tl2br w:val="nil"/>
                    <w:tr2bl w:val="nil"/>
                  </w:tcBorders>
                  <w:vAlign w:val="center"/>
                </w:tcPr>
                <w:p w14:paraId="17CA58BD">
                  <w:pPr>
                    <w:adjustRightInd w:val="0"/>
                    <w:snapToGrid w:val="0"/>
                    <w:jc w:val="center"/>
                    <w:rPr>
                      <w:rFonts w:ascii="Times New Roman" w:hAnsi="Times New Roman" w:cs="Times New Roman"/>
                      <w:szCs w:val="21"/>
                    </w:rPr>
                  </w:pPr>
                </w:p>
              </w:tc>
              <w:tc>
                <w:tcPr>
                  <w:tcW w:w="1520" w:type="pct"/>
                  <w:tcBorders>
                    <w:tl2br w:val="nil"/>
                    <w:tr2bl w:val="nil"/>
                  </w:tcBorders>
                  <w:vAlign w:val="center"/>
                </w:tcPr>
                <w:p w14:paraId="728F8765">
                  <w:pPr>
                    <w:adjustRightInd w:val="0"/>
                    <w:snapToGrid w:val="0"/>
                    <w:rPr>
                      <w:rFonts w:ascii="Times New Roman" w:hAnsi="Times New Roman" w:cs="Times New Roman"/>
                      <w:szCs w:val="21"/>
                    </w:rPr>
                  </w:pPr>
                  <w:r>
                    <w:rPr>
                      <w:rFonts w:ascii="Times New Roman" w:hAnsi="Times New Roman" w:cs="Times New Roman"/>
                      <w:szCs w:val="21"/>
                    </w:rPr>
                    <w:t>鼓励企业自行开展非甲烷总烃监测，并及时主动向当地环保行政主管部门报送监测结果。</w:t>
                  </w:r>
                </w:p>
                <w:p w14:paraId="150527F7">
                  <w:pPr>
                    <w:autoSpaceDE w:val="0"/>
                    <w:autoSpaceDN w:val="0"/>
                    <w:adjustRightInd w:val="0"/>
                    <w:snapToGrid w:val="0"/>
                    <w:rPr>
                      <w:rFonts w:hint="eastAsia" w:ascii="Times New Roman" w:hAnsi="Times New Roman" w:cs="Times New Roman" w:eastAsiaTheme="minorEastAsia"/>
                      <w:szCs w:val="21"/>
                      <w:lang w:eastAsia="zh-CN"/>
                    </w:rPr>
                  </w:pPr>
                  <w:r>
                    <w:rPr>
                      <w:rFonts w:ascii="Times New Roman" w:hAnsi="Times New Roman" w:cs="Times New Roman"/>
                      <w:szCs w:val="21"/>
                    </w:rPr>
                    <w:t>企业应建立健全非甲烷总烃治理设施的运行维护规程和台账等日常管理制度，并根据工艺要求定期对各类设备、电气、自控仪表等进行检修维护，确保设施的稳定运行</w:t>
                  </w:r>
                  <w:r>
                    <w:rPr>
                      <w:rFonts w:hint="eastAsia" w:ascii="Times New Roman" w:hAnsi="Times New Roman" w:cs="Times New Roman"/>
                      <w:szCs w:val="21"/>
                      <w:lang w:eastAsia="zh-CN"/>
                    </w:rPr>
                    <w:t>。</w:t>
                  </w:r>
                </w:p>
              </w:tc>
              <w:tc>
                <w:tcPr>
                  <w:tcW w:w="1503" w:type="pct"/>
                  <w:tcBorders>
                    <w:tl2br w:val="nil"/>
                    <w:tr2bl w:val="nil"/>
                  </w:tcBorders>
                  <w:vAlign w:val="center"/>
                </w:tcPr>
                <w:p w14:paraId="200DA3EB">
                  <w:pPr>
                    <w:autoSpaceDE w:val="0"/>
                    <w:autoSpaceDN w:val="0"/>
                    <w:adjustRightInd w:val="0"/>
                    <w:snapToGrid w:val="0"/>
                    <w:rPr>
                      <w:rFonts w:hint="eastAsia" w:ascii="Times New Roman" w:hAnsi="Times New Roman" w:cs="Times New Roman" w:eastAsiaTheme="minorEastAsia"/>
                      <w:szCs w:val="21"/>
                      <w:lang w:eastAsia="zh-CN"/>
                    </w:rPr>
                  </w:pPr>
                  <w:r>
                    <w:rPr>
                      <w:rFonts w:ascii="Times New Roman" w:hAnsi="Times New Roman" w:cs="Times New Roman"/>
                      <w:szCs w:val="21"/>
                    </w:rPr>
                    <w:t>项目建立健全有机废气治理设施的运行维护规程和台账等日常管理制度，按照规定进行监测，报</w:t>
                  </w:r>
                  <w:r>
                    <w:rPr>
                      <w:rFonts w:hint="eastAsia" w:ascii="Times New Roman" w:hAnsi="Times New Roman" w:cs="Times New Roman"/>
                      <w:szCs w:val="21"/>
                    </w:rPr>
                    <w:t>生态环境</w:t>
                  </w:r>
                  <w:r>
                    <w:rPr>
                      <w:rFonts w:ascii="Times New Roman" w:hAnsi="Times New Roman" w:cs="Times New Roman"/>
                      <w:szCs w:val="21"/>
                    </w:rPr>
                    <w:t>部门</w:t>
                  </w:r>
                  <w:r>
                    <w:rPr>
                      <w:rFonts w:hint="eastAsia" w:ascii="Times New Roman" w:hAnsi="Times New Roman" w:cs="Times New Roman"/>
                      <w:szCs w:val="21"/>
                      <w:lang w:eastAsia="zh-CN"/>
                    </w:rPr>
                    <w:t>。</w:t>
                  </w:r>
                </w:p>
              </w:tc>
              <w:tc>
                <w:tcPr>
                  <w:tcW w:w="636" w:type="pct"/>
                  <w:tcBorders>
                    <w:tl2br w:val="nil"/>
                    <w:tr2bl w:val="nil"/>
                  </w:tcBorders>
                  <w:vAlign w:val="center"/>
                </w:tcPr>
                <w:p w14:paraId="2EB31ACB">
                  <w:pPr>
                    <w:autoSpaceDE w:val="0"/>
                    <w:autoSpaceDN w:val="0"/>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74533C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vMerge w:val="restart"/>
                  <w:tcBorders>
                    <w:tl2br w:val="nil"/>
                    <w:tr2bl w:val="nil"/>
                  </w:tcBorders>
                  <w:vAlign w:val="center"/>
                </w:tcPr>
                <w:p w14:paraId="730DA81F">
                  <w:pPr>
                    <w:autoSpaceDE w:val="0"/>
                    <w:autoSpaceDN w:val="0"/>
                    <w:adjustRightInd w:val="0"/>
                    <w:snapToGrid w:val="0"/>
                    <w:jc w:val="center"/>
                    <w:rPr>
                      <w:rFonts w:ascii="Times New Roman" w:hAnsi="Times New Roman" w:cs="Times New Roman"/>
                      <w:szCs w:val="21"/>
                    </w:rPr>
                  </w:pPr>
                  <w:r>
                    <w:rPr>
                      <w:rFonts w:ascii="Times New Roman" w:hAnsi="Times New Roman" w:cs="Times New Roman"/>
                      <w:bCs/>
                      <w:kern w:val="0"/>
                      <w:szCs w:val="21"/>
                    </w:rPr>
                    <w:t>《关于加快解决当前挥发性有机物治理突出问题的通知》</w:t>
                  </w:r>
                </w:p>
              </w:tc>
              <w:tc>
                <w:tcPr>
                  <w:tcW w:w="1520" w:type="pct"/>
                  <w:tcBorders>
                    <w:tl2br w:val="nil"/>
                    <w:tr2bl w:val="nil"/>
                  </w:tcBorders>
                  <w:vAlign w:val="center"/>
                </w:tcPr>
                <w:p w14:paraId="6DE08510">
                  <w:pPr>
                    <w:adjustRightInd w:val="0"/>
                    <w:snapToGrid w:val="0"/>
                    <w:rPr>
                      <w:rFonts w:ascii="Times New Roman" w:hAnsi="Times New Roman" w:cs="Times New Roman"/>
                      <w:szCs w:val="21"/>
                    </w:rPr>
                  </w:pPr>
                  <w:r>
                    <w:rPr>
                      <w:rFonts w:ascii="Times New Roman" w:hAnsi="Times New Roman" w:cs="Times New Roman"/>
                      <w:szCs w:val="21"/>
                    </w:rPr>
                    <w:t>新建治理设施或对现有治理设施实施改造，应依据 排放废气特征、非甲烷总烃 组分及浓度、生产工况等，合理选择治理技术；对治理难度大、单一治理工艺难以稳定达标的，宜采用多种技术的组合工艺；除恶臭异味治理外，一般不使用低温等离子、光催化、光氧化等技术。加强运行维护管理，做到治理设施及生产设备</w:t>
                  </w:r>
                  <w:r>
                    <w:rPr>
                      <w:rFonts w:hint="eastAsia" w:ascii="Times New Roman" w:hAnsi="Times New Roman" w:cs="Times New Roman"/>
                      <w:szCs w:val="21"/>
                    </w:rPr>
                    <w:t>“</w:t>
                  </w:r>
                  <w:r>
                    <w:rPr>
                      <w:rFonts w:ascii="Times New Roman" w:hAnsi="Times New Roman" w:cs="Times New Roman"/>
                      <w:szCs w:val="21"/>
                    </w:rPr>
                    <w:t>先启后停</w:t>
                  </w:r>
                  <w:r>
                    <w:rPr>
                      <w:rFonts w:hint="eastAsia" w:ascii="Times New Roman" w:hAnsi="Times New Roman" w:cs="Times New Roman"/>
                      <w:szCs w:val="21"/>
                    </w:rPr>
                    <w:t>”</w:t>
                  </w:r>
                  <w:r>
                    <w:rPr>
                      <w:rFonts w:ascii="Times New Roman" w:hAnsi="Times New Roman" w:cs="Times New Roman"/>
                      <w:szCs w:val="21"/>
                    </w:rPr>
                    <w:t>，在治理设施达到正常运行条件后方可启动生产设备，在生产设备停止、残留非甲烷总烃废气收集处理完毕后，方可停运治理设施；及时清理、更换吸附剂、吸收剂、催化剂、蓄热体、过滤棉、灯管、电器元件 等治理设施耗材，确保设施能够稳定高效运行；做好生产设备和治理设施启停机时间、检维修情况、治理设施耗材维护更换、处置情况等台账记录；对于非甲烷总烃治理设施产生的废过滤棉、废催化剂、废吸附剂、废吸收剂、废有机溶剂等，应及时清运，属于危险废物的应交有资质的单位处理处置。</w:t>
                  </w:r>
                </w:p>
              </w:tc>
              <w:tc>
                <w:tcPr>
                  <w:tcW w:w="1503" w:type="pct"/>
                  <w:tcBorders>
                    <w:tl2br w:val="nil"/>
                    <w:tr2bl w:val="nil"/>
                  </w:tcBorders>
                  <w:vAlign w:val="center"/>
                </w:tcPr>
                <w:p w14:paraId="2546D54A">
                  <w:pPr>
                    <w:adjustRightInd w:val="0"/>
                    <w:snapToGrid w:val="0"/>
                    <w:rPr>
                      <w:rFonts w:ascii="Times New Roman" w:hAnsi="Times New Roman" w:cs="Times New Roman"/>
                      <w:szCs w:val="21"/>
                    </w:rPr>
                  </w:pPr>
                  <w:r>
                    <w:rPr>
                      <w:rFonts w:ascii="Times New Roman" w:hAnsi="Times New Roman" w:cs="Times New Roman"/>
                      <w:szCs w:val="21"/>
                    </w:rPr>
                    <w:t>①本项目</w:t>
                  </w:r>
                  <w:r>
                    <w:rPr>
                      <w:rFonts w:hint="eastAsia" w:ascii="Times New Roman" w:hAnsi="Times New Roman" w:cs="Times New Roman"/>
                      <w:szCs w:val="21"/>
                    </w:rPr>
                    <w:t>自动喷漆</w:t>
                  </w:r>
                  <w:r>
                    <w:rPr>
                      <w:rFonts w:ascii="Times New Roman" w:hAnsi="Times New Roman" w:cs="Times New Roman"/>
                      <w:szCs w:val="21"/>
                    </w:rPr>
                    <w:t>产生的有机废气经</w:t>
                  </w:r>
                  <w:r>
                    <w:rPr>
                      <w:rFonts w:hint="eastAsia" w:ascii="Times New Roman" w:hAnsi="Times New Roman" w:cs="Times New Roman"/>
                      <w:szCs w:val="21"/>
                    </w:rPr>
                    <w:t>干式过滤箱</w:t>
                  </w:r>
                  <w:r>
                    <w:rPr>
                      <w:rFonts w:ascii="Times New Roman" w:hAnsi="Times New Roman" w:cs="Times New Roman"/>
                      <w:szCs w:val="21"/>
                    </w:rPr>
                    <w:t>+</w:t>
                  </w:r>
                  <w:r>
                    <w:rPr>
                      <w:rFonts w:hint="eastAsia" w:ascii="Times New Roman" w:hAnsi="Times New Roman" w:cs="Times New Roman"/>
                      <w:szCs w:val="21"/>
                    </w:rPr>
                    <w:t>二级</w:t>
                  </w:r>
                  <w:r>
                    <w:rPr>
                      <w:rFonts w:ascii="Times New Roman" w:hAnsi="Times New Roman" w:cs="Times New Roman"/>
                      <w:szCs w:val="21"/>
                    </w:rPr>
                    <w:t>活性炭</w:t>
                  </w:r>
                  <w:r>
                    <w:rPr>
                      <w:rFonts w:hint="eastAsia" w:ascii="Times New Roman" w:hAnsi="Times New Roman" w:cs="Times New Roman"/>
                      <w:szCs w:val="21"/>
                    </w:rPr>
                    <w:t>吸附</w:t>
                  </w:r>
                  <w:r>
                    <w:rPr>
                      <w:rFonts w:ascii="Times New Roman" w:hAnsi="Times New Roman" w:cs="Times New Roman"/>
                      <w:szCs w:val="21"/>
                    </w:rPr>
                    <w:t>装置处理后</w:t>
                  </w:r>
                  <w:r>
                    <w:rPr>
                      <w:rFonts w:hint="eastAsia" w:ascii="Times New Roman" w:hAnsi="Times New Roman" w:cs="Times New Roman"/>
                      <w:color w:val="FF0000"/>
                      <w:szCs w:val="21"/>
                      <w:lang w:eastAsia="zh-CN"/>
                    </w:rPr>
                    <w:t>依托在建项目</w:t>
                  </w:r>
                  <w:r>
                    <w:rPr>
                      <w:rFonts w:ascii="Times New Roman" w:hAnsi="Times New Roman" w:cs="Times New Roman"/>
                      <w:color w:val="FF0000"/>
                      <w:szCs w:val="21"/>
                    </w:rPr>
                    <w:t>15m高</w:t>
                  </w:r>
                  <w:r>
                    <w:rPr>
                      <w:rFonts w:hint="eastAsia" w:ascii="Times New Roman" w:hAnsi="Times New Roman" w:cs="Times New Roman"/>
                      <w:color w:val="FF0000"/>
                      <w:szCs w:val="21"/>
                      <w:lang w:eastAsia="zh-CN"/>
                    </w:rPr>
                    <w:t>排气筒（</w:t>
                  </w:r>
                  <w:r>
                    <w:rPr>
                      <w:rFonts w:hint="eastAsia" w:ascii="Times New Roman" w:hAnsi="Times New Roman" w:cs="Times New Roman"/>
                      <w:color w:val="FF0000"/>
                      <w:szCs w:val="21"/>
                      <w:lang w:val="en-US" w:eastAsia="zh-CN"/>
                    </w:rPr>
                    <w:t>DA003</w:t>
                  </w:r>
                  <w:r>
                    <w:rPr>
                      <w:rFonts w:hint="eastAsia" w:ascii="Times New Roman" w:hAnsi="Times New Roman" w:cs="Times New Roman"/>
                      <w:color w:val="FF0000"/>
                      <w:szCs w:val="21"/>
                      <w:lang w:eastAsia="zh-CN"/>
                    </w:rPr>
                    <w:t>）</w:t>
                  </w:r>
                  <w:r>
                    <w:rPr>
                      <w:rFonts w:hint="eastAsia" w:ascii="Times New Roman" w:hAnsi="Times New Roman" w:cs="Times New Roman"/>
                      <w:color w:val="FF0000"/>
                      <w:szCs w:val="21"/>
                      <w:lang w:val="en-US" w:eastAsia="zh-CN"/>
                    </w:rPr>
                    <w:t>合并排放</w:t>
                  </w:r>
                  <w:r>
                    <w:commentReference w:id="3"/>
                  </w:r>
                  <w:r>
                    <w:rPr>
                      <w:rFonts w:hint="eastAsia" w:ascii="Times New Roman" w:hAnsi="Times New Roman" w:cs="Times New Roman"/>
                      <w:szCs w:val="21"/>
                    </w:rPr>
                    <w:t>；</w:t>
                  </w:r>
                </w:p>
                <w:p w14:paraId="1537947A">
                  <w:pPr>
                    <w:adjustRightInd w:val="0"/>
                    <w:snapToGrid w:val="0"/>
                    <w:rPr>
                      <w:rFonts w:ascii="Times New Roman" w:hAnsi="Times New Roman" w:cs="Times New Roman"/>
                      <w:szCs w:val="21"/>
                    </w:rPr>
                  </w:pPr>
                  <w:r>
                    <w:rPr>
                      <w:rFonts w:ascii="Times New Roman" w:hAnsi="Times New Roman" w:cs="Times New Roman"/>
                      <w:szCs w:val="21"/>
                    </w:rPr>
                    <w:t>②要求企业做好管理，治理设施达到正常运行条件后方可启动生产设备，在生产设备停止、残留非甲烷总烃废气收集处理完毕后，方可停运治理设施；</w:t>
                  </w:r>
                </w:p>
                <w:p w14:paraId="4E94A7DF">
                  <w:pPr>
                    <w:adjustRightInd w:val="0"/>
                    <w:snapToGrid w:val="0"/>
                    <w:rPr>
                      <w:rFonts w:ascii="Times New Roman" w:hAnsi="Times New Roman" w:cs="Times New Roman"/>
                      <w:szCs w:val="21"/>
                    </w:rPr>
                  </w:pPr>
                  <w:r>
                    <w:rPr>
                      <w:rFonts w:ascii="Times New Roman" w:hAnsi="Times New Roman" w:cs="Times New Roman"/>
                      <w:szCs w:val="21"/>
                    </w:rPr>
                    <w:t>③要求及时更换活性炭，保证设备的正常稳定高效运行；</w:t>
                  </w:r>
                </w:p>
                <w:p w14:paraId="77595DCB">
                  <w:pPr>
                    <w:autoSpaceDE w:val="0"/>
                    <w:autoSpaceDN w:val="0"/>
                    <w:adjustRightInd w:val="0"/>
                    <w:snapToGrid w:val="0"/>
                    <w:rPr>
                      <w:rFonts w:hint="eastAsia" w:ascii="Times New Roman" w:hAnsi="Times New Roman" w:cs="Times New Roman" w:eastAsiaTheme="minorEastAsia"/>
                      <w:szCs w:val="21"/>
                      <w:lang w:eastAsia="zh-CN"/>
                    </w:rPr>
                  </w:pPr>
                  <w:r>
                    <w:rPr>
                      <w:rFonts w:ascii="Times New Roman" w:hAnsi="Times New Roman" w:cs="Times New Roman"/>
                      <w:szCs w:val="21"/>
                    </w:rPr>
                    <w:t>④废活性炭暂存于厂区</w:t>
                  </w:r>
                  <w:r>
                    <w:rPr>
                      <w:rFonts w:hint="eastAsia" w:ascii="Times New Roman" w:hAnsi="Times New Roman" w:cs="Times New Roman"/>
                      <w:szCs w:val="21"/>
                    </w:rPr>
                    <w:t>车间内的</w:t>
                  </w:r>
                  <w:r>
                    <w:rPr>
                      <w:rFonts w:ascii="Times New Roman" w:hAnsi="Times New Roman" w:cs="Times New Roman"/>
                      <w:szCs w:val="21"/>
                    </w:rPr>
                    <w:t>危废贮存库内，定期交有资质的单位处置</w:t>
                  </w:r>
                  <w:r>
                    <w:rPr>
                      <w:rFonts w:hint="eastAsia" w:ascii="Times New Roman" w:hAnsi="Times New Roman" w:cs="Times New Roman"/>
                      <w:szCs w:val="21"/>
                      <w:lang w:eastAsia="zh-CN"/>
                    </w:rPr>
                    <w:t>。</w:t>
                  </w:r>
                </w:p>
              </w:tc>
              <w:tc>
                <w:tcPr>
                  <w:tcW w:w="636" w:type="pct"/>
                  <w:tcBorders>
                    <w:tl2br w:val="nil"/>
                    <w:tr2bl w:val="nil"/>
                  </w:tcBorders>
                  <w:vAlign w:val="center"/>
                </w:tcPr>
                <w:p w14:paraId="0F9AB799">
                  <w:pPr>
                    <w:autoSpaceDE w:val="0"/>
                    <w:autoSpaceDN w:val="0"/>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5B557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vMerge w:val="continue"/>
                  <w:tcBorders>
                    <w:tl2br w:val="nil"/>
                    <w:tr2bl w:val="nil"/>
                  </w:tcBorders>
                  <w:vAlign w:val="center"/>
                </w:tcPr>
                <w:p w14:paraId="5CB7AB65">
                  <w:pPr>
                    <w:autoSpaceDE w:val="0"/>
                    <w:autoSpaceDN w:val="0"/>
                    <w:adjustRightInd w:val="0"/>
                    <w:snapToGrid w:val="0"/>
                    <w:jc w:val="center"/>
                    <w:rPr>
                      <w:rFonts w:ascii="Times New Roman" w:hAnsi="Times New Roman" w:cs="Times New Roman"/>
                      <w:szCs w:val="21"/>
                    </w:rPr>
                  </w:pPr>
                </w:p>
              </w:tc>
              <w:tc>
                <w:tcPr>
                  <w:tcW w:w="1520" w:type="pct"/>
                  <w:tcBorders>
                    <w:tl2br w:val="nil"/>
                    <w:tr2bl w:val="nil"/>
                  </w:tcBorders>
                  <w:vAlign w:val="center"/>
                </w:tcPr>
                <w:p w14:paraId="6666E7E8">
                  <w:pPr>
                    <w:widowControl/>
                    <w:adjustRightInd w:val="0"/>
                    <w:snapToGrid w:val="0"/>
                    <w:rPr>
                      <w:rFonts w:hint="eastAsia" w:ascii="Times New Roman" w:hAnsi="Times New Roman" w:cs="Times New Roman" w:eastAsiaTheme="minorEastAsia"/>
                      <w:szCs w:val="21"/>
                      <w:lang w:eastAsia="zh-CN"/>
                    </w:rPr>
                  </w:pPr>
                  <w:r>
                    <w:rPr>
                      <w:rFonts w:ascii="Times New Roman" w:hAnsi="Times New Roman" w:cs="Times New Roman"/>
                      <w:kern w:val="0"/>
                      <w:szCs w:val="21"/>
                    </w:rPr>
                    <w:t>采用活性炭吸附工艺的企业，应根据废气排放特征，按照相关工程技术规范设计净化工艺和设备，使废气在吸附装置中有足够的停留时间，选择符合相关产品质量标准的活性炭，并足额充填、及时更换。采用颗粒活性炭作为吸附剂时，其碘值不宜低于800mg/g；采用蜂窝活性炭作为吸附剂时，其碘值不宜低于650mg/g；采用活性炭纤维作为吸附剂时，其比表面积不低于1100m</w:t>
                  </w:r>
                  <w:r>
                    <w:rPr>
                      <w:rFonts w:ascii="Times New Roman" w:hAnsi="Times New Roman" w:cs="Times New Roman"/>
                      <w:kern w:val="0"/>
                      <w:szCs w:val="21"/>
                      <w:vertAlign w:val="superscript"/>
                    </w:rPr>
                    <w:t>2</w:t>
                  </w:r>
                  <w:r>
                    <w:rPr>
                      <w:rFonts w:ascii="Times New Roman" w:hAnsi="Times New Roman" w:cs="Times New Roman"/>
                      <w:kern w:val="0"/>
                      <w:szCs w:val="21"/>
                    </w:rPr>
                    <w:t>/g（BET法）。一次性活性炭吸附工艺宜采用颗粒活性炭作为吸附剂。活性炭、活性炭纤维产品销售时应提供产品质量证明材料</w:t>
                  </w:r>
                  <w:r>
                    <w:rPr>
                      <w:rFonts w:hint="eastAsia" w:ascii="Times New Roman" w:hAnsi="Times New Roman" w:cs="Times New Roman"/>
                      <w:kern w:val="0"/>
                      <w:szCs w:val="21"/>
                      <w:lang w:eastAsia="zh-CN"/>
                    </w:rPr>
                    <w:t>。</w:t>
                  </w:r>
                </w:p>
              </w:tc>
              <w:tc>
                <w:tcPr>
                  <w:tcW w:w="1503" w:type="pct"/>
                  <w:tcBorders>
                    <w:tl2br w:val="nil"/>
                    <w:tr2bl w:val="nil"/>
                  </w:tcBorders>
                  <w:vAlign w:val="center"/>
                </w:tcPr>
                <w:p w14:paraId="03E0E81C">
                  <w:pPr>
                    <w:autoSpaceDE w:val="0"/>
                    <w:autoSpaceDN w:val="0"/>
                    <w:adjustRightInd w:val="0"/>
                    <w:snapToGrid w:val="0"/>
                    <w:rPr>
                      <w:rFonts w:hint="eastAsia" w:ascii="Times New Roman" w:hAnsi="Times New Roman" w:cs="Times New Roman" w:eastAsiaTheme="minorEastAsia"/>
                      <w:szCs w:val="21"/>
                      <w:lang w:eastAsia="zh-CN"/>
                    </w:rPr>
                  </w:pPr>
                  <w:r>
                    <w:rPr>
                      <w:rFonts w:ascii="Times New Roman" w:hAnsi="Times New Roman" w:cs="Times New Roman"/>
                      <w:bCs/>
                      <w:szCs w:val="21"/>
                    </w:rPr>
                    <w:t>本项目活性炭吸附采用蜂窝活性炭，环评要求其碘值不低于650mg/g</w:t>
                  </w:r>
                  <w:r>
                    <w:rPr>
                      <w:rFonts w:hint="eastAsia" w:ascii="Times New Roman" w:hAnsi="Times New Roman" w:cs="Times New Roman"/>
                      <w:bCs/>
                      <w:szCs w:val="21"/>
                      <w:lang w:eastAsia="zh-CN"/>
                    </w:rPr>
                    <w:t>。</w:t>
                  </w:r>
                </w:p>
              </w:tc>
              <w:tc>
                <w:tcPr>
                  <w:tcW w:w="636" w:type="pct"/>
                  <w:tcBorders>
                    <w:tl2br w:val="nil"/>
                    <w:tr2bl w:val="nil"/>
                  </w:tcBorders>
                  <w:vAlign w:val="center"/>
                </w:tcPr>
                <w:p w14:paraId="287A6137">
                  <w:pPr>
                    <w:autoSpaceDE w:val="0"/>
                    <w:autoSpaceDN w:val="0"/>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5519E5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vMerge w:val="restart"/>
                  <w:tcBorders>
                    <w:tl2br w:val="nil"/>
                    <w:tr2bl w:val="nil"/>
                  </w:tcBorders>
                  <w:vAlign w:val="center"/>
                </w:tcPr>
                <w:p w14:paraId="3FBE50DD">
                  <w:pPr>
                    <w:autoSpaceDE w:val="0"/>
                    <w:autoSpaceDN w:val="0"/>
                    <w:adjustRightInd w:val="0"/>
                    <w:snapToGrid w:val="0"/>
                    <w:jc w:val="center"/>
                    <w:rPr>
                      <w:rFonts w:ascii="Times New Roman" w:hAnsi="Times New Roman" w:cs="Times New Roman"/>
                      <w:szCs w:val="21"/>
                    </w:rPr>
                  </w:pPr>
                  <w:r>
                    <w:rPr>
                      <w:rFonts w:ascii="Times New Roman" w:hAnsi="Times New Roman" w:cs="Times New Roman"/>
                      <w:bCs/>
                      <w:kern w:val="0"/>
                      <w:szCs w:val="21"/>
                    </w:rPr>
                    <w:t>关于印发《陕西省大气污染治理专项行动方案（2023—2027年）》的通知</w:t>
                  </w:r>
                </w:p>
              </w:tc>
              <w:tc>
                <w:tcPr>
                  <w:tcW w:w="1520" w:type="pct"/>
                  <w:tcBorders>
                    <w:tl2br w:val="nil"/>
                    <w:tr2bl w:val="nil"/>
                  </w:tcBorders>
                  <w:vAlign w:val="center"/>
                </w:tcPr>
                <w:p w14:paraId="44500FEB">
                  <w:pPr>
                    <w:widowControl/>
                    <w:adjustRightInd w:val="0"/>
                    <w:snapToGrid w:val="0"/>
                    <w:rPr>
                      <w:rFonts w:ascii="Times New Roman" w:hAnsi="Times New Roman" w:cs="Times New Roman"/>
                      <w:szCs w:val="21"/>
                    </w:rPr>
                  </w:pPr>
                  <w:r>
                    <w:rPr>
                      <w:rFonts w:ascii="Times New Roman" w:hAnsi="Times New Roman" w:cs="Times New Roman"/>
                      <w:szCs w:val="21"/>
                    </w:rPr>
                    <w:t>产业发展结构调整。关中地区严禁新增钢铁、焦化、水泥熟料、平板玻璃、电解铝、氧化铝、煤化工生产，合理控制煤制油气产能规模，严控新增炼油产能。</w:t>
                  </w:r>
                </w:p>
              </w:tc>
              <w:tc>
                <w:tcPr>
                  <w:tcW w:w="1503" w:type="pct"/>
                  <w:tcBorders>
                    <w:tl2br w:val="nil"/>
                    <w:tr2bl w:val="nil"/>
                  </w:tcBorders>
                  <w:vAlign w:val="center"/>
                </w:tcPr>
                <w:p w14:paraId="575985AF">
                  <w:pPr>
                    <w:autoSpaceDE w:val="0"/>
                    <w:autoSpaceDN w:val="0"/>
                    <w:adjustRightInd w:val="0"/>
                    <w:snapToGrid w:val="0"/>
                    <w:rPr>
                      <w:rFonts w:hint="eastAsia" w:ascii="Times New Roman" w:hAnsi="Times New Roman" w:cs="Times New Roman" w:eastAsiaTheme="minorEastAsia"/>
                      <w:szCs w:val="21"/>
                      <w:lang w:eastAsia="zh-CN"/>
                    </w:rPr>
                  </w:pPr>
                  <w:r>
                    <w:rPr>
                      <w:rFonts w:ascii="Times New Roman" w:hAnsi="Times New Roman" w:cs="Times New Roman"/>
                      <w:kern w:val="0"/>
                      <w:szCs w:val="21"/>
                    </w:rPr>
                    <w:t>本项目属于</w:t>
                  </w:r>
                  <w:r>
                    <w:rPr>
                      <w:rFonts w:hint="eastAsia" w:ascii="Times New Roman" w:hAnsi="Times New Roman" w:cs="Times New Roman"/>
                      <w:szCs w:val="21"/>
                    </w:rPr>
                    <w:t>金属表面处理</w:t>
                  </w:r>
                  <w:r>
                    <w:rPr>
                      <w:rFonts w:ascii="Times New Roman" w:hAnsi="Times New Roman" w:cs="Times New Roman"/>
                      <w:kern w:val="0"/>
                      <w:szCs w:val="21"/>
                    </w:rPr>
                    <w:t>，不属于</w:t>
                  </w:r>
                  <w:r>
                    <w:rPr>
                      <w:rFonts w:ascii="Times New Roman" w:hAnsi="Times New Roman" w:cs="Times New Roman"/>
                      <w:szCs w:val="21"/>
                    </w:rPr>
                    <w:t>钢铁、焦化、水泥熟料、平板玻璃、电解铝、氧化铝、煤化工</w:t>
                  </w:r>
                  <w:r>
                    <w:rPr>
                      <w:rFonts w:hint="eastAsia" w:ascii="Times New Roman" w:hAnsi="Times New Roman" w:cs="Times New Roman"/>
                      <w:szCs w:val="21"/>
                    </w:rPr>
                    <w:t>等高污染行业</w:t>
                  </w:r>
                  <w:r>
                    <w:rPr>
                      <w:rFonts w:hint="eastAsia" w:ascii="Times New Roman" w:hAnsi="Times New Roman" w:cs="Times New Roman"/>
                      <w:szCs w:val="21"/>
                      <w:lang w:eastAsia="zh-CN"/>
                    </w:rPr>
                    <w:t>。</w:t>
                  </w:r>
                </w:p>
              </w:tc>
              <w:tc>
                <w:tcPr>
                  <w:tcW w:w="636" w:type="pct"/>
                  <w:tcBorders>
                    <w:tl2br w:val="nil"/>
                    <w:tr2bl w:val="nil"/>
                  </w:tcBorders>
                  <w:vAlign w:val="center"/>
                </w:tcPr>
                <w:p w14:paraId="2EF4F353">
                  <w:pPr>
                    <w:autoSpaceDE w:val="0"/>
                    <w:autoSpaceDN w:val="0"/>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3CD11A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vMerge w:val="continue"/>
                  <w:tcBorders>
                    <w:tl2br w:val="nil"/>
                    <w:tr2bl w:val="nil"/>
                  </w:tcBorders>
                  <w:vAlign w:val="center"/>
                </w:tcPr>
                <w:p w14:paraId="78CC8779">
                  <w:pPr>
                    <w:autoSpaceDE w:val="0"/>
                    <w:autoSpaceDN w:val="0"/>
                    <w:adjustRightInd w:val="0"/>
                    <w:snapToGrid w:val="0"/>
                    <w:jc w:val="center"/>
                    <w:rPr>
                      <w:rFonts w:ascii="Times New Roman" w:hAnsi="Times New Roman" w:cs="Times New Roman"/>
                      <w:szCs w:val="21"/>
                    </w:rPr>
                  </w:pPr>
                </w:p>
              </w:tc>
              <w:tc>
                <w:tcPr>
                  <w:tcW w:w="1520" w:type="pct"/>
                  <w:tcBorders>
                    <w:tl2br w:val="nil"/>
                    <w:tr2bl w:val="nil"/>
                  </w:tcBorders>
                  <w:vAlign w:val="center"/>
                </w:tcPr>
                <w:p w14:paraId="176B1AC0">
                  <w:pPr>
                    <w:widowControl/>
                    <w:adjustRightInd w:val="0"/>
                    <w:snapToGrid w:val="0"/>
                    <w:rPr>
                      <w:rFonts w:ascii="Times New Roman" w:hAnsi="Times New Roman" w:cs="Times New Roman"/>
                      <w:szCs w:val="21"/>
                    </w:rPr>
                  </w:pPr>
                  <w:r>
                    <w:rPr>
                      <w:rFonts w:ascii="Times New Roman" w:hAnsi="Times New Roman" w:cs="Times New Roman"/>
                      <w:szCs w:val="21"/>
                    </w:rPr>
                    <w:t>新建挥发性有机物治理设施不再采用单一低温等离子、光氧化、光催化等治理技术，非水溶性挥发性有机物废气不再采用单一喷淋吸收方式处理。</w:t>
                  </w:r>
                </w:p>
              </w:tc>
              <w:tc>
                <w:tcPr>
                  <w:tcW w:w="1503" w:type="pct"/>
                  <w:tcBorders>
                    <w:tl2br w:val="nil"/>
                    <w:tr2bl w:val="nil"/>
                  </w:tcBorders>
                  <w:vAlign w:val="center"/>
                </w:tcPr>
                <w:p w14:paraId="52292D9E">
                  <w:pPr>
                    <w:autoSpaceDE w:val="0"/>
                    <w:autoSpaceDN w:val="0"/>
                    <w:adjustRightInd w:val="0"/>
                    <w:snapToGrid w:val="0"/>
                    <w:rPr>
                      <w:rFonts w:ascii="Times New Roman" w:hAnsi="Times New Roman" w:cs="Times New Roman"/>
                      <w:szCs w:val="21"/>
                    </w:rPr>
                  </w:pPr>
                  <w:r>
                    <w:rPr>
                      <w:rFonts w:ascii="Times New Roman" w:hAnsi="Times New Roman" w:cs="Times New Roman"/>
                      <w:kern w:val="0"/>
                      <w:szCs w:val="21"/>
                    </w:rPr>
                    <w:t>本项目产生的挥发性有机废气经负压收集后采用</w:t>
                  </w:r>
                  <w:r>
                    <w:rPr>
                      <w:rFonts w:hint="eastAsia" w:ascii="Times New Roman" w:hAnsi="Times New Roman" w:cs="Times New Roman"/>
                      <w:szCs w:val="21"/>
                    </w:rPr>
                    <w:t>二级活性炭吸附</w:t>
                  </w:r>
                  <w:r>
                    <w:rPr>
                      <w:rFonts w:ascii="Times New Roman" w:hAnsi="Times New Roman" w:cs="Times New Roman"/>
                      <w:kern w:val="0"/>
                      <w:szCs w:val="21"/>
                    </w:rPr>
                    <w:t>装置</w:t>
                  </w:r>
                  <w:r>
                    <w:rPr>
                      <w:rFonts w:ascii="Times New Roman" w:hAnsi="Times New Roman" w:cs="Times New Roman"/>
                      <w:color w:val="auto"/>
                      <w:kern w:val="0"/>
                      <w:szCs w:val="21"/>
                    </w:rPr>
                    <w:t>处理后</w:t>
                  </w:r>
                  <w:r>
                    <w:rPr>
                      <w:rFonts w:hint="eastAsia" w:ascii="Times New Roman" w:hAnsi="Times New Roman" w:cs="Times New Roman"/>
                      <w:color w:val="auto"/>
                      <w:szCs w:val="21"/>
                      <w:lang w:eastAsia="zh-CN"/>
                    </w:rPr>
                    <w:t>依托在建项目</w:t>
                  </w:r>
                  <w:r>
                    <w:rPr>
                      <w:rFonts w:ascii="Times New Roman" w:hAnsi="Times New Roman" w:cs="Times New Roman"/>
                      <w:color w:val="auto"/>
                      <w:szCs w:val="21"/>
                    </w:rPr>
                    <w:t>15m高</w:t>
                  </w:r>
                  <w:r>
                    <w:rPr>
                      <w:rFonts w:hint="eastAsia" w:ascii="Times New Roman" w:hAnsi="Times New Roman" w:cs="Times New Roman"/>
                      <w:color w:val="auto"/>
                      <w:szCs w:val="21"/>
                      <w:lang w:eastAsia="zh-CN"/>
                    </w:rPr>
                    <w:t>排气筒（</w:t>
                  </w:r>
                  <w:r>
                    <w:rPr>
                      <w:rFonts w:hint="eastAsia" w:ascii="Times New Roman" w:hAnsi="Times New Roman" w:cs="Times New Roman"/>
                      <w:color w:val="auto"/>
                      <w:szCs w:val="21"/>
                      <w:lang w:val="en-US" w:eastAsia="zh-CN"/>
                    </w:rPr>
                    <w:t>DA003</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合并排放。</w:t>
                  </w:r>
                </w:p>
              </w:tc>
              <w:tc>
                <w:tcPr>
                  <w:tcW w:w="636" w:type="pct"/>
                  <w:tcBorders>
                    <w:tl2br w:val="nil"/>
                    <w:tr2bl w:val="nil"/>
                  </w:tcBorders>
                  <w:vAlign w:val="center"/>
                </w:tcPr>
                <w:p w14:paraId="1DEF3B8B">
                  <w:pPr>
                    <w:autoSpaceDE w:val="0"/>
                    <w:autoSpaceDN w:val="0"/>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3B69CC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vMerge w:val="restart"/>
                  <w:tcBorders>
                    <w:tl2br w:val="nil"/>
                    <w:tr2bl w:val="nil"/>
                  </w:tcBorders>
                  <w:vAlign w:val="center"/>
                </w:tcPr>
                <w:p w14:paraId="7C3B8824">
                  <w:pPr>
                    <w:autoSpaceDE w:val="0"/>
                    <w:autoSpaceDN w:val="0"/>
                    <w:adjustRightInd w:val="0"/>
                    <w:snapToGrid w:val="0"/>
                    <w:jc w:val="center"/>
                    <w:rPr>
                      <w:rFonts w:ascii="Times New Roman" w:hAnsi="Times New Roman" w:cs="Times New Roman"/>
                      <w:szCs w:val="21"/>
                    </w:rPr>
                  </w:pPr>
                  <w:r>
                    <w:rPr>
                      <w:rFonts w:ascii="Times New Roman" w:hAnsi="Times New Roman" w:cs="Times New Roman"/>
                      <w:bCs/>
                      <w:kern w:val="0"/>
                      <w:szCs w:val="21"/>
                    </w:rPr>
                    <w:t>关于印发《宝鸡市大气污染治理专项行动方案（2023—2027年）》的通知</w:t>
                  </w:r>
                </w:p>
              </w:tc>
              <w:tc>
                <w:tcPr>
                  <w:tcW w:w="1520" w:type="pct"/>
                  <w:tcBorders>
                    <w:tl2br w:val="nil"/>
                    <w:tr2bl w:val="nil"/>
                  </w:tcBorders>
                  <w:vAlign w:val="center"/>
                </w:tcPr>
                <w:p w14:paraId="32E7ED38">
                  <w:pPr>
                    <w:widowControl/>
                    <w:adjustRightInd w:val="0"/>
                    <w:snapToGrid w:val="0"/>
                    <w:rPr>
                      <w:rFonts w:ascii="Times New Roman" w:hAnsi="Times New Roman" w:cs="Times New Roman"/>
                      <w:szCs w:val="21"/>
                    </w:rPr>
                  </w:pPr>
                  <w:r>
                    <w:rPr>
                      <w:rFonts w:ascii="Times New Roman" w:hAnsi="Times New Roman" w:cs="Times New Roman"/>
                      <w:szCs w:val="21"/>
                    </w:rPr>
                    <w:t>产业发展结构调整。严禁新增钢铁、焦化、水泥熟料、平板玻璃、电解铝、氧化铝、煤化工生产，合理控制煤制油气产能规模，严控新增炼油产能。</w:t>
                  </w:r>
                </w:p>
              </w:tc>
              <w:tc>
                <w:tcPr>
                  <w:tcW w:w="1503" w:type="pct"/>
                  <w:tcBorders>
                    <w:tl2br w:val="nil"/>
                    <w:tr2bl w:val="nil"/>
                  </w:tcBorders>
                  <w:vAlign w:val="center"/>
                </w:tcPr>
                <w:p w14:paraId="705DDA9D">
                  <w:pPr>
                    <w:autoSpaceDE w:val="0"/>
                    <w:autoSpaceDN w:val="0"/>
                    <w:adjustRightInd w:val="0"/>
                    <w:snapToGrid w:val="0"/>
                    <w:rPr>
                      <w:rFonts w:hint="eastAsia" w:ascii="Times New Roman" w:hAnsi="Times New Roman" w:cs="Times New Roman" w:eastAsiaTheme="minorEastAsia"/>
                      <w:szCs w:val="21"/>
                      <w:lang w:eastAsia="zh-CN"/>
                    </w:rPr>
                  </w:pPr>
                  <w:r>
                    <w:rPr>
                      <w:rFonts w:ascii="Times New Roman" w:hAnsi="Times New Roman" w:cs="Times New Roman"/>
                      <w:kern w:val="0"/>
                      <w:szCs w:val="21"/>
                    </w:rPr>
                    <w:t>本项目属于</w:t>
                  </w:r>
                  <w:r>
                    <w:rPr>
                      <w:rFonts w:hint="eastAsia" w:ascii="Times New Roman" w:hAnsi="Times New Roman" w:cs="Times New Roman"/>
                      <w:szCs w:val="21"/>
                    </w:rPr>
                    <w:t>金属表面处理</w:t>
                  </w:r>
                  <w:r>
                    <w:rPr>
                      <w:rFonts w:ascii="Times New Roman" w:hAnsi="Times New Roman" w:cs="Times New Roman"/>
                      <w:kern w:val="0"/>
                      <w:szCs w:val="21"/>
                    </w:rPr>
                    <w:t>，不属于</w:t>
                  </w:r>
                  <w:r>
                    <w:rPr>
                      <w:rFonts w:ascii="Times New Roman" w:hAnsi="Times New Roman" w:cs="Times New Roman"/>
                      <w:szCs w:val="21"/>
                    </w:rPr>
                    <w:t>钢铁、焦化、水泥熟料、平板玻璃、电解铝、氧化铝、煤化工</w:t>
                  </w:r>
                  <w:r>
                    <w:rPr>
                      <w:rFonts w:hint="eastAsia" w:ascii="Times New Roman" w:hAnsi="Times New Roman" w:cs="Times New Roman"/>
                      <w:szCs w:val="21"/>
                    </w:rPr>
                    <w:t>等高污染行业</w:t>
                  </w:r>
                  <w:r>
                    <w:rPr>
                      <w:rFonts w:hint="eastAsia" w:ascii="Times New Roman" w:hAnsi="Times New Roman" w:cs="Times New Roman"/>
                      <w:szCs w:val="21"/>
                      <w:lang w:eastAsia="zh-CN"/>
                    </w:rPr>
                    <w:t>。</w:t>
                  </w:r>
                </w:p>
              </w:tc>
              <w:tc>
                <w:tcPr>
                  <w:tcW w:w="636" w:type="pct"/>
                  <w:tcBorders>
                    <w:tl2br w:val="nil"/>
                    <w:tr2bl w:val="nil"/>
                  </w:tcBorders>
                  <w:vAlign w:val="center"/>
                </w:tcPr>
                <w:p w14:paraId="6915355C">
                  <w:pPr>
                    <w:autoSpaceDE w:val="0"/>
                    <w:autoSpaceDN w:val="0"/>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44AEC9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vMerge w:val="continue"/>
                  <w:tcBorders>
                    <w:tl2br w:val="nil"/>
                    <w:tr2bl w:val="nil"/>
                  </w:tcBorders>
                  <w:vAlign w:val="center"/>
                </w:tcPr>
                <w:p w14:paraId="0F92D862">
                  <w:pPr>
                    <w:autoSpaceDE w:val="0"/>
                    <w:autoSpaceDN w:val="0"/>
                    <w:adjustRightInd w:val="0"/>
                    <w:snapToGrid w:val="0"/>
                    <w:jc w:val="center"/>
                    <w:rPr>
                      <w:rFonts w:ascii="Times New Roman" w:hAnsi="Times New Roman" w:cs="Times New Roman"/>
                      <w:szCs w:val="21"/>
                    </w:rPr>
                  </w:pPr>
                </w:p>
              </w:tc>
              <w:tc>
                <w:tcPr>
                  <w:tcW w:w="1520" w:type="pct"/>
                  <w:tcBorders>
                    <w:tl2br w:val="nil"/>
                    <w:tr2bl w:val="nil"/>
                  </w:tcBorders>
                  <w:vAlign w:val="center"/>
                </w:tcPr>
                <w:p w14:paraId="1F99BB31">
                  <w:pPr>
                    <w:widowControl/>
                    <w:adjustRightInd w:val="0"/>
                    <w:snapToGrid w:val="0"/>
                    <w:rPr>
                      <w:rFonts w:ascii="Times New Roman" w:hAnsi="Times New Roman" w:cs="Times New Roman"/>
                      <w:szCs w:val="21"/>
                    </w:rPr>
                  </w:pPr>
                  <w:r>
                    <w:rPr>
                      <w:rFonts w:ascii="Times New Roman" w:hAnsi="Times New Roman" w:cs="Times New Roman"/>
                      <w:szCs w:val="21"/>
                    </w:rPr>
                    <w:t>市辖区及开发区新、改、扩建涉气重点行业企业应达到环保绩效A级、绩效引领性水平。</w:t>
                  </w:r>
                </w:p>
              </w:tc>
              <w:tc>
                <w:tcPr>
                  <w:tcW w:w="1503" w:type="pct"/>
                  <w:tcBorders>
                    <w:tl2br w:val="nil"/>
                    <w:tr2bl w:val="nil"/>
                  </w:tcBorders>
                  <w:vAlign w:val="center"/>
                </w:tcPr>
                <w:p w14:paraId="31549EA7">
                  <w:pPr>
                    <w:autoSpaceDE w:val="0"/>
                    <w:autoSpaceDN w:val="0"/>
                    <w:adjustRightInd w:val="0"/>
                    <w:snapToGrid w:val="0"/>
                    <w:rPr>
                      <w:rFonts w:hint="eastAsia" w:ascii="Times New Roman" w:hAnsi="Times New Roman" w:cs="Times New Roman" w:eastAsiaTheme="minorEastAsia"/>
                      <w:szCs w:val="21"/>
                      <w:lang w:eastAsia="zh-CN"/>
                    </w:rPr>
                  </w:pPr>
                  <w:r>
                    <w:rPr>
                      <w:rFonts w:ascii="Times New Roman" w:hAnsi="Times New Roman" w:cs="Times New Roman"/>
                      <w:kern w:val="0"/>
                      <w:szCs w:val="21"/>
                    </w:rPr>
                    <w:t>本项目</w:t>
                  </w:r>
                  <w:r>
                    <w:rPr>
                      <w:rFonts w:hint="eastAsia" w:ascii="Times New Roman" w:hAnsi="Times New Roman" w:cs="Times New Roman"/>
                      <w:kern w:val="0"/>
                      <w:szCs w:val="21"/>
                    </w:rPr>
                    <w:t>属于</w:t>
                  </w:r>
                  <w:r>
                    <w:rPr>
                      <w:rFonts w:hint="eastAsia" w:ascii="Times New Roman" w:hAnsi="Times New Roman" w:cs="Times New Roman"/>
                      <w:szCs w:val="21"/>
                    </w:rPr>
                    <w:t>金属表面处理</w:t>
                  </w:r>
                  <w:r>
                    <w:rPr>
                      <w:rFonts w:ascii="Times New Roman" w:hAnsi="Times New Roman" w:cs="Times New Roman"/>
                      <w:kern w:val="0"/>
                      <w:szCs w:val="21"/>
                    </w:rPr>
                    <w:t>，属于涉气重点行业的工业涂装。本项目建设严格落实环保绩效分级A级企业相关要求</w:t>
                  </w:r>
                  <w:r>
                    <w:rPr>
                      <w:rFonts w:hint="eastAsia" w:ascii="Times New Roman" w:hAnsi="Times New Roman" w:cs="Times New Roman"/>
                      <w:kern w:val="0"/>
                      <w:szCs w:val="21"/>
                      <w:lang w:eastAsia="zh-CN"/>
                    </w:rPr>
                    <w:t>。</w:t>
                  </w:r>
                </w:p>
              </w:tc>
              <w:tc>
                <w:tcPr>
                  <w:tcW w:w="636" w:type="pct"/>
                  <w:tcBorders>
                    <w:tl2br w:val="nil"/>
                    <w:tr2bl w:val="nil"/>
                  </w:tcBorders>
                  <w:vAlign w:val="center"/>
                </w:tcPr>
                <w:p w14:paraId="3BDA1CF4">
                  <w:pPr>
                    <w:autoSpaceDE w:val="0"/>
                    <w:autoSpaceDN w:val="0"/>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6D2F6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vMerge w:val="continue"/>
                  <w:tcBorders>
                    <w:tl2br w:val="nil"/>
                    <w:tr2bl w:val="nil"/>
                  </w:tcBorders>
                  <w:vAlign w:val="center"/>
                </w:tcPr>
                <w:p w14:paraId="17E51BDB">
                  <w:pPr>
                    <w:autoSpaceDE w:val="0"/>
                    <w:autoSpaceDN w:val="0"/>
                    <w:adjustRightInd w:val="0"/>
                    <w:snapToGrid w:val="0"/>
                    <w:jc w:val="center"/>
                    <w:rPr>
                      <w:rFonts w:ascii="Times New Roman" w:hAnsi="Times New Roman" w:cs="Times New Roman"/>
                      <w:szCs w:val="21"/>
                    </w:rPr>
                  </w:pPr>
                </w:p>
              </w:tc>
              <w:tc>
                <w:tcPr>
                  <w:tcW w:w="1520" w:type="pct"/>
                  <w:tcBorders>
                    <w:tl2br w:val="nil"/>
                    <w:tr2bl w:val="nil"/>
                  </w:tcBorders>
                  <w:vAlign w:val="center"/>
                </w:tcPr>
                <w:p w14:paraId="70CD7F5B">
                  <w:pPr>
                    <w:widowControl/>
                    <w:adjustRightInd w:val="0"/>
                    <w:snapToGrid w:val="0"/>
                    <w:rPr>
                      <w:rFonts w:ascii="Times New Roman" w:hAnsi="Times New Roman" w:cs="Times New Roman"/>
                      <w:szCs w:val="21"/>
                    </w:rPr>
                  </w:pPr>
                  <w:r>
                    <w:rPr>
                      <w:rFonts w:ascii="Times New Roman" w:hAnsi="Times New Roman" w:cs="Times New Roman"/>
                      <w:szCs w:val="21"/>
                    </w:rPr>
                    <w:t>新建挥发性有机物治理设施不再采用单一低温等离子、光氧化、光催化等治理技术，非水溶性挥发性有机物废气不再采用单一喷淋吸收方式处理。</w:t>
                  </w:r>
                </w:p>
              </w:tc>
              <w:tc>
                <w:tcPr>
                  <w:tcW w:w="1503" w:type="pct"/>
                  <w:tcBorders>
                    <w:tl2br w:val="nil"/>
                    <w:tr2bl w:val="nil"/>
                  </w:tcBorders>
                  <w:vAlign w:val="center"/>
                </w:tcPr>
                <w:p w14:paraId="69FC2A97">
                  <w:pPr>
                    <w:autoSpaceDE w:val="0"/>
                    <w:autoSpaceDN w:val="0"/>
                    <w:adjustRightInd w:val="0"/>
                    <w:snapToGrid w:val="0"/>
                    <w:rPr>
                      <w:rFonts w:hint="eastAsia" w:ascii="Times New Roman" w:hAnsi="Times New Roman" w:cs="Times New Roman" w:eastAsiaTheme="minorEastAsia"/>
                      <w:szCs w:val="21"/>
                      <w:lang w:val="en-US" w:eastAsia="zh-CN"/>
                    </w:rPr>
                  </w:pPr>
                  <w:r>
                    <w:rPr>
                      <w:rFonts w:ascii="Times New Roman" w:hAnsi="Times New Roman" w:cs="Times New Roman"/>
                      <w:kern w:val="0"/>
                      <w:szCs w:val="21"/>
                    </w:rPr>
                    <w:t>本项目产生的挥发性有机废气采用</w:t>
                  </w:r>
                  <w:r>
                    <w:rPr>
                      <w:rFonts w:hint="eastAsia" w:ascii="Times New Roman" w:hAnsi="Times New Roman" w:cs="Times New Roman"/>
                      <w:szCs w:val="21"/>
                    </w:rPr>
                    <w:t>二级活性炭吸附</w:t>
                  </w:r>
                  <w:r>
                    <w:rPr>
                      <w:rFonts w:ascii="Times New Roman" w:hAnsi="Times New Roman" w:cs="Times New Roman"/>
                      <w:kern w:val="0"/>
                      <w:szCs w:val="21"/>
                    </w:rPr>
                    <w:t>装置处理</w:t>
                  </w:r>
                  <w:r>
                    <w:rPr>
                      <w:rFonts w:hint="eastAsia" w:ascii="Times New Roman" w:hAnsi="Times New Roman" w:cs="Times New Roman"/>
                      <w:kern w:val="0"/>
                      <w:szCs w:val="21"/>
                      <w:lang w:val="en-US" w:eastAsia="zh-CN"/>
                    </w:rPr>
                    <w:t>。</w:t>
                  </w:r>
                </w:p>
              </w:tc>
              <w:tc>
                <w:tcPr>
                  <w:tcW w:w="636" w:type="pct"/>
                  <w:tcBorders>
                    <w:tl2br w:val="nil"/>
                    <w:tr2bl w:val="nil"/>
                  </w:tcBorders>
                  <w:vAlign w:val="center"/>
                </w:tcPr>
                <w:p w14:paraId="4DC970F1">
                  <w:pPr>
                    <w:autoSpaceDE w:val="0"/>
                    <w:autoSpaceDN w:val="0"/>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6798F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vMerge w:val="restart"/>
                  <w:tcBorders>
                    <w:tl2br w:val="nil"/>
                    <w:tr2bl w:val="nil"/>
                  </w:tcBorders>
                  <w:vAlign w:val="center"/>
                </w:tcPr>
                <w:p w14:paraId="7B8314B9">
                  <w:pPr>
                    <w:autoSpaceDE w:val="0"/>
                    <w:autoSpaceDN w:val="0"/>
                    <w:adjustRightInd w:val="0"/>
                    <w:snapToGrid w:val="0"/>
                    <w:jc w:val="center"/>
                    <w:rPr>
                      <w:rFonts w:ascii="Times New Roman" w:hAnsi="Times New Roman" w:cs="Times New Roman"/>
                      <w:szCs w:val="21"/>
                    </w:rPr>
                  </w:pPr>
                  <w:r>
                    <w:rPr>
                      <w:rFonts w:hint="default" w:ascii="Times New Roman" w:hAnsi="Times New Roman" w:cs="Times New Roman"/>
                      <w:bCs/>
                      <w:color w:val="auto"/>
                      <w:kern w:val="0"/>
                      <w:szCs w:val="21"/>
                      <w:lang w:val="en-US" w:eastAsia="zh-Hans"/>
                    </w:rPr>
                    <w:t>《</w:t>
                  </w:r>
                  <w:r>
                    <w:rPr>
                      <w:rFonts w:hint="eastAsia" w:ascii="Times New Roman" w:hAnsi="Times New Roman" w:cs="Times New Roman"/>
                      <w:bCs/>
                      <w:color w:val="auto"/>
                      <w:kern w:val="0"/>
                      <w:szCs w:val="21"/>
                      <w:lang w:val="en-US" w:eastAsia="zh-Hans"/>
                    </w:rPr>
                    <w:t>陕西省生态环境厅关于进一步加强关中地区涉气重点行业项目环评管理的通知</w:t>
                  </w:r>
                  <w:r>
                    <w:rPr>
                      <w:rFonts w:hint="default" w:ascii="Times New Roman" w:hAnsi="Times New Roman" w:cs="Times New Roman"/>
                      <w:bCs/>
                      <w:color w:val="auto"/>
                      <w:kern w:val="0"/>
                      <w:szCs w:val="21"/>
                      <w:lang w:val="en-US" w:eastAsia="zh-Hans"/>
                    </w:rPr>
                    <w:t>》（</w:t>
                  </w:r>
                  <w:r>
                    <w:rPr>
                      <w:rFonts w:hint="eastAsia" w:ascii="Times New Roman" w:hAnsi="Times New Roman" w:cs="Times New Roman"/>
                      <w:bCs/>
                      <w:color w:val="auto"/>
                      <w:kern w:val="0"/>
                      <w:szCs w:val="21"/>
                      <w:lang w:val="en-US" w:eastAsia="zh-Hans"/>
                    </w:rPr>
                    <w:t>陕环环评函</w:t>
                  </w:r>
                  <w:r>
                    <w:rPr>
                      <w:rFonts w:hint="eastAsia" w:ascii="Times New Roman" w:hAnsi="Times New Roman" w:cs="Times New Roman"/>
                      <w:bCs/>
                      <w:color w:val="auto"/>
                      <w:kern w:val="0"/>
                      <w:szCs w:val="21"/>
                      <w:lang w:val="en-US" w:eastAsia="zh-CN"/>
                    </w:rPr>
                    <w:t>〔2023〕76号</w:t>
                  </w:r>
                  <w:r>
                    <w:rPr>
                      <w:rFonts w:hint="default" w:ascii="Times New Roman" w:hAnsi="Times New Roman" w:cs="Times New Roman"/>
                      <w:bCs/>
                      <w:color w:val="auto"/>
                      <w:kern w:val="0"/>
                      <w:szCs w:val="21"/>
                      <w:lang w:val="en-US" w:eastAsia="zh-Hans"/>
                    </w:rPr>
                    <w:t>）</w:t>
                  </w:r>
                </w:p>
              </w:tc>
              <w:tc>
                <w:tcPr>
                  <w:tcW w:w="1520" w:type="pct"/>
                  <w:tcBorders>
                    <w:tl2br w:val="nil"/>
                    <w:tr2bl w:val="nil"/>
                  </w:tcBorders>
                  <w:shd w:val="clear" w:color="auto" w:fill="auto"/>
                  <w:vAlign w:val="center"/>
                </w:tcPr>
                <w:p w14:paraId="15424C5C">
                  <w:pPr>
                    <w:autoSpaceDE w:val="0"/>
                    <w:autoSpaceDN w:val="0"/>
                    <w:adjustRightInd w:val="0"/>
                    <w:snapToGrid w:val="0"/>
                    <w:jc w:val="left"/>
                    <w:rPr>
                      <w:rFonts w:hint="eastAsia" w:ascii="Times New Roman" w:hAnsi="Times New Roman" w:cs="Times New Roman" w:eastAsiaTheme="minorEastAsia"/>
                      <w:bCs/>
                      <w:color w:val="auto"/>
                      <w:kern w:val="0"/>
                      <w:sz w:val="21"/>
                      <w:szCs w:val="21"/>
                      <w:lang w:val="en-US" w:eastAsia="zh-Hans" w:bidi="ar-SA"/>
                    </w:rPr>
                  </w:pPr>
                  <w:r>
                    <w:rPr>
                      <w:rFonts w:hint="eastAsia" w:ascii="Times New Roman" w:hAnsi="Times New Roman" w:cs="Times New Roman"/>
                      <w:bCs/>
                      <w:color w:val="auto"/>
                      <w:kern w:val="0"/>
                      <w:szCs w:val="21"/>
                      <w:lang w:val="en-US" w:eastAsia="zh-Hans"/>
                    </w:rPr>
                    <w:t>关中地区涉气重点行业项目范围为生态环境部确定的39个重点行业的新改扩建项目，涉及关中各市(区)辖区及开发区范围内的应达到环保绩效A级、绩效引领性水平要求，西安市、咸阳市、渭南市的其他区域应达到环保绩效B级及以上要求。</w:t>
                  </w:r>
                </w:p>
              </w:tc>
              <w:tc>
                <w:tcPr>
                  <w:tcW w:w="1503" w:type="pct"/>
                  <w:vMerge w:val="restart"/>
                  <w:tcBorders>
                    <w:tl2br w:val="nil"/>
                    <w:tr2bl w:val="nil"/>
                  </w:tcBorders>
                  <w:vAlign w:val="center"/>
                </w:tcPr>
                <w:p w14:paraId="6CABA362">
                  <w:pPr>
                    <w:autoSpaceDE w:val="0"/>
                    <w:autoSpaceDN w:val="0"/>
                    <w:adjustRightInd w:val="0"/>
                    <w:snapToGrid w:val="0"/>
                    <w:rPr>
                      <w:rFonts w:ascii="Times New Roman" w:hAnsi="Times New Roman" w:cs="Times New Roman"/>
                      <w:kern w:val="0"/>
                      <w:szCs w:val="21"/>
                    </w:rPr>
                  </w:pPr>
                  <w:r>
                    <w:rPr>
                      <w:rFonts w:ascii="Times New Roman" w:hAnsi="Times New Roman" w:cs="Times New Roman"/>
                      <w:color w:val="auto"/>
                      <w:kern w:val="0"/>
                      <w:szCs w:val="21"/>
                    </w:rPr>
                    <w:t>本项目</w:t>
                  </w:r>
                  <w:r>
                    <w:rPr>
                      <w:rFonts w:hint="eastAsia" w:ascii="Times New Roman" w:hAnsi="Times New Roman" w:cs="Times New Roman"/>
                      <w:color w:val="auto"/>
                      <w:kern w:val="0"/>
                      <w:szCs w:val="21"/>
                    </w:rPr>
                    <w:t>属于</w:t>
                  </w:r>
                  <w:r>
                    <w:rPr>
                      <w:rFonts w:hint="eastAsia" w:ascii="Times New Roman" w:hAnsi="Times New Roman" w:cs="Times New Roman"/>
                      <w:color w:val="auto"/>
                      <w:szCs w:val="21"/>
                    </w:rPr>
                    <w:t>金属表面处理</w:t>
                  </w:r>
                  <w:r>
                    <w:rPr>
                      <w:rFonts w:ascii="Times New Roman" w:hAnsi="Times New Roman" w:cs="Times New Roman"/>
                      <w:color w:val="auto"/>
                      <w:kern w:val="0"/>
                      <w:szCs w:val="21"/>
                    </w:rPr>
                    <w:t>，属于涉气重点行业的工业涂装。本项目建设严格落实环保绩效分级A</w:t>
                  </w:r>
                  <w:r>
                    <w:rPr>
                      <w:rFonts w:hint="eastAsia" w:ascii="Times New Roman" w:hAnsi="Times New Roman" w:cs="Times New Roman"/>
                      <w:color w:val="auto"/>
                      <w:kern w:val="0"/>
                      <w:szCs w:val="21"/>
                      <w:lang w:val="en-US" w:eastAsia="zh-CN"/>
                    </w:rPr>
                    <w:t>级企业相关要求。本项目已按相关要求编制环保绩效管理篇章，并对企业建设项目的装备水平(生产工艺)、污染治理技术排放限值、无组织管控要求、监测监控水平、环境管理水平运输方式和管控要求等方面进行符合性分析。</w:t>
                  </w:r>
                </w:p>
              </w:tc>
              <w:tc>
                <w:tcPr>
                  <w:tcW w:w="636" w:type="pct"/>
                  <w:tcBorders>
                    <w:tl2br w:val="nil"/>
                    <w:tr2bl w:val="nil"/>
                  </w:tcBorders>
                  <w:vAlign w:val="center"/>
                </w:tcPr>
                <w:p w14:paraId="7BC2F036">
                  <w:pPr>
                    <w:autoSpaceDE w:val="0"/>
                    <w:autoSpaceDN w:val="0"/>
                    <w:adjustRightInd w:val="0"/>
                    <w:snapToGrid w:val="0"/>
                    <w:jc w:val="center"/>
                    <w:rPr>
                      <w:rFonts w:ascii="Times New Roman" w:hAnsi="Times New Roman" w:cs="Times New Roman"/>
                      <w:szCs w:val="21"/>
                    </w:rPr>
                  </w:pPr>
                  <w:r>
                    <w:rPr>
                      <w:rFonts w:ascii="Times New Roman" w:hAnsi="Times New Roman" w:cs="Times New Roman"/>
                      <w:color w:val="auto"/>
                      <w:szCs w:val="21"/>
                    </w:rPr>
                    <w:t>符合</w:t>
                  </w:r>
                </w:p>
              </w:tc>
            </w:tr>
            <w:tr w14:paraId="6151E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vMerge w:val="continue"/>
                  <w:tcBorders>
                    <w:tl2br w:val="nil"/>
                    <w:tr2bl w:val="nil"/>
                  </w:tcBorders>
                  <w:vAlign w:val="center"/>
                </w:tcPr>
                <w:p w14:paraId="6B792BB5">
                  <w:pPr>
                    <w:autoSpaceDE w:val="0"/>
                    <w:autoSpaceDN w:val="0"/>
                    <w:adjustRightInd w:val="0"/>
                    <w:snapToGrid w:val="0"/>
                    <w:jc w:val="center"/>
                    <w:rPr>
                      <w:rFonts w:ascii="Times New Roman" w:hAnsi="Times New Roman" w:cs="Times New Roman"/>
                      <w:szCs w:val="21"/>
                    </w:rPr>
                  </w:pPr>
                </w:p>
              </w:tc>
              <w:tc>
                <w:tcPr>
                  <w:tcW w:w="1520" w:type="pct"/>
                  <w:tcBorders>
                    <w:tl2br w:val="nil"/>
                    <w:tr2bl w:val="nil"/>
                  </w:tcBorders>
                  <w:shd w:val="clear" w:color="auto" w:fill="auto"/>
                  <w:vAlign w:val="center"/>
                </w:tcPr>
                <w:p w14:paraId="5BA54D82">
                  <w:pPr>
                    <w:autoSpaceDE w:val="0"/>
                    <w:autoSpaceDN w:val="0"/>
                    <w:adjustRightInd w:val="0"/>
                    <w:snapToGrid w:val="0"/>
                    <w:jc w:val="left"/>
                    <w:rPr>
                      <w:rFonts w:hint="eastAsia" w:ascii="Times New Roman" w:hAnsi="Times New Roman" w:cs="Times New Roman" w:eastAsiaTheme="minorEastAsia"/>
                      <w:bCs/>
                      <w:color w:val="auto"/>
                      <w:kern w:val="0"/>
                      <w:sz w:val="21"/>
                      <w:szCs w:val="21"/>
                      <w:lang w:val="en-US" w:eastAsia="zh-Hans" w:bidi="ar-SA"/>
                    </w:rPr>
                  </w:pPr>
                  <w:r>
                    <w:rPr>
                      <w:rFonts w:hint="eastAsia" w:ascii="Times New Roman" w:hAnsi="Times New Roman" w:cs="Times New Roman"/>
                      <w:bCs/>
                      <w:color w:val="auto"/>
                      <w:kern w:val="0"/>
                      <w:szCs w:val="21"/>
                      <w:lang w:val="en-US" w:eastAsia="zh-Hans"/>
                    </w:rPr>
                    <w:t>关中地区涉气重点行业新、改、扩建项目环境影响报告书(表)应编制环保绩效管理篇章，按照环办大气</w:t>
                  </w:r>
                  <w:r>
                    <w:rPr>
                      <w:rFonts w:hint="eastAsia" w:ascii="Times New Roman" w:hAnsi="Times New Roman" w:cs="Times New Roman"/>
                      <w:bCs/>
                      <w:color w:val="auto"/>
                      <w:kern w:val="0"/>
                      <w:szCs w:val="21"/>
                      <w:lang w:val="en-US" w:eastAsia="zh-CN"/>
                    </w:rPr>
                    <w:t>〔2020〕340号</w:t>
                  </w:r>
                  <w:r>
                    <w:rPr>
                      <w:rFonts w:hint="eastAsia" w:ascii="Times New Roman" w:hAnsi="Times New Roman" w:cs="Times New Roman"/>
                      <w:bCs/>
                      <w:color w:val="auto"/>
                      <w:kern w:val="0"/>
                      <w:szCs w:val="21"/>
                      <w:lang w:val="en-US" w:eastAsia="zh-Hans"/>
                    </w:rPr>
                    <w:t>文件从建设项目的装备水平(生产工艺)、污染治理技术排放限值、无组织管控要求、监测监控水平、环境管理水平运输方式和管控要求等方面，专项分析拟建和已建项目建设内容、生态环境保护措施与对应环保绩效分级、绩效引领性水平的相符性。</w:t>
                  </w:r>
                </w:p>
              </w:tc>
              <w:tc>
                <w:tcPr>
                  <w:tcW w:w="1503" w:type="pct"/>
                  <w:vMerge w:val="continue"/>
                  <w:tcBorders>
                    <w:tl2br w:val="nil"/>
                    <w:tr2bl w:val="nil"/>
                  </w:tcBorders>
                  <w:vAlign w:val="center"/>
                </w:tcPr>
                <w:p w14:paraId="4802DCF2">
                  <w:pPr>
                    <w:autoSpaceDE w:val="0"/>
                    <w:autoSpaceDN w:val="0"/>
                    <w:adjustRightInd w:val="0"/>
                    <w:snapToGrid w:val="0"/>
                    <w:rPr>
                      <w:rFonts w:ascii="Times New Roman" w:hAnsi="Times New Roman" w:cs="Times New Roman"/>
                      <w:kern w:val="0"/>
                      <w:szCs w:val="21"/>
                    </w:rPr>
                  </w:pPr>
                </w:p>
              </w:tc>
              <w:tc>
                <w:tcPr>
                  <w:tcW w:w="636" w:type="pct"/>
                  <w:tcBorders>
                    <w:tl2br w:val="nil"/>
                    <w:tr2bl w:val="nil"/>
                  </w:tcBorders>
                  <w:vAlign w:val="center"/>
                </w:tcPr>
                <w:p w14:paraId="430D5794">
                  <w:pPr>
                    <w:autoSpaceDE w:val="0"/>
                    <w:autoSpaceDN w:val="0"/>
                    <w:adjustRightInd w:val="0"/>
                    <w:snapToGrid w:val="0"/>
                    <w:jc w:val="center"/>
                    <w:rPr>
                      <w:rFonts w:ascii="Times New Roman" w:hAnsi="Times New Roman" w:cs="Times New Roman"/>
                      <w:szCs w:val="21"/>
                    </w:rPr>
                  </w:pPr>
                  <w:r>
                    <w:rPr>
                      <w:rFonts w:ascii="Times New Roman" w:hAnsi="Times New Roman" w:cs="Times New Roman"/>
                      <w:color w:val="auto"/>
                      <w:szCs w:val="21"/>
                    </w:rPr>
                    <w:t>符合</w:t>
                  </w:r>
                </w:p>
              </w:tc>
            </w:tr>
            <w:tr w14:paraId="6EE078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vMerge w:val="restart"/>
                  <w:tcBorders>
                    <w:tl2br w:val="nil"/>
                    <w:tr2bl w:val="nil"/>
                  </w:tcBorders>
                  <w:vAlign w:val="center"/>
                </w:tcPr>
                <w:p w14:paraId="3E33E305">
                  <w:pPr>
                    <w:adjustRightInd w:val="0"/>
                    <w:snapToGrid w:val="0"/>
                    <w:jc w:val="center"/>
                    <w:rPr>
                      <w:rFonts w:ascii="Times New Roman" w:hAnsi="Times New Roman" w:cs="Times New Roman"/>
                      <w:szCs w:val="21"/>
                    </w:rPr>
                  </w:pPr>
                  <w:r>
                    <w:rPr>
                      <w:rFonts w:ascii="Times New Roman" w:hAnsi="Times New Roman" w:cs="Times New Roman"/>
                      <w:szCs w:val="21"/>
                    </w:rPr>
                    <w:t>《</w:t>
                  </w:r>
                  <w:r>
                    <w:rPr>
                      <w:rFonts w:hint="eastAsia" w:ascii="Times New Roman" w:hAnsi="Times New Roman" w:cs="Times New Roman"/>
                      <w:szCs w:val="21"/>
                    </w:rPr>
                    <w:t>渭滨区</w:t>
                  </w:r>
                  <w:r>
                    <w:rPr>
                      <w:rFonts w:ascii="Times New Roman" w:hAnsi="Times New Roman" w:cs="Times New Roman"/>
                      <w:szCs w:val="21"/>
                    </w:rPr>
                    <w:t>大气污染治理专项行动方案（2023</w:t>
                  </w:r>
                  <w:r>
                    <w:rPr>
                      <w:rFonts w:hint="eastAsia" w:ascii="Times New Roman" w:hAnsi="Times New Roman" w:cs="Times New Roman"/>
                      <w:szCs w:val="21"/>
                    </w:rPr>
                    <w:t>—</w:t>
                  </w:r>
                  <w:r>
                    <w:rPr>
                      <w:rFonts w:ascii="Times New Roman" w:hAnsi="Times New Roman" w:cs="Times New Roman"/>
                      <w:szCs w:val="21"/>
                    </w:rPr>
                    <w:t>2027</w:t>
                  </w:r>
                  <w:r>
                    <w:rPr>
                      <w:rFonts w:hint="eastAsia" w:ascii="Times New Roman" w:hAnsi="Times New Roman" w:cs="Times New Roman"/>
                      <w:szCs w:val="21"/>
                    </w:rPr>
                    <w:t>）》</w:t>
                  </w:r>
                </w:p>
              </w:tc>
              <w:tc>
                <w:tcPr>
                  <w:tcW w:w="1520" w:type="pct"/>
                  <w:tcBorders>
                    <w:tl2br w:val="nil"/>
                    <w:tr2bl w:val="nil"/>
                  </w:tcBorders>
                  <w:vAlign w:val="center"/>
                </w:tcPr>
                <w:p w14:paraId="4126A6C1">
                  <w:pPr>
                    <w:adjustRightInd w:val="0"/>
                    <w:snapToGrid w:val="0"/>
                    <w:rPr>
                      <w:rFonts w:ascii="Times New Roman" w:hAnsi="Times New Roman" w:cs="Times New Roman"/>
                      <w:szCs w:val="21"/>
                    </w:rPr>
                  </w:pPr>
                  <w:r>
                    <w:rPr>
                      <w:rFonts w:ascii="Times New Roman" w:hAnsi="Times New Roman" w:eastAsia="宋体" w:cs="Times New Roman"/>
                      <w:szCs w:val="21"/>
                    </w:rPr>
                    <w:t>产业发展结构调整。严禁新增钢铁、焦化、水泥熟料、平板玻 璃、电解铝、氧化铝、煤化工等 项目。坚决遏制</w:t>
                  </w:r>
                  <w:r>
                    <w:rPr>
                      <w:rFonts w:hint="eastAsia" w:ascii="Times New Roman" w:hAnsi="Times New Roman" w:eastAsia="宋体" w:cs="Times New Roman"/>
                      <w:szCs w:val="21"/>
                    </w:rPr>
                    <w:t>“</w:t>
                  </w:r>
                  <w:r>
                    <w:rPr>
                      <w:rFonts w:ascii="Times New Roman" w:hAnsi="Times New Roman" w:eastAsia="宋体" w:cs="Times New Roman"/>
                      <w:szCs w:val="21"/>
                    </w:rPr>
                    <w:t>两高</w:t>
                  </w:r>
                  <w:r>
                    <w:rPr>
                      <w:rFonts w:hint="eastAsia" w:ascii="Times New Roman" w:hAnsi="Times New Roman" w:eastAsia="宋体" w:cs="Times New Roman"/>
                      <w:szCs w:val="21"/>
                    </w:rPr>
                    <w:t>”</w:t>
                  </w:r>
                  <w:r>
                    <w:rPr>
                      <w:rFonts w:ascii="Times New Roman" w:hAnsi="Times New Roman" w:eastAsia="宋体" w:cs="Times New Roman"/>
                      <w:szCs w:val="21"/>
                    </w:rPr>
                    <w:t>项目盲目 发展，严格落实国家产业规划、 产业政策、</w:t>
                  </w:r>
                  <w:r>
                    <w:rPr>
                      <w:rFonts w:hint="eastAsia" w:ascii="Times New Roman" w:hAnsi="Times New Roman" w:eastAsia="宋体" w:cs="Times New Roman"/>
                      <w:szCs w:val="21"/>
                    </w:rPr>
                    <w:t>“</w:t>
                  </w:r>
                  <w:r>
                    <w:rPr>
                      <w:rFonts w:ascii="Times New Roman" w:hAnsi="Times New Roman" w:eastAsia="宋体" w:cs="Times New Roman"/>
                      <w:szCs w:val="21"/>
                    </w:rPr>
                    <w:t>三线一单</w:t>
                  </w:r>
                  <w:r>
                    <w:rPr>
                      <w:rFonts w:hint="eastAsia" w:ascii="Times New Roman" w:hAnsi="Times New Roman" w:eastAsia="宋体" w:cs="Times New Roman"/>
                      <w:szCs w:val="21"/>
                    </w:rPr>
                    <w:t>”</w:t>
                  </w:r>
                  <w:r>
                    <w:rPr>
                      <w:rFonts w:ascii="Times New Roman" w:hAnsi="Times New Roman" w:eastAsia="宋体" w:cs="Times New Roman"/>
                      <w:szCs w:val="21"/>
                    </w:rPr>
                    <w:t>、规划环评以及产能置换、煤炭消费减量替代、区域污染物削减等要求，严禁不符合规定的项目建设</w:t>
                  </w:r>
                  <w:r>
                    <w:rPr>
                      <w:rFonts w:hint="eastAsia" w:ascii="Times New Roman" w:hAnsi="Times New Roman" w:eastAsia="宋体" w:cs="Times New Roman"/>
                      <w:szCs w:val="21"/>
                    </w:rPr>
                    <w:t>。</w:t>
                  </w:r>
                </w:p>
              </w:tc>
              <w:tc>
                <w:tcPr>
                  <w:tcW w:w="1503" w:type="pct"/>
                  <w:tcBorders>
                    <w:tl2br w:val="nil"/>
                    <w:tr2bl w:val="nil"/>
                  </w:tcBorders>
                  <w:vAlign w:val="center"/>
                </w:tcPr>
                <w:p w14:paraId="4B7770B2">
                  <w:pPr>
                    <w:autoSpaceDE w:val="0"/>
                    <w:autoSpaceDN w:val="0"/>
                    <w:adjustRightInd w:val="0"/>
                    <w:snapToGrid w:val="0"/>
                    <w:rPr>
                      <w:rFonts w:hint="eastAsia" w:ascii="Times New Roman" w:hAnsi="Times New Roman" w:cs="Times New Roman" w:eastAsiaTheme="minorEastAsia"/>
                      <w:kern w:val="0"/>
                      <w:szCs w:val="21"/>
                      <w:lang w:eastAsia="zh-CN"/>
                    </w:rPr>
                  </w:pPr>
                  <w:r>
                    <w:rPr>
                      <w:rFonts w:ascii="Times New Roman" w:hAnsi="Times New Roman" w:cs="Times New Roman"/>
                      <w:kern w:val="0"/>
                      <w:szCs w:val="21"/>
                    </w:rPr>
                    <w:t>本项目</w:t>
                  </w:r>
                  <w:r>
                    <w:rPr>
                      <w:rFonts w:hint="eastAsia" w:ascii="Times New Roman" w:hAnsi="Times New Roman" w:cs="Times New Roman"/>
                      <w:kern w:val="0"/>
                      <w:szCs w:val="21"/>
                    </w:rPr>
                    <w:t>属于</w:t>
                  </w:r>
                  <w:r>
                    <w:rPr>
                      <w:rFonts w:hint="eastAsia" w:ascii="Times New Roman" w:hAnsi="Times New Roman" w:cs="Times New Roman"/>
                      <w:szCs w:val="21"/>
                    </w:rPr>
                    <w:t>金属表面处理</w:t>
                  </w:r>
                  <w:r>
                    <w:rPr>
                      <w:rFonts w:ascii="Times New Roman" w:hAnsi="Times New Roman" w:cs="Times New Roman"/>
                      <w:kern w:val="0"/>
                      <w:szCs w:val="21"/>
                    </w:rPr>
                    <w:t>，不属于</w:t>
                  </w:r>
                  <w:r>
                    <w:rPr>
                      <w:rFonts w:ascii="Times New Roman" w:hAnsi="Times New Roman" w:cs="Times New Roman"/>
                      <w:szCs w:val="21"/>
                    </w:rPr>
                    <w:t>钢铁、焦化、水泥熟料、平板玻璃、电解铝、氧化铝、煤化工</w:t>
                  </w:r>
                  <w:r>
                    <w:rPr>
                      <w:rFonts w:hint="eastAsia" w:ascii="Times New Roman" w:hAnsi="Times New Roman" w:cs="Times New Roman"/>
                      <w:szCs w:val="21"/>
                    </w:rPr>
                    <w:t>等高污染、高耗能行业</w:t>
                  </w:r>
                  <w:r>
                    <w:rPr>
                      <w:rFonts w:hint="eastAsia" w:ascii="Times New Roman" w:hAnsi="Times New Roman" w:cs="Times New Roman"/>
                      <w:szCs w:val="21"/>
                      <w:lang w:eastAsia="zh-CN"/>
                    </w:rPr>
                    <w:t>。</w:t>
                  </w:r>
                </w:p>
              </w:tc>
              <w:tc>
                <w:tcPr>
                  <w:tcW w:w="636" w:type="pct"/>
                  <w:tcBorders>
                    <w:tl2br w:val="nil"/>
                    <w:tr2bl w:val="nil"/>
                  </w:tcBorders>
                  <w:vAlign w:val="center"/>
                </w:tcPr>
                <w:p w14:paraId="4BD681E8">
                  <w:pPr>
                    <w:autoSpaceDE w:val="0"/>
                    <w:autoSpaceDN w:val="0"/>
                    <w:adjustRightInd w:val="0"/>
                    <w:snapToGrid w:val="0"/>
                    <w:jc w:val="center"/>
                    <w:rPr>
                      <w:rFonts w:ascii="Times New Roman" w:hAnsi="Times New Roman" w:cs="Times New Roman"/>
                      <w:szCs w:val="21"/>
                    </w:rPr>
                  </w:pPr>
                  <w:r>
                    <w:rPr>
                      <w:rFonts w:hint="eastAsia" w:ascii="Times New Roman" w:hAnsi="Times New Roman" w:cs="Times New Roman"/>
                      <w:szCs w:val="21"/>
                    </w:rPr>
                    <w:t>符合</w:t>
                  </w:r>
                </w:p>
              </w:tc>
            </w:tr>
            <w:tr w14:paraId="62BC6F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vMerge w:val="continue"/>
                  <w:tcBorders>
                    <w:tl2br w:val="nil"/>
                    <w:tr2bl w:val="nil"/>
                  </w:tcBorders>
                  <w:vAlign w:val="center"/>
                </w:tcPr>
                <w:p w14:paraId="5C9B3438">
                  <w:pPr>
                    <w:adjustRightInd w:val="0"/>
                    <w:snapToGrid w:val="0"/>
                    <w:jc w:val="center"/>
                    <w:rPr>
                      <w:rFonts w:ascii="Times New Roman" w:hAnsi="Times New Roman" w:cs="Times New Roman"/>
                      <w:szCs w:val="21"/>
                    </w:rPr>
                  </w:pPr>
                </w:p>
              </w:tc>
              <w:tc>
                <w:tcPr>
                  <w:tcW w:w="1520" w:type="pct"/>
                  <w:tcBorders>
                    <w:tl2br w:val="nil"/>
                    <w:tr2bl w:val="nil"/>
                  </w:tcBorders>
                  <w:vAlign w:val="center"/>
                </w:tcPr>
                <w:p w14:paraId="510CC14B">
                  <w:pPr>
                    <w:adjustRightInd w:val="0"/>
                    <w:snapToGrid w:val="0"/>
                    <w:rPr>
                      <w:rFonts w:ascii="Times New Roman" w:hAnsi="Times New Roman" w:cs="Times New Roman"/>
                      <w:szCs w:val="21"/>
                    </w:rPr>
                  </w:pPr>
                  <w:r>
                    <w:rPr>
                      <w:rFonts w:ascii="Times New Roman" w:hAnsi="Times New Roman" w:eastAsia="宋体" w:cs="Times New Roman"/>
                      <w:szCs w:val="21"/>
                    </w:rPr>
                    <w:t>工业企业深度治理行动。对全县重点涉气工业企业实施深 度治理，加快推进工业炉密、挥发性有机物、颗粒物无组织排放等专项治理工程，强化排污许可</w:t>
                  </w:r>
                  <w:r>
                    <w:rPr>
                      <w:rFonts w:hint="eastAsia" w:ascii="Times New Roman" w:hAnsi="Times New Roman" w:eastAsia="宋体" w:cs="Times New Roman"/>
                      <w:szCs w:val="21"/>
                    </w:rPr>
                    <w:t>“</w:t>
                  </w:r>
                  <w:r>
                    <w:rPr>
                      <w:rFonts w:ascii="Times New Roman" w:hAnsi="Times New Roman" w:eastAsia="宋体" w:cs="Times New Roman"/>
                      <w:szCs w:val="21"/>
                    </w:rPr>
                    <w:t>一证式</w:t>
                  </w:r>
                  <w:r>
                    <w:rPr>
                      <w:rFonts w:hint="eastAsia" w:ascii="Times New Roman" w:hAnsi="Times New Roman" w:eastAsia="宋体" w:cs="Times New Roman"/>
                      <w:szCs w:val="21"/>
                    </w:rPr>
                    <w:t>”</w:t>
                  </w:r>
                  <w:r>
                    <w:rPr>
                      <w:rFonts w:ascii="Times New Roman" w:hAnsi="Times New Roman" w:eastAsia="宋体" w:cs="Times New Roman"/>
                      <w:szCs w:val="21"/>
                    </w:rPr>
                    <w:t>监管，持续推进重点涉</w:t>
                  </w:r>
                  <w:r>
                    <w:rPr>
                      <w:rFonts w:hint="eastAsia" w:ascii="Times New Roman" w:hAnsi="Times New Roman" w:eastAsia="宋体" w:cs="Times New Roman"/>
                      <w:szCs w:val="21"/>
                    </w:rPr>
                    <w:t>气固定污染源治理。强化VOCs无组织排放整治，新建项目不再采用低温等离子、光氧化、光催化等处理方式，非水溶性VOCs、废气不再采用喷淋吸收方式处理。开展储运销环节油气回收、含VOCs原辅材料达标情况检查和简易低效VOCs治理设施清理整治，严查处理能力、治理工艺不匹配问题</w:t>
                  </w:r>
                </w:p>
              </w:tc>
              <w:tc>
                <w:tcPr>
                  <w:tcW w:w="1503" w:type="pct"/>
                  <w:tcBorders>
                    <w:tl2br w:val="nil"/>
                    <w:tr2bl w:val="nil"/>
                  </w:tcBorders>
                  <w:vAlign w:val="center"/>
                </w:tcPr>
                <w:p w14:paraId="29E4AAB4">
                  <w:pPr>
                    <w:autoSpaceDE w:val="0"/>
                    <w:autoSpaceDN w:val="0"/>
                    <w:adjustRightInd w:val="0"/>
                    <w:snapToGrid w:val="0"/>
                    <w:rPr>
                      <w:rFonts w:hint="eastAsia" w:ascii="Times New Roman" w:hAnsi="Times New Roman" w:cs="Times New Roman" w:eastAsiaTheme="minorEastAsia"/>
                      <w:kern w:val="0"/>
                      <w:szCs w:val="21"/>
                      <w:lang w:eastAsia="zh-CN"/>
                    </w:rPr>
                  </w:pPr>
                  <w:r>
                    <w:rPr>
                      <w:rFonts w:ascii="Times New Roman" w:hAnsi="Times New Roman" w:cs="Times New Roman"/>
                      <w:kern w:val="0"/>
                      <w:szCs w:val="21"/>
                    </w:rPr>
                    <w:t>本项目产生的挥发性有机废气采用</w:t>
                  </w:r>
                  <w:r>
                    <w:rPr>
                      <w:rFonts w:hint="eastAsia" w:ascii="Times New Roman" w:hAnsi="Times New Roman" w:cs="Times New Roman"/>
                      <w:szCs w:val="21"/>
                    </w:rPr>
                    <w:t>二级活性炭吸附</w:t>
                  </w:r>
                  <w:r>
                    <w:rPr>
                      <w:rFonts w:ascii="Times New Roman" w:hAnsi="Times New Roman" w:cs="Times New Roman"/>
                      <w:kern w:val="0"/>
                      <w:szCs w:val="21"/>
                    </w:rPr>
                    <w:t>装置处理</w:t>
                  </w:r>
                  <w:r>
                    <w:rPr>
                      <w:rFonts w:hint="eastAsia" w:ascii="Times New Roman" w:hAnsi="Times New Roman" w:cs="Times New Roman"/>
                      <w:kern w:val="0"/>
                      <w:szCs w:val="21"/>
                      <w:lang w:eastAsia="zh-CN"/>
                    </w:rPr>
                    <w:t>。</w:t>
                  </w:r>
                </w:p>
              </w:tc>
              <w:tc>
                <w:tcPr>
                  <w:tcW w:w="636" w:type="pct"/>
                  <w:tcBorders>
                    <w:tl2br w:val="nil"/>
                    <w:tr2bl w:val="nil"/>
                  </w:tcBorders>
                  <w:vAlign w:val="center"/>
                </w:tcPr>
                <w:p w14:paraId="4E8123AA">
                  <w:pPr>
                    <w:autoSpaceDE w:val="0"/>
                    <w:autoSpaceDN w:val="0"/>
                    <w:adjustRightInd w:val="0"/>
                    <w:snapToGrid w:val="0"/>
                    <w:jc w:val="center"/>
                    <w:rPr>
                      <w:rFonts w:ascii="Times New Roman" w:hAnsi="Times New Roman" w:cs="Times New Roman"/>
                      <w:szCs w:val="21"/>
                    </w:rPr>
                  </w:pPr>
                  <w:r>
                    <w:rPr>
                      <w:rFonts w:hint="eastAsia" w:ascii="Times New Roman" w:hAnsi="Times New Roman" w:cs="Times New Roman"/>
                      <w:szCs w:val="21"/>
                    </w:rPr>
                    <w:t>符合</w:t>
                  </w:r>
                </w:p>
              </w:tc>
            </w:tr>
            <w:tr w14:paraId="22D448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vMerge w:val="restart"/>
                  <w:tcBorders>
                    <w:tl2br w:val="nil"/>
                    <w:tr2bl w:val="nil"/>
                  </w:tcBorders>
                  <w:vAlign w:val="center"/>
                </w:tcPr>
                <w:p w14:paraId="3ED16A90">
                  <w:pPr>
                    <w:autoSpaceDE w:val="0"/>
                    <w:autoSpaceDN w:val="0"/>
                    <w:adjustRightInd w:val="0"/>
                    <w:snapToGrid w:val="0"/>
                    <w:jc w:val="center"/>
                    <w:rPr>
                      <w:rFonts w:ascii="Times New Roman" w:hAnsi="Times New Roman" w:cs="Times New Roman"/>
                      <w:szCs w:val="21"/>
                    </w:rPr>
                  </w:pPr>
                  <w:r>
                    <w:rPr>
                      <w:rFonts w:ascii="Times New Roman" w:hAnsi="Times New Roman" w:cs="Times New Roman"/>
                      <w:szCs w:val="21"/>
                    </w:rPr>
                    <w:t>《陕西省</w:t>
                  </w:r>
                  <w:r>
                    <w:rPr>
                      <w:rFonts w:hint="eastAsia" w:ascii="Times New Roman" w:hAnsi="Times New Roman" w:cs="Times New Roman"/>
                      <w:szCs w:val="21"/>
                    </w:rPr>
                    <w:t>“</w:t>
                  </w:r>
                  <w:r>
                    <w:rPr>
                      <w:rFonts w:ascii="Times New Roman" w:hAnsi="Times New Roman" w:cs="Times New Roman"/>
                      <w:szCs w:val="21"/>
                    </w:rPr>
                    <w:t>十四五</w:t>
                  </w:r>
                  <w:r>
                    <w:rPr>
                      <w:rFonts w:hint="eastAsia" w:ascii="Times New Roman" w:hAnsi="Times New Roman" w:cs="Times New Roman"/>
                      <w:szCs w:val="21"/>
                    </w:rPr>
                    <w:t>”</w:t>
                  </w:r>
                  <w:r>
                    <w:rPr>
                      <w:rFonts w:ascii="Times New Roman" w:hAnsi="Times New Roman" w:cs="Times New Roman"/>
                      <w:szCs w:val="21"/>
                    </w:rPr>
                    <w:t>生态环境保护规划》</w:t>
                  </w:r>
                </w:p>
              </w:tc>
              <w:tc>
                <w:tcPr>
                  <w:tcW w:w="1520" w:type="pct"/>
                  <w:tcBorders>
                    <w:tl2br w:val="nil"/>
                    <w:tr2bl w:val="nil"/>
                  </w:tcBorders>
                  <w:vAlign w:val="center"/>
                </w:tcPr>
                <w:p w14:paraId="05BCCEA6">
                  <w:pPr>
                    <w:adjustRightInd w:val="0"/>
                    <w:snapToGrid w:val="0"/>
                    <w:rPr>
                      <w:rFonts w:hint="eastAsia" w:ascii="Times New Roman" w:hAnsi="Times New Roman" w:cs="Times New Roman" w:eastAsiaTheme="minorEastAsia"/>
                      <w:szCs w:val="21"/>
                      <w:lang w:eastAsia="zh-CN"/>
                    </w:rPr>
                  </w:pPr>
                  <w:r>
                    <w:rPr>
                      <w:rFonts w:ascii="Times New Roman" w:hAnsi="Times New Roman" w:cs="Times New Roman"/>
                      <w:szCs w:val="21"/>
                    </w:rPr>
                    <w:t>推进重点行业挥发性有机物综合整治。建立石化、化工、工业涂装、包装印刷、家具、电子制造、工程机械制造等重点行业源头、过程和末端全过程控制体系，实施挥发性有机物总量控制</w:t>
                  </w:r>
                  <w:r>
                    <w:rPr>
                      <w:rFonts w:hint="eastAsia" w:ascii="Times New Roman" w:hAnsi="Times New Roman" w:cs="Times New Roman"/>
                      <w:szCs w:val="21"/>
                      <w:lang w:eastAsia="zh-CN"/>
                    </w:rPr>
                    <w:t>。</w:t>
                  </w:r>
                </w:p>
              </w:tc>
              <w:tc>
                <w:tcPr>
                  <w:tcW w:w="1503" w:type="pct"/>
                  <w:tcBorders>
                    <w:tl2br w:val="nil"/>
                    <w:tr2bl w:val="nil"/>
                  </w:tcBorders>
                  <w:vAlign w:val="center"/>
                </w:tcPr>
                <w:p w14:paraId="2FD2A59D">
                  <w:pPr>
                    <w:widowControl/>
                    <w:adjustRightInd w:val="0"/>
                    <w:snapToGrid w:val="0"/>
                    <w:rPr>
                      <w:rFonts w:hint="eastAsia" w:ascii="Times New Roman" w:hAnsi="Times New Roman" w:cs="Times New Roman" w:eastAsiaTheme="minorEastAsia"/>
                      <w:kern w:val="0"/>
                      <w:szCs w:val="21"/>
                      <w:lang w:eastAsia="zh-CN"/>
                    </w:rPr>
                  </w:pPr>
                  <w:r>
                    <w:rPr>
                      <w:rFonts w:ascii="Times New Roman" w:hAnsi="Times New Roman" w:cs="Times New Roman"/>
                      <w:szCs w:val="21"/>
                    </w:rPr>
                    <w:t>本项目喷涂有机废气采取</w:t>
                  </w:r>
                  <w:r>
                    <w:rPr>
                      <w:rFonts w:hint="eastAsia" w:ascii="Times New Roman" w:hAnsi="Times New Roman" w:cs="Times New Roman"/>
                      <w:szCs w:val="21"/>
                    </w:rPr>
                    <w:t>二级</w:t>
                  </w:r>
                  <w:r>
                    <w:rPr>
                      <w:rFonts w:ascii="Times New Roman" w:hAnsi="Times New Roman" w:cs="Times New Roman"/>
                      <w:szCs w:val="21"/>
                    </w:rPr>
                    <w:t>活性炭</w:t>
                  </w:r>
                  <w:r>
                    <w:rPr>
                      <w:rFonts w:hint="eastAsia" w:ascii="Times New Roman" w:hAnsi="Times New Roman" w:cs="Times New Roman"/>
                      <w:szCs w:val="21"/>
                    </w:rPr>
                    <w:t>吸附</w:t>
                  </w:r>
                  <w:r>
                    <w:rPr>
                      <w:rFonts w:ascii="Times New Roman" w:hAnsi="Times New Roman" w:cs="Times New Roman"/>
                      <w:szCs w:val="21"/>
                    </w:rPr>
                    <w:t>设备治理措施减少废气的排放</w:t>
                  </w:r>
                  <w:r>
                    <w:rPr>
                      <w:rFonts w:hint="eastAsia" w:ascii="Times New Roman" w:hAnsi="Times New Roman" w:cs="Times New Roman"/>
                      <w:szCs w:val="21"/>
                      <w:lang w:eastAsia="zh-CN"/>
                    </w:rPr>
                    <w:t>。</w:t>
                  </w:r>
                </w:p>
              </w:tc>
              <w:tc>
                <w:tcPr>
                  <w:tcW w:w="636" w:type="pct"/>
                  <w:tcBorders>
                    <w:tl2br w:val="nil"/>
                    <w:tr2bl w:val="nil"/>
                  </w:tcBorders>
                  <w:vAlign w:val="center"/>
                </w:tcPr>
                <w:p w14:paraId="2226EA95">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360B6C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vMerge w:val="continue"/>
                  <w:tcBorders>
                    <w:tl2br w:val="nil"/>
                    <w:tr2bl w:val="nil"/>
                  </w:tcBorders>
                  <w:vAlign w:val="center"/>
                </w:tcPr>
                <w:p w14:paraId="6FC857EB">
                  <w:pPr>
                    <w:autoSpaceDE w:val="0"/>
                    <w:autoSpaceDN w:val="0"/>
                    <w:adjustRightInd w:val="0"/>
                    <w:snapToGrid w:val="0"/>
                    <w:jc w:val="center"/>
                    <w:rPr>
                      <w:rFonts w:ascii="Times New Roman" w:hAnsi="Times New Roman" w:cs="Times New Roman"/>
                      <w:szCs w:val="21"/>
                    </w:rPr>
                  </w:pPr>
                </w:p>
              </w:tc>
              <w:tc>
                <w:tcPr>
                  <w:tcW w:w="1520" w:type="pct"/>
                  <w:tcBorders>
                    <w:tl2br w:val="nil"/>
                    <w:tr2bl w:val="nil"/>
                  </w:tcBorders>
                  <w:vAlign w:val="center"/>
                </w:tcPr>
                <w:p w14:paraId="2D92FC9E">
                  <w:pPr>
                    <w:adjustRightInd w:val="0"/>
                    <w:snapToGrid w:val="0"/>
                    <w:rPr>
                      <w:rFonts w:hint="eastAsia" w:ascii="Times New Roman" w:hAnsi="Times New Roman" w:cs="Times New Roman" w:eastAsiaTheme="minorEastAsia"/>
                      <w:szCs w:val="21"/>
                      <w:lang w:eastAsia="zh-CN"/>
                    </w:rPr>
                  </w:pPr>
                  <w:r>
                    <w:rPr>
                      <w:rFonts w:ascii="Times New Roman" w:hAnsi="Times New Roman" w:cs="Times New Roman"/>
                      <w:szCs w:val="21"/>
                    </w:rPr>
                    <w:t>在工业涂装和包装印刷等行业全面推进源头替代，严格落实国家和地方产品挥发性有机物含量限值质量标准，将全面使用符合国家要求的低挥发性有机物含量原辅材料的企业纳入正面清单，和政府绿色采购清单，全面落实《挥发性有机物无组织排放控制标准（GB37822-2019）》要求</w:t>
                  </w:r>
                  <w:r>
                    <w:rPr>
                      <w:rFonts w:hint="eastAsia" w:ascii="Times New Roman" w:hAnsi="Times New Roman" w:cs="Times New Roman"/>
                      <w:szCs w:val="21"/>
                      <w:lang w:eastAsia="zh-CN"/>
                    </w:rPr>
                    <w:t>。</w:t>
                  </w:r>
                </w:p>
              </w:tc>
              <w:tc>
                <w:tcPr>
                  <w:tcW w:w="1503" w:type="pct"/>
                  <w:tcBorders>
                    <w:tl2br w:val="nil"/>
                    <w:tr2bl w:val="nil"/>
                  </w:tcBorders>
                  <w:vAlign w:val="center"/>
                </w:tcPr>
                <w:p w14:paraId="02440D9C">
                  <w:pPr>
                    <w:adjustRightInd w:val="0"/>
                    <w:snapToGrid w:val="0"/>
                    <w:rPr>
                      <w:rFonts w:hint="eastAsia" w:ascii="Times New Roman" w:hAnsi="Times New Roman" w:cs="Times New Roman" w:eastAsiaTheme="minorEastAsia"/>
                      <w:kern w:val="0"/>
                      <w:szCs w:val="21"/>
                      <w:lang w:eastAsia="zh-CN"/>
                    </w:rPr>
                  </w:pPr>
                  <w:r>
                    <w:rPr>
                      <w:rFonts w:ascii="Times New Roman" w:hAnsi="Times New Roman" w:cs="Times New Roman"/>
                      <w:szCs w:val="21"/>
                    </w:rPr>
                    <w:t>本项目使用涂料为</w:t>
                  </w:r>
                  <w:r>
                    <w:rPr>
                      <w:rFonts w:hint="eastAsia" w:ascii="Times New Roman" w:hAnsi="Times New Roman" w:cs="Times New Roman"/>
                      <w:szCs w:val="21"/>
                    </w:rPr>
                    <w:t>非</w:t>
                  </w:r>
                  <w:r>
                    <w:rPr>
                      <w:rFonts w:ascii="Times New Roman" w:hAnsi="Times New Roman" w:cs="Times New Roman"/>
                      <w:szCs w:val="21"/>
                    </w:rPr>
                    <w:t>溶剂型涂料，根据成分检测报告非甲烷总烃含量限值为</w:t>
                  </w:r>
                  <w:r>
                    <w:rPr>
                      <w:rFonts w:hint="eastAsia" w:ascii="Times New Roman" w:hAnsi="Times New Roman" w:cs="Times New Roman"/>
                      <w:szCs w:val="21"/>
                    </w:rPr>
                    <w:t>96</w:t>
                  </w:r>
                  <w:r>
                    <w:rPr>
                      <w:rFonts w:ascii="Times New Roman" w:hAnsi="Times New Roman" w:cs="Times New Roman"/>
                      <w:szCs w:val="21"/>
                    </w:rPr>
                    <w:t>g/L，</w:t>
                  </w:r>
                  <w:r>
                    <w:rPr>
                      <w:rFonts w:hint="eastAsia" w:ascii="Times New Roman" w:hAnsi="Times New Roman" w:cs="Times New Roman"/>
                      <w:szCs w:val="21"/>
                    </w:rPr>
                    <w:t>满足</w:t>
                  </w:r>
                  <w:r>
                    <w:rPr>
                      <w:rFonts w:ascii="Times New Roman" w:hAnsi="Times New Roman" w:cs="Times New Roman"/>
                      <w:szCs w:val="21"/>
                    </w:rPr>
                    <w:t>《低挥发性有机化合物含量涂料产品技术要求》（GB/T38597-2020）表的要求，因此本项目</w:t>
                  </w:r>
                  <w:r>
                    <w:rPr>
                      <w:rFonts w:hint="eastAsia" w:ascii="Times New Roman" w:hAnsi="Times New Roman" w:cs="Times New Roman"/>
                      <w:szCs w:val="21"/>
                    </w:rPr>
                    <w:t>水性漆</w:t>
                  </w:r>
                  <w:r>
                    <w:rPr>
                      <w:rFonts w:ascii="Times New Roman" w:hAnsi="Times New Roman" w:cs="Times New Roman"/>
                      <w:szCs w:val="21"/>
                    </w:rPr>
                    <w:t>含量属于低</w:t>
                  </w:r>
                  <w:r>
                    <w:rPr>
                      <w:rFonts w:hint="eastAsia" w:ascii="Times New Roman" w:hAnsi="Times New Roman" w:cs="Times New Roman"/>
                      <w:szCs w:val="21"/>
                    </w:rPr>
                    <w:t>VOCs</w:t>
                  </w:r>
                  <w:r>
                    <w:rPr>
                      <w:rFonts w:ascii="Times New Roman" w:hAnsi="Times New Roman" w:cs="Times New Roman"/>
                      <w:szCs w:val="21"/>
                    </w:rPr>
                    <w:t>含量涂料，符合国家标准</w:t>
                  </w:r>
                  <w:r>
                    <w:rPr>
                      <w:rFonts w:hint="eastAsia" w:ascii="Times New Roman" w:hAnsi="Times New Roman" w:cs="Times New Roman"/>
                      <w:szCs w:val="21"/>
                      <w:lang w:eastAsia="zh-CN"/>
                    </w:rPr>
                    <w:t>。</w:t>
                  </w:r>
                </w:p>
              </w:tc>
              <w:tc>
                <w:tcPr>
                  <w:tcW w:w="636" w:type="pct"/>
                  <w:tcBorders>
                    <w:tl2br w:val="nil"/>
                    <w:tr2bl w:val="nil"/>
                  </w:tcBorders>
                  <w:vAlign w:val="center"/>
                </w:tcPr>
                <w:p w14:paraId="76176E26">
                  <w:pPr>
                    <w:widowControl/>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1749E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vMerge w:val="restart"/>
                  <w:tcBorders>
                    <w:tl2br w:val="nil"/>
                    <w:tr2bl w:val="nil"/>
                  </w:tcBorders>
                  <w:vAlign w:val="center"/>
                </w:tcPr>
                <w:p w14:paraId="3C3FF262">
                  <w:pPr>
                    <w:adjustRightInd w:val="0"/>
                    <w:snapToGrid w:val="0"/>
                    <w:jc w:val="left"/>
                    <w:rPr>
                      <w:rFonts w:ascii="Times New Roman" w:hAnsi="Times New Roman" w:cs="Times New Roman"/>
                      <w:szCs w:val="21"/>
                    </w:rPr>
                  </w:pPr>
                  <w:r>
                    <w:rPr>
                      <w:rFonts w:ascii="Times New Roman" w:hAnsi="Times New Roman" w:cs="Times New Roman"/>
                      <w:szCs w:val="21"/>
                    </w:rPr>
                    <w:t>《宝鸡市</w:t>
                  </w:r>
                  <w:r>
                    <w:rPr>
                      <w:rFonts w:hint="eastAsia" w:ascii="Times New Roman" w:hAnsi="Times New Roman" w:cs="Times New Roman"/>
                      <w:szCs w:val="21"/>
                    </w:rPr>
                    <w:t>“</w:t>
                  </w:r>
                  <w:r>
                    <w:rPr>
                      <w:rFonts w:ascii="Times New Roman" w:hAnsi="Times New Roman" w:cs="Times New Roman"/>
                      <w:szCs w:val="21"/>
                    </w:rPr>
                    <w:t>十四五</w:t>
                  </w:r>
                  <w:r>
                    <w:rPr>
                      <w:rFonts w:hint="eastAsia" w:ascii="Times New Roman" w:hAnsi="Times New Roman" w:cs="Times New Roman"/>
                      <w:szCs w:val="21"/>
                    </w:rPr>
                    <w:t>”</w:t>
                  </w:r>
                  <w:r>
                    <w:rPr>
                      <w:rFonts w:ascii="Times New Roman" w:hAnsi="Times New Roman" w:cs="Times New Roman"/>
                      <w:szCs w:val="21"/>
                    </w:rPr>
                    <w:t>生态环境保护规划》</w:t>
                  </w:r>
                </w:p>
              </w:tc>
              <w:tc>
                <w:tcPr>
                  <w:tcW w:w="1520" w:type="pct"/>
                  <w:tcBorders>
                    <w:tl2br w:val="nil"/>
                    <w:tr2bl w:val="nil"/>
                  </w:tcBorders>
                  <w:vAlign w:val="center"/>
                </w:tcPr>
                <w:p w14:paraId="141A94DF">
                  <w:pPr>
                    <w:pStyle w:val="39"/>
                    <w:adjustRightInd w:val="0"/>
                    <w:snapToGrid w:val="0"/>
                    <w:rPr>
                      <w:rFonts w:ascii="Times New Roman" w:hAnsi="Times New Roman" w:cs="Times New Roman"/>
                      <w:szCs w:val="21"/>
                      <w:lang w:val="en-US"/>
                    </w:rPr>
                  </w:pPr>
                  <w:r>
                    <w:rPr>
                      <w:rFonts w:ascii="Times New Roman" w:hAnsi="Times New Roman" w:cs="Times New Roman" w:eastAsiaTheme="minorEastAsia"/>
                      <w:szCs w:val="21"/>
                      <w:lang w:val="en-US" w:bidi="ar-SA"/>
                    </w:rPr>
                    <w:t>企业新建和改造治污设施，应选择合理治理技术和设备，提高非甲烷总烃治理效率。加强无组织排放控制，深入实施精细化管控，提高非甲烷总烃治理的精准性、针对性和有效性。持续开展无组织排放排查整治工作，加强含非甲烷总烃物料全方位、全链条、全环节密闭管理。</w:t>
                  </w:r>
                </w:p>
              </w:tc>
              <w:tc>
                <w:tcPr>
                  <w:tcW w:w="1503" w:type="pct"/>
                  <w:tcBorders>
                    <w:tl2br w:val="nil"/>
                    <w:tr2bl w:val="nil"/>
                  </w:tcBorders>
                  <w:vAlign w:val="center"/>
                </w:tcPr>
                <w:p w14:paraId="3B708DED">
                  <w:pPr>
                    <w:adjustRightInd w:val="0"/>
                    <w:snapToGrid w:val="0"/>
                    <w:rPr>
                      <w:rFonts w:hint="eastAsia" w:ascii="Times New Roman" w:hAnsi="Times New Roman" w:cs="Times New Roman" w:eastAsiaTheme="minorEastAsia"/>
                      <w:szCs w:val="21"/>
                      <w:lang w:eastAsia="zh-CN"/>
                    </w:rPr>
                  </w:pPr>
                  <w:r>
                    <w:rPr>
                      <w:rFonts w:ascii="Times New Roman" w:hAnsi="Times New Roman" w:cs="Times New Roman"/>
                      <w:szCs w:val="21"/>
                    </w:rPr>
                    <w:t>本项目新建</w:t>
                  </w:r>
                  <w:r>
                    <w:rPr>
                      <w:rFonts w:hint="eastAsia" w:ascii="Times New Roman" w:hAnsi="Times New Roman" w:cs="Times New Roman"/>
                      <w:szCs w:val="21"/>
                    </w:rPr>
                    <w:t>自动喷漆设备（带烘干），</w:t>
                  </w:r>
                  <w:r>
                    <w:rPr>
                      <w:rFonts w:ascii="Times New Roman" w:hAnsi="Times New Roman" w:cs="Times New Roman"/>
                      <w:szCs w:val="21"/>
                    </w:rPr>
                    <w:t>喷漆、</w:t>
                  </w:r>
                  <w:r>
                    <w:rPr>
                      <w:rFonts w:hint="eastAsia" w:ascii="Times New Roman" w:hAnsi="Times New Roman" w:cs="Times New Roman"/>
                      <w:szCs w:val="21"/>
                    </w:rPr>
                    <w:t>烘干</w:t>
                  </w:r>
                  <w:r>
                    <w:rPr>
                      <w:rFonts w:ascii="Times New Roman" w:hAnsi="Times New Roman" w:cs="Times New Roman"/>
                      <w:szCs w:val="21"/>
                    </w:rPr>
                    <w:t>等均在密闭负压</w:t>
                  </w:r>
                  <w:r>
                    <w:rPr>
                      <w:rFonts w:hint="eastAsia" w:ascii="Times New Roman" w:hAnsi="Times New Roman" w:cs="Times New Roman"/>
                      <w:szCs w:val="21"/>
                    </w:rPr>
                    <w:t>空间</w:t>
                  </w:r>
                  <w:r>
                    <w:rPr>
                      <w:rFonts w:ascii="Times New Roman" w:hAnsi="Times New Roman" w:cs="Times New Roman"/>
                      <w:szCs w:val="21"/>
                    </w:rPr>
                    <w:t>内进行，无露天喷涂作业；喷涂废气</w:t>
                  </w:r>
                  <w:r>
                    <w:rPr>
                      <w:rFonts w:hint="eastAsia" w:ascii="Times New Roman" w:hAnsi="Times New Roman" w:cs="Times New Roman"/>
                      <w:szCs w:val="21"/>
                    </w:rPr>
                    <w:t>经二级</w:t>
                  </w:r>
                  <w:r>
                    <w:rPr>
                      <w:rFonts w:ascii="Times New Roman" w:hAnsi="Times New Roman" w:cs="Times New Roman"/>
                      <w:szCs w:val="21"/>
                    </w:rPr>
                    <w:t>活性炭</w:t>
                  </w:r>
                  <w:r>
                    <w:rPr>
                      <w:rFonts w:hint="eastAsia" w:ascii="Times New Roman" w:hAnsi="Times New Roman" w:cs="Times New Roman"/>
                      <w:szCs w:val="21"/>
                    </w:rPr>
                    <w:t>吸附</w:t>
                  </w:r>
                  <w:r>
                    <w:rPr>
                      <w:rFonts w:ascii="Times New Roman" w:hAnsi="Times New Roman" w:cs="Times New Roman"/>
                      <w:szCs w:val="21"/>
                    </w:rPr>
                    <w:t>处理后达标排放</w:t>
                  </w:r>
                  <w:r>
                    <w:rPr>
                      <w:rFonts w:hint="eastAsia" w:ascii="Times New Roman" w:hAnsi="Times New Roman" w:cs="Times New Roman"/>
                      <w:szCs w:val="21"/>
                      <w:lang w:eastAsia="zh-CN"/>
                    </w:rPr>
                    <w:t>。</w:t>
                  </w:r>
                </w:p>
              </w:tc>
              <w:tc>
                <w:tcPr>
                  <w:tcW w:w="636" w:type="pct"/>
                  <w:tcBorders>
                    <w:tl2br w:val="nil"/>
                    <w:tr2bl w:val="nil"/>
                  </w:tcBorders>
                  <w:vAlign w:val="center"/>
                </w:tcPr>
                <w:p w14:paraId="031CBFFF">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1F9B21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vMerge w:val="continue"/>
                  <w:tcBorders>
                    <w:tl2br w:val="nil"/>
                    <w:tr2bl w:val="nil"/>
                  </w:tcBorders>
                  <w:vAlign w:val="center"/>
                </w:tcPr>
                <w:p w14:paraId="4F4AE463">
                  <w:pPr>
                    <w:adjustRightInd w:val="0"/>
                    <w:snapToGrid w:val="0"/>
                    <w:jc w:val="left"/>
                    <w:rPr>
                      <w:rFonts w:ascii="Times New Roman" w:hAnsi="Times New Roman" w:cs="Times New Roman"/>
                      <w:szCs w:val="21"/>
                    </w:rPr>
                  </w:pPr>
                </w:p>
              </w:tc>
              <w:tc>
                <w:tcPr>
                  <w:tcW w:w="1520" w:type="pct"/>
                  <w:tcBorders>
                    <w:tl2br w:val="nil"/>
                    <w:tr2bl w:val="nil"/>
                  </w:tcBorders>
                  <w:vAlign w:val="center"/>
                </w:tcPr>
                <w:p w14:paraId="3DB81080">
                  <w:pPr>
                    <w:adjustRightInd w:val="0"/>
                    <w:snapToGrid w:val="0"/>
                    <w:rPr>
                      <w:rFonts w:ascii="Times New Roman" w:hAnsi="Times New Roman" w:cs="Times New Roman"/>
                      <w:szCs w:val="21"/>
                    </w:rPr>
                  </w:pPr>
                  <w:r>
                    <w:rPr>
                      <w:rFonts w:ascii="Times New Roman" w:hAnsi="Times New Roman" w:cs="Times New Roman"/>
                      <w:szCs w:val="21"/>
                    </w:rPr>
                    <w:t>推进挥发性有机物污染治理。全面开展全市挥发性有机物污染调查工作。在煤化工、有机化工、表面涂装、包装印刷等行业实施挥发性有机物综合整治，推广使用水性涂料，鼓励生产、销售和使用低毒、低挥发性溶剂。</w:t>
                  </w:r>
                </w:p>
              </w:tc>
              <w:tc>
                <w:tcPr>
                  <w:tcW w:w="1503" w:type="pct"/>
                  <w:tcBorders>
                    <w:tl2br w:val="nil"/>
                    <w:tr2bl w:val="nil"/>
                  </w:tcBorders>
                  <w:vAlign w:val="center"/>
                </w:tcPr>
                <w:p w14:paraId="25864B65">
                  <w:pPr>
                    <w:adjustRightInd w:val="0"/>
                    <w:snapToGrid w:val="0"/>
                    <w:rPr>
                      <w:rFonts w:hint="eastAsia" w:ascii="Times New Roman" w:hAnsi="Times New Roman" w:cs="Times New Roman" w:eastAsiaTheme="minorEastAsia"/>
                      <w:szCs w:val="21"/>
                      <w:lang w:eastAsia="zh-CN"/>
                    </w:rPr>
                  </w:pPr>
                  <w:r>
                    <w:rPr>
                      <w:rFonts w:ascii="Times New Roman" w:hAnsi="Times New Roman" w:cs="Times New Roman"/>
                      <w:szCs w:val="21"/>
                    </w:rPr>
                    <w:t>本项目使用涂料为</w:t>
                  </w:r>
                  <w:r>
                    <w:rPr>
                      <w:rFonts w:hint="eastAsia" w:ascii="Times New Roman" w:hAnsi="Times New Roman" w:cs="Times New Roman"/>
                      <w:szCs w:val="21"/>
                    </w:rPr>
                    <w:t>非</w:t>
                  </w:r>
                  <w:r>
                    <w:rPr>
                      <w:rFonts w:ascii="Times New Roman" w:hAnsi="Times New Roman" w:cs="Times New Roman"/>
                      <w:szCs w:val="21"/>
                    </w:rPr>
                    <w:t>溶剂型涂料，根据成分检测报告非甲烷总烃含量限值为</w:t>
                  </w:r>
                  <w:r>
                    <w:rPr>
                      <w:rFonts w:hint="eastAsia" w:ascii="Times New Roman" w:hAnsi="Times New Roman" w:cs="Times New Roman"/>
                      <w:szCs w:val="21"/>
                    </w:rPr>
                    <w:t>96</w:t>
                  </w:r>
                  <w:r>
                    <w:rPr>
                      <w:rFonts w:ascii="Times New Roman" w:hAnsi="Times New Roman" w:cs="Times New Roman"/>
                      <w:szCs w:val="21"/>
                    </w:rPr>
                    <w:t>g/L，</w:t>
                  </w:r>
                  <w:r>
                    <w:rPr>
                      <w:rFonts w:hint="eastAsia" w:ascii="Times New Roman" w:hAnsi="Times New Roman" w:cs="Times New Roman"/>
                      <w:szCs w:val="21"/>
                    </w:rPr>
                    <w:t>满足</w:t>
                  </w:r>
                  <w:r>
                    <w:rPr>
                      <w:rFonts w:ascii="Times New Roman" w:hAnsi="Times New Roman" w:cs="Times New Roman"/>
                      <w:szCs w:val="21"/>
                    </w:rPr>
                    <w:t>《低挥发性有机化合物含量涂料产品技术要求》（GB/T38597-2020）表的要求，因此本项目</w:t>
                  </w:r>
                  <w:r>
                    <w:rPr>
                      <w:rFonts w:hint="eastAsia" w:ascii="Times New Roman" w:hAnsi="Times New Roman" w:cs="Times New Roman"/>
                      <w:szCs w:val="21"/>
                    </w:rPr>
                    <w:t>水性漆</w:t>
                  </w:r>
                  <w:r>
                    <w:rPr>
                      <w:rFonts w:ascii="Times New Roman" w:hAnsi="Times New Roman" w:cs="Times New Roman"/>
                      <w:szCs w:val="21"/>
                    </w:rPr>
                    <w:t>含量属于低</w:t>
                  </w:r>
                  <w:r>
                    <w:rPr>
                      <w:rFonts w:hint="eastAsia" w:ascii="Times New Roman" w:hAnsi="Times New Roman" w:cs="Times New Roman"/>
                      <w:szCs w:val="21"/>
                    </w:rPr>
                    <w:t>VOCs</w:t>
                  </w:r>
                  <w:r>
                    <w:rPr>
                      <w:rFonts w:ascii="Times New Roman" w:hAnsi="Times New Roman" w:cs="Times New Roman"/>
                      <w:szCs w:val="21"/>
                    </w:rPr>
                    <w:t>含量涂料，符合国家标准</w:t>
                  </w:r>
                  <w:r>
                    <w:rPr>
                      <w:rFonts w:hint="eastAsia" w:ascii="Times New Roman" w:hAnsi="Times New Roman" w:cs="Times New Roman"/>
                      <w:szCs w:val="21"/>
                      <w:lang w:eastAsia="zh-CN"/>
                    </w:rPr>
                    <w:t>。</w:t>
                  </w:r>
                </w:p>
              </w:tc>
              <w:tc>
                <w:tcPr>
                  <w:tcW w:w="636" w:type="pct"/>
                  <w:tcBorders>
                    <w:tl2br w:val="nil"/>
                    <w:tr2bl w:val="nil"/>
                  </w:tcBorders>
                  <w:vAlign w:val="center"/>
                </w:tcPr>
                <w:p w14:paraId="356348E1">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14:paraId="77985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tcBorders>
                    <w:tl2br w:val="nil"/>
                    <w:tr2bl w:val="nil"/>
                  </w:tcBorders>
                  <w:vAlign w:val="center"/>
                </w:tcPr>
                <w:p w14:paraId="50DD3C7D">
                  <w:pPr>
                    <w:pStyle w:val="2"/>
                    <w:adjustRightInd w:val="0"/>
                    <w:snapToGrid w:val="0"/>
                    <w:ind w:left="0" w:leftChars="0" w:firstLine="0" w:firstLineChars="0"/>
                    <w:jc w:val="center"/>
                    <w:rPr>
                      <w:rFonts w:ascii="Times New Roman" w:hAnsi="Times New Roman" w:cs="Times New Roman"/>
                      <w:szCs w:val="21"/>
                    </w:rPr>
                  </w:pPr>
                  <w:r>
                    <w:rPr>
                      <w:rFonts w:ascii="Times New Roman" w:hAnsi="Times New Roman" w:cs="Times New Roman"/>
                      <w:szCs w:val="21"/>
                    </w:rPr>
                    <w:t>《宝鸡市大气污染防治条例》</w:t>
                  </w:r>
                </w:p>
              </w:tc>
              <w:tc>
                <w:tcPr>
                  <w:tcW w:w="1520" w:type="pct"/>
                  <w:tcBorders>
                    <w:tl2br w:val="nil"/>
                    <w:tr2bl w:val="nil"/>
                  </w:tcBorders>
                  <w:vAlign w:val="center"/>
                </w:tcPr>
                <w:p w14:paraId="102C79A1">
                  <w:pPr>
                    <w:pStyle w:val="66"/>
                    <w:jc w:val="both"/>
                    <w:rPr>
                      <w:rFonts w:hint="eastAsia" w:eastAsia="宋体"/>
                      <w:lang w:eastAsia="zh-CN"/>
                    </w:rPr>
                  </w:pPr>
                  <w:r>
                    <w:rPr>
                      <w:bCs/>
                    </w:rPr>
                    <w:t>第四十一条 生产、进口、销售和使用含挥发性有机物的原材料和产品的，其挥发性有机物含量应当符合质量标准或者要求。鼓励生产、进口、销售和使用低毒、低挥发性有机溶剂。产生含挥发性有机物废气的生产和服务活动，应当在密闭空间或者设备中进行，并按照规定安装、使用污染防治设施；无法密闭的，应当采取措施减少废气排放</w:t>
                  </w:r>
                  <w:r>
                    <w:rPr>
                      <w:rFonts w:hint="eastAsia"/>
                      <w:bCs/>
                      <w:lang w:eastAsia="zh-CN"/>
                    </w:rPr>
                    <w:t>。</w:t>
                  </w:r>
                </w:p>
              </w:tc>
              <w:tc>
                <w:tcPr>
                  <w:tcW w:w="1503" w:type="pct"/>
                  <w:tcBorders>
                    <w:tl2br w:val="nil"/>
                    <w:tr2bl w:val="nil"/>
                  </w:tcBorders>
                  <w:vAlign w:val="center"/>
                </w:tcPr>
                <w:p w14:paraId="547F69E5">
                  <w:pPr>
                    <w:adjustRightInd w:val="0"/>
                    <w:snapToGrid w:val="0"/>
                    <w:rPr>
                      <w:rFonts w:hint="eastAsia" w:ascii="Times New Roman" w:hAnsi="Times New Roman" w:cs="Times New Roman" w:eastAsiaTheme="minorEastAsia"/>
                      <w:szCs w:val="21"/>
                      <w:lang w:eastAsia="zh-CN"/>
                    </w:rPr>
                  </w:pPr>
                  <w:r>
                    <w:rPr>
                      <w:rFonts w:ascii="Times New Roman" w:hAnsi="Times New Roman" w:cs="Times New Roman"/>
                      <w:szCs w:val="21"/>
                    </w:rPr>
                    <w:t>本项目使用的</w:t>
                  </w:r>
                  <w:r>
                    <w:rPr>
                      <w:rFonts w:hint="eastAsia" w:ascii="Times New Roman" w:hAnsi="Times New Roman" w:cs="Times New Roman"/>
                      <w:szCs w:val="21"/>
                    </w:rPr>
                    <w:t>水性漆VOCs</w:t>
                  </w:r>
                  <w:r>
                    <w:rPr>
                      <w:rFonts w:ascii="Times New Roman" w:hAnsi="Times New Roman" w:cs="Times New Roman"/>
                      <w:bCs/>
                      <w:szCs w:val="21"/>
                    </w:rPr>
                    <w:t>量均符合相关标准要求；</w:t>
                  </w:r>
                  <w:r>
                    <w:rPr>
                      <w:rFonts w:ascii="Times New Roman" w:hAnsi="Times New Roman" w:cs="Times New Roman"/>
                      <w:szCs w:val="21"/>
                    </w:rPr>
                    <w:t>排放的挥发性有机物经负压收集后</w:t>
                  </w:r>
                  <w:r>
                    <w:rPr>
                      <w:rFonts w:ascii="Times New Roman" w:hAnsi="Times New Roman" w:cs="Times New Roman"/>
                      <w:kern w:val="0"/>
                      <w:szCs w:val="21"/>
                    </w:rPr>
                    <w:t>采用</w:t>
                  </w:r>
                  <w:r>
                    <w:rPr>
                      <w:rFonts w:hint="eastAsia" w:ascii="Times New Roman" w:hAnsi="Times New Roman" w:cs="Times New Roman"/>
                      <w:szCs w:val="21"/>
                    </w:rPr>
                    <w:t>二级活性炭吸附</w:t>
                  </w:r>
                  <w:r>
                    <w:rPr>
                      <w:rFonts w:ascii="Times New Roman" w:hAnsi="Times New Roman" w:cs="Times New Roman"/>
                      <w:kern w:val="0"/>
                      <w:szCs w:val="21"/>
                    </w:rPr>
                    <w:t>装置</w:t>
                  </w:r>
                  <w:r>
                    <w:rPr>
                      <w:rFonts w:ascii="Times New Roman" w:hAnsi="Times New Roman" w:cs="Times New Roman"/>
                      <w:szCs w:val="21"/>
                    </w:rPr>
                    <w:t>处理后有组织排放</w:t>
                  </w:r>
                  <w:r>
                    <w:rPr>
                      <w:rFonts w:hint="eastAsia" w:ascii="Times New Roman" w:hAnsi="Times New Roman" w:cs="Times New Roman"/>
                      <w:szCs w:val="21"/>
                      <w:lang w:eastAsia="zh-CN"/>
                    </w:rPr>
                    <w:t>。</w:t>
                  </w:r>
                </w:p>
              </w:tc>
              <w:tc>
                <w:tcPr>
                  <w:tcW w:w="636" w:type="pct"/>
                  <w:tcBorders>
                    <w:tl2br w:val="nil"/>
                    <w:tr2bl w:val="nil"/>
                  </w:tcBorders>
                  <w:vAlign w:val="center"/>
                </w:tcPr>
                <w:p w14:paraId="5E5FBFA1">
                  <w:pPr>
                    <w:pStyle w:val="64"/>
                    <w:adjustRightInd w:val="0"/>
                    <w:snapToGrid w:val="0"/>
                    <w:rPr>
                      <w:rFonts w:ascii="Times New Roman" w:hAnsi="Times New Roman" w:cs="Times New Roman"/>
                      <w:szCs w:val="21"/>
                    </w:rPr>
                  </w:pPr>
                  <w:r>
                    <w:rPr>
                      <w:rFonts w:ascii="Times New Roman" w:hAnsi="Times New Roman" w:cs="Times New Roman"/>
                      <w:szCs w:val="21"/>
                    </w:rPr>
                    <w:t>符合</w:t>
                  </w:r>
                </w:p>
              </w:tc>
            </w:tr>
            <w:tr w14:paraId="2B2D07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vMerge w:val="restart"/>
                  <w:tcBorders>
                    <w:tl2br w:val="nil"/>
                    <w:tr2bl w:val="nil"/>
                  </w:tcBorders>
                  <w:vAlign w:val="center"/>
                </w:tcPr>
                <w:p w14:paraId="13BAC61A">
                  <w:pPr>
                    <w:widowControl/>
                    <w:adjustRightInd w:val="0"/>
                    <w:snapToGrid w:val="0"/>
                    <w:jc w:val="center"/>
                    <w:rPr>
                      <w:rFonts w:ascii="Times New Roman" w:hAnsi="Times New Roman" w:cs="Times New Roman"/>
                      <w:szCs w:val="21"/>
                    </w:rPr>
                  </w:pPr>
                  <w:r>
                    <w:rPr>
                      <w:rFonts w:ascii="Times New Roman" w:hAnsi="Times New Roman" w:eastAsia="宋体" w:cs="Times New Roman"/>
                      <w:bCs/>
                      <w:szCs w:val="21"/>
                    </w:rPr>
                    <w:t>《深入打好重污染天气消除、臭氧污染防治和柴油货车污染治理攻坚战行动方案》</w:t>
                  </w:r>
                </w:p>
              </w:tc>
              <w:tc>
                <w:tcPr>
                  <w:tcW w:w="1520" w:type="pct"/>
                  <w:tcBorders>
                    <w:tl2br w:val="nil"/>
                    <w:tr2bl w:val="nil"/>
                  </w:tcBorders>
                  <w:vAlign w:val="center"/>
                </w:tcPr>
                <w:p w14:paraId="7B8CF097">
                  <w:pPr>
                    <w:widowControl/>
                    <w:adjustRightInd w:val="0"/>
                    <w:snapToGrid w:val="0"/>
                    <w:rPr>
                      <w:rFonts w:ascii="Times New Roman" w:hAnsi="Times New Roman" w:eastAsia="宋体" w:cs="Times New Roman"/>
                      <w:bCs/>
                      <w:szCs w:val="21"/>
                    </w:rPr>
                  </w:pPr>
                  <w:r>
                    <w:rPr>
                      <w:rFonts w:ascii="Times New Roman" w:hAnsi="Times New Roman" w:eastAsia="宋体" w:cs="Times New Roman"/>
                      <w:bCs/>
                      <w:szCs w:val="21"/>
                    </w:rPr>
                    <w:t>加强非甲烷总烃源头、过程、末端全流程治理</w:t>
                  </w:r>
                </w:p>
              </w:tc>
              <w:tc>
                <w:tcPr>
                  <w:tcW w:w="1503" w:type="pct"/>
                  <w:tcBorders>
                    <w:tl2br w:val="nil"/>
                    <w:tr2bl w:val="nil"/>
                  </w:tcBorders>
                  <w:vAlign w:val="center"/>
                </w:tcPr>
                <w:p w14:paraId="1A923A5E">
                  <w:pPr>
                    <w:widowControl/>
                    <w:adjustRightInd w:val="0"/>
                    <w:snapToGrid w:val="0"/>
                    <w:rPr>
                      <w:rFonts w:hint="eastAsia" w:ascii="Times New Roman" w:hAnsi="Times New Roman" w:eastAsia="宋体" w:cs="Times New Roman"/>
                      <w:bCs/>
                      <w:szCs w:val="21"/>
                      <w:lang w:eastAsia="zh-CN"/>
                    </w:rPr>
                  </w:pPr>
                  <w:r>
                    <w:rPr>
                      <w:rFonts w:ascii="Times New Roman" w:hAnsi="Times New Roman" w:eastAsia="宋体" w:cs="Times New Roman"/>
                      <w:kern w:val="0"/>
                      <w:szCs w:val="21"/>
                      <w:lang w:bidi="ar"/>
                    </w:rPr>
                    <w:t>项目</w:t>
                  </w:r>
                  <w:r>
                    <w:rPr>
                      <w:rFonts w:hint="eastAsia" w:ascii="Times New Roman" w:hAnsi="Times New Roman" w:eastAsia="宋体" w:cs="Times New Roman"/>
                      <w:kern w:val="0"/>
                      <w:szCs w:val="21"/>
                      <w:lang w:bidi="ar"/>
                    </w:rPr>
                    <w:t>自动</w:t>
                  </w:r>
                  <w:r>
                    <w:rPr>
                      <w:rFonts w:ascii="Times New Roman" w:hAnsi="Times New Roman" w:eastAsia="宋体" w:cs="Times New Roman"/>
                      <w:kern w:val="0"/>
                      <w:szCs w:val="21"/>
                      <w:lang w:bidi="ar"/>
                    </w:rPr>
                    <w:t>喷漆工序在密闭微负压内进行，</w:t>
                  </w:r>
                  <w:r>
                    <w:rPr>
                      <w:rFonts w:hint="eastAsia" w:ascii="Times New Roman" w:hAnsi="Times New Roman" w:eastAsia="宋体" w:cs="Times New Roman"/>
                      <w:kern w:val="0"/>
                      <w:szCs w:val="21"/>
                      <w:lang w:bidi="ar"/>
                    </w:rPr>
                    <w:t>烘干工序在密闭条件进行，</w:t>
                  </w:r>
                  <w:r>
                    <w:rPr>
                      <w:rFonts w:ascii="Times New Roman" w:hAnsi="Times New Roman" w:eastAsia="宋体" w:cs="Times New Roman"/>
                      <w:kern w:val="0"/>
                      <w:szCs w:val="21"/>
                      <w:lang w:bidi="ar"/>
                    </w:rPr>
                    <w:t>喷涂废气</w:t>
                  </w:r>
                  <w:r>
                    <w:rPr>
                      <w:rFonts w:hint="eastAsia" w:ascii="Times New Roman" w:hAnsi="Times New Roman" w:eastAsia="宋体" w:cs="Times New Roman"/>
                      <w:kern w:val="0"/>
                      <w:szCs w:val="21"/>
                      <w:lang w:bidi="ar"/>
                    </w:rPr>
                    <w:t>（含烘干废气）</w:t>
                  </w:r>
                  <w:r>
                    <w:rPr>
                      <w:rFonts w:ascii="Times New Roman" w:hAnsi="Times New Roman" w:eastAsia="宋体" w:cs="Times New Roman"/>
                      <w:kern w:val="0"/>
                      <w:szCs w:val="21"/>
                      <w:lang w:bidi="ar"/>
                    </w:rPr>
                    <w:t>采用</w:t>
                  </w:r>
                  <w:r>
                    <w:rPr>
                      <w:rFonts w:hint="eastAsia" w:ascii="Times New Roman" w:hAnsi="Times New Roman" w:cs="Times New Roman"/>
                      <w:szCs w:val="21"/>
                    </w:rPr>
                    <w:t>二级</w:t>
                  </w:r>
                  <w:r>
                    <w:rPr>
                      <w:rFonts w:ascii="Times New Roman" w:hAnsi="Times New Roman" w:cs="Times New Roman"/>
                      <w:szCs w:val="21"/>
                    </w:rPr>
                    <w:t>活性炭</w:t>
                  </w:r>
                  <w:r>
                    <w:rPr>
                      <w:rFonts w:hint="eastAsia" w:ascii="Times New Roman" w:hAnsi="Times New Roman" w:cs="Times New Roman"/>
                      <w:szCs w:val="21"/>
                    </w:rPr>
                    <w:t>吸附装置</w:t>
                  </w:r>
                  <w:r>
                    <w:rPr>
                      <w:rFonts w:ascii="Times New Roman" w:hAnsi="Times New Roman" w:eastAsia="宋体" w:cs="Times New Roman"/>
                      <w:kern w:val="0"/>
                      <w:szCs w:val="21"/>
                      <w:lang w:bidi="ar"/>
                    </w:rPr>
                    <w:t>处理后，通过15m排气筒排放</w:t>
                  </w:r>
                  <w:r>
                    <w:rPr>
                      <w:rFonts w:hint="eastAsia" w:ascii="Times New Roman" w:hAnsi="Times New Roman" w:eastAsia="宋体" w:cs="Times New Roman"/>
                      <w:kern w:val="0"/>
                      <w:szCs w:val="21"/>
                      <w:lang w:eastAsia="zh-CN" w:bidi="ar"/>
                    </w:rPr>
                    <w:t>。</w:t>
                  </w:r>
                </w:p>
              </w:tc>
              <w:tc>
                <w:tcPr>
                  <w:tcW w:w="636" w:type="pct"/>
                  <w:tcBorders>
                    <w:tl2br w:val="nil"/>
                    <w:tr2bl w:val="nil"/>
                  </w:tcBorders>
                  <w:vAlign w:val="center"/>
                </w:tcPr>
                <w:p w14:paraId="6C9FC2B1">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2CF82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vMerge w:val="continue"/>
                  <w:tcBorders>
                    <w:tl2br w:val="nil"/>
                    <w:tr2bl w:val="nil"/>
                  </w:tcBorders>
                  <w:vAlign w:val="center"/>
                </w:tcPr>
                <w:p w14:paraId="696E9864">
                  <w:pPr>
                    <w:widowControl/>
                    <w:adjustRightInd w:val="0"/>
                    <w:snapToGrid w:val="0"/>
                    <w:jc w:val="center"/>
                    <w:rPr>
                      <w:rFonts w:ascii="Times New Roman" w:hAnsi="Times New Roman" w:cs="Times New Roman"/>
                      <w:szCs w:val="21"/>
                    </w:rPr>
                  </w:pPr>
                </w:p>
              </w:tc>
              <w:tc>
                <w:tcPr>
                  <w:tcW w:w="1520" w:type="pct"/>
                  <w:tcBorders>
                    <w:tl2br w:val="nil"/>
                    <w:tr2bl w:val="nil"/>
                  </w:tcBorders>
                  <w:vAlign w:val="center"/>
                </w:tcPr>
                <w:p w14:paraId="369A301B">
                  <w:pPr>
                    <w:widowControl/>
                    <w:adjustRightInd w:val="0"/>
                    <w:snapToGrid w:val="0"/>
                    <w:rPr>
                      <w:rFonts w:ascii="Times New Roman" w:hAnsi="Times New Roman" w:eastAsia="宋体" w:cs="Times New Roman"/>
                      <w:bCs/>
                      <w:szCs w:val="21"/>
                    </w:rPr>
                  </w:pPr>
                  <w:r>
                    <w:rPr>
                      <w:rFonts w:ascii="Times New Roman" w:hAnsi="Times New Roman" w:eastAsia="宋体" w:cs="Times New Roman"/>
                      <w:bCs/>
                      <w:szCs w:val="21"/>
                    </w:rPr>
                    <w:t>非甲烷总烃收集治理设施应较生产设备</w:t>
                  </w:r>
                  <w:r>
                    <w:rPr>
                      <w:rFonts w:hint="eastAsia" w:ascii="Times New Roman" w:hAnsi="Times New Roman" w:eastAsia="宋体" w:cs="Times New Roman"/>
                      <w:bCs/>
                      <w:szCs w:val="21"/>
                    </w:rPr>
                    <w:t>“</w:t>
                  </w:r>
                  <w:r>
                    <w:rPr>
                      <w:rFonts w:ascii="Times New Roman" w:hAnsi="Times New Roman" w:eastAsia="宋体" w:cs="Times New Roman"/>
                      <w:bCs/>
                      <w:szCs w:val="21"/>
                    </w:rPr>
                    <w:t>先 启后停</w:t>
                  </w:r>
                  <w:r>
                    <w:rPr>
                      <w:rFonts w:hint="eastAsia" w:ascii="Times New Roman" w:hAnsi="Times New Roman" w:eastAsia="宋体" w:cs="Times New Roman"/>
                      <w:bCs/>
                      <w:szCs w:val="21"/>
                    </w:rPr>
                    <w:t>”</w:t>
                  </w:r>
                  <w:r>
                    <w:rPr>
                      <w:rFonts w:ascii="Times New Roman" w:hAnsi="Times New Roman" w:eastAsia="宋体" w:cs="Times New Roman"/>
                      <w:bCs/>
                      <w:szCs w:val="21"/>
                    </w:rPr>
                    <w:t>。治理设施吸附剂、吸收剂、催化剂等应按设计规范要求定 期更换和利用处置。</w:t>
                  </w:r>
                </w:p>
              </w:tc>
              <w:tc>
                <w:tcPr>
                  <w:tcW w:w="1503" w:type="pct"/>
                  <w:tcBorders>
                    <w:tl2br w:val="nil"/>
                    <w:tr2bl w:val="nil"/>
                  </w:tcBorders>
                  <w:vAlign w:val="center"/>
                </w:tcPr>
                <w:p w14:paraId="2C912457">
                  <w:pPr>
                    <w:widowControl/>
                    <w:adjustRightInd w:val="0"/>
                    <w:snapToGrid w:val="0"/>
                    <w:rPr>
                      <w:rFonts w:hint="eastAsia" w:ascii="Times New Roman" w:hAnsi="Times New Roman" w:eastAsia="宋体" w:cs="Times New Roman"/>
                      <w:bCs/>
                      <w:szCs w:val="21"/>
                      <w:lang w:eastAsia="zh-CN"/>
                    </w:rPr>
                  </w:pPr>
                  <w:r>
                    <w:rPr>
                      <w:rFonts w:ascii="Times New Roman" w:hAnsi="Times New Roman" w:eastAsia="宋体" w:cs="Times New Roman"/>
                      <w:bCs/>
                      <w:szCs w:val="21"/>
                    </w:rPr>
                    <w:t>本项目有机废气治理措施在后期使用过程中应按照</w:t>
                  </w:r>
                  <w:r>
                    <w:rPr>
                      <w:rFonts w:hint="eastAsia" w:ascii="Times New Roman" w:hAnsi="Times New Roman" w:eastAsia="宋体" w:cs="Times New Roman"/>
                      <w:bCs/>
                      <w:szCs w:val="21"/>
                    </w:rPr>
                    <w:t>“</w:t>
                  </w:r>
                  <w:r>
                    <w:rPr>
                      <w:rFonts w:ascii="Times New Roman" w:hAnsi="Times New Roman" w:eastAsia="宋体" w:cs="Times New Roman"/>
                      <w:bCs/>
                      <w:szCs w:val="21"/>
                    </w:rPr>
                    <w:t>先启后停</w:t>
                  </w:r>
                  <w:r>
                    <w:rPr>
                      <w:rFonts w:hint="eastAsia" w:ascii="Times New Roman" w:hAnsi="Times New Roman" w:eastAsia="宋体" w:cs="Times New Roman"/>
                      <w:bCs/>
                      <w:szCs w:val="21"/>
                    </w:rPr>
                    <w:t>”</w:t>
                  </w:r>
                  <w:r>
                    <w:rPr>
                      <w:rFonts w:ascii="Times New Roman" w:hAnsi="Times New Roman" w:eastAsia="宋体" w:cs="Times New Roman"/>
                      <w:bCs/>
                      <w:szCs w:val="21"/>
                    </w:rPr>
                    <w:t>的原则，活性炭应及时更换，更换后的废活性炭暂存于危废贮存库，定期交有资质单位处置</w:t>
                  </w:r>
                  <w:r>
                    <w:rPr>
                      <w:rFonts w:hint="eastAsia" w:ascii="Times New Roman" w:hAnsi="Times New Roman" w:eastAsia="宋体" w:cs="Times New Roman"/>
                      <w:bCs/>
                      <w:szCs w:val="21"/>
                      <w:lang w:eastAsia="zh-CN"/>
                    </w:rPr>
                    <w:t>。</w:t>
                  </w:r>
                </w:p>
              </w:tc>
              <w:tc>
                <w:tcPr>
                  <w:tcW w:w="636" w:type="pct"/>
                  <w:tcBorders>
                    <w:tl2br w:val="nil"/>
                    <w:tr2bl w:val="nil"/>
                  </w:tcBorders>
                  <w:vAlign w:val="center"/>
                </w:tcPr>
                <w:p w14:paraId="0DE8103A">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14:paraId="1B9F56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vMerge w:val="restart"/>
                  <w:tcBorders>
                    <w:tl2br w:val="nil"/>
                    <w:tr2bl w:val="nil"/>
                  </w:tcBorders>
                  <w:vAlign w:val="center"/>
                </w:tcPr>
                <w:p w14:paraId="32B815F1">
                  <w:pPr>
                    <w:adjustRightInd w:val="0"/>
                    <w:snapToGrid w:val="0"/>
                    <w:jc w:val="center"/>
                    <w:rPr>
                      <w:rFonts w:ascii="Times New Roman" w:hAnsi="Times New Roman" w:cs="Times New Roman"/>
                      <w:szCs w:val="21"/>
                    </w:rPr>
                  </w:pPr>
                  <w:r>
                    <w:rPr>
                      <w:rFonts w:ascii="Times New Roman" w:hAnsi="Times New Roman" w:cs="Times New Roman"/>
                      <w:szCs w:val="21"/>
                    </w:rPr>
                    <w:t>《陕西省噪声污染防治行动计划》（2023—2025年）</w:t>
                  </w:r>
                </w:p>
              </w:tc>
              <w:tc>
                <w:tcPr>
                  <w:tcW w:w="1520" w:type="pct"/>
                  <w:tcBorders>
                    <w:tl2br w:val="nil"/>
                    <w:tr2bl w:val="nil"/>
                  </w:tcBorders>
                  <w:vAlign w:val="center"/>
                </w:tcPr>
                <w:p w14:paraId="713B24F3">
                  <w:pPr>
                    <w:pStyle w:val="39"/>
                    <w:autoSpaceDE w:val="0"/>
                    <w:autoSpaceDN w:val="0"/>
                    <w:adjustRightInd w:val="0"/>
                    <w:snapToGrid w:val="0"/>
                    <w:rPr>
                      <w:rFonts w:ascii="Times New Roman" w:hAnsi="Times New Roman" w:eastAsia="宋体" w:cs="Times New Roman"/>
                      <w:bCs/>
                      <w:szCs w:val="21"/>
                    </w:rPr>
                  </w:pPr>
                  <w:r>
                    <w:rPr>
                      <w:rFonts w:ascii="Times New Roman" w:hAnsi="Times New Roman" w:cs="Times New Roman" w:eastAsiaTheme="minorEastAsia"/>
                      <w:szCs w:val="21"/>
                      <w:lang w:val="en-US" w:bidi="ar-SA"/>
                    </w:rPr>
                    <w:t>严格落实噪声污染防治要求。切实加强规划环评工作，充分考虑区域开发等规划内容产生的噪声对声环境质量的影响。可能产生噪声污染的新改扩建项目应当依法开展环评，符合相关规划环评管控要求。建设项目的噪声污染防治设施应当与主体工程同时设计、同时施工、同时投产使用。</w:t>
                  </w:r>
                </w:p>
              </w:tc>
              <w:tc>
                <w:tcPr>
                  <w:tcW w:w="1503" w:type="pct"/>
                  <w:tcBorders>
                    <w:tl2br w:val="nil"/>
                    <w:tr2bl w:val="nil"/>
                  </w:tcBorders>
                  <w:vAlign w:val="center"/>
                </w:tcPr>
                <w:p w14:paraId="6F9CE05D">
                  <w:pPr>
                    <w:widowControl/>
                    <w:adjustRightInd w:val="0"/>
                    <w:snapToGrid w:val="0"/>
                    <w:rPr>
                      <w:rFonts w:ascii="Times New Roman" w:hAnsi="Times New Roman" w:eastAsia="宋体" w:cs="Times New Roman"/>
                      <w:bCs/>
                      <w:szCs w:val="21"/>
                    </w:rPr>
                  </w:pPr>
                  <w:r>
                    <w:rPr>
                      <w:rFonts w:ascii="Times New Roman" w:hAnsi="Times New Roman" w:eastAsia="宋体" w:cs="Times New Roman"/>
                      <w:bCs/>
                      <w:szCs w:val="21"/>
                    </w:rPr>
                    <w:t>项目环评正在办理中，项目噪声防治措施与主体工程同时设计、</w:t>
                  </w:r>
                </w:p>
                <w:p w14:paraId="20102250">
                  <w:pPr>
                    <w:widowControl/>
                    <w:adjustRightInd w:val="0"/>
                    <w:snapToGrid w:val="0"/>
                    <w:rPr>
                      <w:rFonts w:ascii="Times New Roman" w:hAnsi="Times New Roman" w:eastAsia="宋体" w:cs="Times New Roman"/>
                      <w:bCs/>
                      <w:szCs w:val="21"/>
                    </w:rPr>
                  </w:pPr>
                  <w:r>
                    <w:rPr>
                      <w:rFonts w:ascii="Times New Roman" w:hAnsi="Times New Roman" w:eastAsia="宋体" w:cs="Times New Roman"/>
                      <w:bCs/>
                      <w:szCs w:val="21"/>
                    </w:rPr>
                    <w:t>同时施工、同时投产</w:t>
                  </w:r>
                </w:p>
                <w:p w14:paraId="4CE7E574">
                  <w:pPr>
                    <w:widowControl/>
                    <w:adjustRightInd w:val="0"/>
                    <w:snapToGrid w:val="0"/>
                    <w:rPr>
                      <w:rFonts w:ascii="Times New Roman" w:hAnsi="Times New Roman" w:eastAsia="宋体" w:cs="Times New Roman"/>
                      <w:bCs/>
                      <w:szCs w:val="21"/>
                    </w:rPr>
                  </w:pPr>
                  <w:r>
                    <w:rPr>
                      <w:rFonts w:ascii="Times New Roman" w:hAnsi="Times New Roman" w:eastAsia="宋体" w:cs="Times New Roman"/>
                      <w:bCs/>
                      <w:szCs w:val="21"/>
                    </w:rPr>
                    <w:t>使用。</w:t>
                  </w:r>
                </w:p>
              </w:tc>
              <w:tc>
                <w:tcPr>
                  <w:tcW w:w="636" w:type="pct"/>
                  <w:tcBorders>
                    <w:tl2br w:val="nil"/>
                    <w:tr2bl w:val="nil"/>
                  </w:tcBorders>
                  <w:vAlign w:val="center"/>
                </w:tcPr>
                <w:p w14:paraId="06D894A0">
                  <w:pPr>
                    <w:adjustRightInd w:val="0"/>
                    <w:snapToGrid w:val="0"/>
                    <w:jc w:val="center"/>
                    <w:rPr>
                      <w:szCs w:val="21"/>
                    </w:rPr>
                  </w:pPr>
                  <w:r>
                    <w:rPr>
                      <w:rFonts w:ascii="Times New Roman" w:hAnsi="Times New Roman" w:cs="Times New Roman"/>
                      <w:szCs w:val="21"/>
                    </w:rPr>
                    <w:t>符合</w:t>
                  </w:r>
                </w:p>
              </w:tc>
            </w:tr>
            <w:tr w14:paraId="3E9CE1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vMerge w:val="continue"/>
                  <w:tcBorders>
                    <w:tl2br w:val="nil"/>
                    <w:tr2bl w:val="nil"/>
                  </w:tcBorders>
                  <w:vAlign w:val="center"/>
                </w:tcPr>
                <w:p w14:paraId="1EB028CE">
                  <w:pPr>
                    <w:adjustRightInd w:val="0"/>
                    <w:snapToGrid w:val="0"/>
                    <w:jc w:val="center"/>
                    <w:rPr>
                      <w:rFonts w:ascii="Times New Roman" w:hAnsi="Times New Roman" w:cs="Times New Roman"/>
                      <w:szCs w:val="21"/>
                    </w:rPr>
                  </w:pPr>
                </w:p>
              </w:tc>
              <w:tc>
                <w:tcPr>
                  <w:tcW w:w="1520" w:type="pct"/>
                  <w:tcBorders>
                    <w:tl2br w:val="nil"/>
                    <w:tr2bl w:val="nil"/>
                  </w:tcBorders>
                  <w:vAlign w:val="center"/>
                </w:tcPr>
                <w:p w14:paraId="2A09BE81">
                  <w:pPr>
                    <w:pStyle w:val="39"/>
                    <w:autoSpaceDE w:val="0"/>
                    <w:autoSpaceDN w:val="0"/>
                    <w:adjustRightInd w:val="0"/>
                    <w:snapToGrid w:val="0"/>
                    <w:jc w:val="left"/>
                    <w:rPr>
                      <w:rFonts w:ascii="Times New Roman" w:hAnsi="Times New Roman" w:eastAsia="宋体" w:cs="Times New Roman"/>
                      <w:bCs/>
                      <w:szCs w:val="21"/>
                    </w:rPr>
                  </w:pPr>
                  <w:r>
                    <w:rPr>
                      <w:rFonts w:ascii="Times New Roman" w:hAnsi="Times New Roman" w:cs="Times New Roman" w:eastAsiaTheme="minorEastAsia"/>
                      <w:szCs w:val="21"/>
                      <w:lang w:val="en-US" w:bidi="ar-SA"/>
                    </w:rPr>
                    <w:t>落实工业噪声过程控制。噪声排放工业企业切实落实噪声污染防治措施，加强厂区内固定设备、运输工具、货物装卸和试车线等声源噪声管理，避免突发噪声扰民。</w:t>
                  </w:r>
                </w:p>
              </w:tc>
              <w:tc>
                <w:tcPr>
                  <w:tcW w:w="1503" w:type="pct"/>
                  <w:tcBorders>
                    <w:tl2br w:val="nil"/>
                    <w:tr2bl w:val="nil"/>
                  </w:tcBorders>
                  <w:vAlign w:val="center"/>
                </w:tcPr>
                <w:p w14:paraId="10CF33B3">
                  <w:pPr>
                    <w:widowControl/>
                    <w:adjustRightInd w:val="0"/>
                    <w:snapToGrid w:val="0"/>
                    <w:jc w:val="left"/>
                    <w:rPr>
                      <w:rFonts w:hint="eastAsia" w:ascii="Times New Roman" w:hAnsi="Times New Roman" w:cs="Times New Roman" w:eastAsiaTheme="minorEastAsia"/>
                      <w:bCs/>
                      <w:szCs w:val="21"/>
                      <w:lang w:eastAsia="zh-CN"/>
                    </w:rPr>
                  </w:pPr>
                  <w:r>
                    <w:rPr>
                      <w:rFonts w:ascii="Times New Roman" w:hAnsi="Times New Roman" w:cs="Times New Roman"/>
                      <w:szCs w:val="21"/>
                    </w:rPr>
                    <w:t>项目运营后的噪声主要来源于设备噪声，经采取基础减振、厂房内部合理布局、厂房隔声、距离衰减等措施可做到达标排放</w:t>
                  </w:r>
                  <w:r>
                    <w:rPr>
                      <w:rFonts w:hint="eastAsia" w:ascii="Times New Roman" w:hAnsi="Times New Roman" w:cs="Times New Roman"/>
                      <w:szCs w:val="21"/>
                      <w:lang w:eastAsia="zh-CN"/>
                    </w:rPr>
                    <w:t>。</w:t>
                  </w:r>
                </w:p>
              </w:tc>
              <w:tc>
                <w:tcPr>
                  <w:tcW w:w="636" w:type="pct"/>
                  <w:tcBorders>
                    <w:tl2br w:val="nil"/>
                    <w:tr2bl w:val="nil"/>
                  </w:tcBorders>
                  <w:vAlign w:val="center"/>
                </w:tcPr>
                <w:p w14:paraId="0DC28EC4">
                  <w:pPr>
                    <w:adjustRightInd w:val="0"/>
                    <w:snapToGrid w:val="0"/>
                    <w:jc w:val="center"/>
                    <w:rPr>
                      <w:szCs w:val="21"/>
                    </w:rPr>
                  </w:pPr>
                  <w:r>
                    <w:rPr>
                      <w:rFonts w:ascii="Times New Roman" w:hAnsi="Times New Roman" w:cs="Times New Roman"/>
                      <w:szCs w:val="21"/>
                    </w:rPr>
                    <w:t>符合</w:t>
                  </w:r>
                </w:p>
              </w:tc>
            </w:tr>
            <w:tr w14:paraId="3A85C9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vMerge w:val="continue"/>
                  <w:tcBorders>
                    <w:tl2br w:val="nil"/>
                    <w:tr2bl w:val="nil"/>
                  </w:tcBorders>
                  <w:vAlign w:val="center"/>
                </w:tcPr>
                <w:p w14:paraId="7DE0B90C">
                  <w:pPr>
                    <w:adjustRightInd w:val="0"/>
                    <w:snapToGrid w:val="0"/>
                    <w:jc w:val="center"/>
                    <w:rPr>
                      <w:rFonts w:ascii="Times New Roman" w:hAnsi="Times New Roman" w:cs="Times New Roman"/>
                      <w:szCs w:val="21"/>
                    </w:rPr>
                  </w:pPr>
                </w:p>
              </w:tc>
              <w:tc>
                <w:tcPr>
                  <w:tcW w:w="1520" w:type="pct"/>
                  <w:tcBorders>
                    <w:tl2br w:val="nil"/>
                    <w:tr2bl w:val="nil"/>
                  </w:tcBorders>
                  <w:vAlign w:val="center"/>
                </w:tcPr>
                <w:p w14:paraId="62966269">
                  <w:pPr>
                    <w:pStyle w:val="39"/>
                    <w:autoSpaceDE w:val="0"/>
                    <w:autoSpaceDN w:val="0"/>
                    <w:adjustRightInd w:val="0"/>
                    <w:snapToGrid w:val="0"/>
                    <w:jc w:val="both"/>
                    <w:rPr>
                      <w:rFonts w:ascii="Times New Roman" w:hAnsi="Times New Roman" w:eastAsia="宋体" w:cs="Times New Roman"/>
                      <w:bCs/>
                      <w:szCs w:val="21"/>
                    </w:rPr>
                  </w:pPr>
                  <w:r>
                    <w:rPr>
                      <w:rFonts w:ascii="Times New Roman" w:hAnsi="Times New Roman" w:cs="Times New Roman" w:eastAsiaTheme="minorEastAsia"/>
                      <w:szCs w:val="21"/>
                      <w:lang w:val="en-US" w:bidi="ar-SA"/>
                    </w:rPr>
                    <w:t>加严噪声敏感建筑物集中区域施工要求。噪声敏感建筑物集中区域的施工场地应优先使用低噪声施工工艺和设备，采取减振降噪措施，加强进出场地运输车辆管理。建设单位应根据国家规定设置噪声自动监测系统，与监督管理部门联网。加强夜间施工噪声管控。严格夜间施工噪声管控，完善夜间施工证明申报、审核、时限及施工管理要求，并依法进行公示公告。鼓励各市探索实施重点项目昼间通行保障措施，减少夜间施工扰民。</w:t>
                  </w:r>
                </w:p>
              </w:tc>
              <w:tc>
                <w:tcPr>
                  <w:tcW w:w="1503" w:type="pct"/>
                  <w:tcBorders>
                    <w:tl2br w:val="nil"/>
                    <w:tr2bl w:val="nil"/>
                  </w:tcBorders>
                  <w:vAlign w:val="center"/>
                </w:tcPr>
                <w:p w14:paraId="61F47E25">
                  <w:pPr>
                    <w:widowControl/>
                    <w:adjustRightInd w:val="0"/>
                    <w:snapToGrid w:val="0"/>
                    <w:jc w:val="both"/>
                    <w:rPr>
                      <w:rFonts w:ascii="Times New Roman" w:hAnsi="Times New Roman" w:eastAsia="宋体" w:cs="Times New Roman"/>
                      <w:bCs/>
                      <w:szCs w:val="21"/>
                    </w:rPr>
                  </w:pPr>
                  <w:r>
                    <w:rPr>
                      <w:rFonts w:ascii="Times New Roman" w:hAnsi="Times New Roman" w:cs="Times New Roman"/>
                      <w:szCs w:val="21"/>
                    </w:rPr>
                    <w:t>项目施工期禁止22:00以后施工，同时高噪声设备尽量布置在厂区</w:t>
                  </w:r>
                  <w:r>
                    <w:rPr>
                      <w:rFonts w:hint="eastAsia" w:ascii="Times New Roman" w:hAnsi="Times New Roman" w:cs="Times New Roman"/>
                      <w:szCs w:val="21"/>
                    </w:rPr>
                    <w:t>北</w:t>
                  </w:r>
                  <w:r>
                    <w:rPr>
                      <w:rFonts w:ascii="Times New Roman" w:hAnsi="Times New Roman" w:cs="Times New Roman"/>
                      <w:szCs w:val="21"/>
                    </w:rPr>
                    <w:t>侧，</w:t>
                  </w:r>
                  <w:r>
                    <w:rPr>
                      <w:rFonts w:hint="eastAsia" w:ascii="Times New Roman" w:hAnsi="Times New Roman" w:cs="Times New Roman"/>
                      <w:szCs w:val="21"/>
                    </w:rPr>
                    <w:t>远离噪声敏感区，</w:t>
                  </w:r>
                  <w:r>
                    <w:rPr>
                      <w:rFonts w:ascii="Times New Roman" w:hAnsi="Times New Roman" w:cs="Times New Roman"/>
                      <w:szCs w:val="21"/>
                    </w:rPr>
                    <w:t>加强施工期运输车辆管理，不会对周边敏感点影响。</w:t>
                  </w:r>
                </w:p>
              </w:tc>
              <w:tc>
                <w:tcPr>
                  <w:tcW w:w="636" w:type="pct"/>
                  <w:tcBorders>
                    <w:tl2br w:val="nil"/>
                    <w:tr2bl w:val="nil"/>
                  </w:tcBorders>
                  <w:vAlign w:val="center"/>
                </w:tcPr>
                <w:p w14:paraId="66513828">
                  <w:pPr>
                    <w:adjustRightInd w:val="0"/>
                    <w:snapToGrid w:val="0"/>
                    <w:jc w:val="center"/>
                    <w:rPr>
                      <w:szCs w:val="21"/>
                    </w:rPr>
                  </w:pPr>
                  <w:r>
                    <w:rPr>
                      <w:rFonts w:ascii="Times New Roman" w:hAnsi="Times New Roman" w:cs="Times New Roman"/>
                      <w:szCs w:val="21"/>
                    </w:rPr>
                    <w:t>符合</w:t>
                  </w:r>
                </w:p>
              </w:tc>
            </w:tr>
            <w:tr w14:paraId="3B3D8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vMerge w:val="continue"/>
                  <w:tcBorders>
                    <w:tl2br w:val="nil"/>
                    <w:tr2bl w:val="nil"/>
                  </w:tcBorders>
                  <w:vAlign w:val="center"/>
                </w:tcPr>
                <w:p w14:paraId="19066241">
                  <w:pPr>
                    <w:adjustRightInd w:val="0"/>
                    <w:snapToGrid w:val="0"/>
                    <w:jc w:val="center"/>
                    <w:rPr>
                      <w:rFonts w:ascii="Times New Roman" w:hAnsi="Times New Roman" w:cs="Times New Roman"/>
                      <w:szCs w:val="21"/>
                    </w:rPr>
                  </w:pPr>
                </w:p>
              </w:tc>
              <w:tc>
                <w:tcPr>
                  <w:tcW w:w="1520" w:type="pct"/>
                  <w:tcBorders>
                    <w:tl2br w:val="nil"/>
                    <w:tr2bl w:val="nil"/>
                  </w:tcBorders>
                  <w:vAlign w:val="center"/>
                </w:tcPr>
                <w:p w14:paraId="5B843A48">
                  <w:pPr>
                    <w:pStyle w:val="39"/>
                    <w:autoSpaceDE w:val="0"/>
                    <w:autoSpaceDN w:val="0"/>
                    <w:adjustRightInd w:val="0"/>
                    <w:snapToGrid w:val="0"/>
                    <w:jc w:val="both"/>
                    <w:rPr>
                      <w:rFonts w:hint="eastAsia" w:ascii="Times New Roman" w:hAnsi="Times New Roman" w:cs="Times New Roman" w:eastAsiaTheme="minorEastAsia"/>
                      <w:bCs/>
                      <w:szCs w:val="21"/>
                      <w:lang w:eastAsia="zh-CN"/>
                    </w:rPr>
                  </w:pPr>
                  <w:r>
                    <w:rPr>
                      <w:rFonts w:ascii="Times New Roman" w:hAnsi="Times New Roman" w:cs="Times New Roman" w:eastAsiaTheme="minorEastAsia"/>
                      <w:szCs w:val="21"/>
                      <w:lang w:val="en-US" w:bidi="ar-SA"/>
                    </w:rPr>
                    <w:t>开展噪声监测量值溯源。按照国家规范要求，加强与噪声监测相关计量标准建设，督导各主管部门做好噪声监测类仪器的检定校准工作，有效支撑声环境质量评价和噪声污染治理</w:t>
                  </w:r>
                  <w:r>
                    <w:rPr>
                      <w:rFonts w:hint="eastAsia" w:ascii="Times New Roman" w:hAnsi="Times New Roman" w:cs="Times New Roman" w:eastAsiaTheme="minorEastAsia"/>
                      <w:szCs w:val="21"/>
                      <w:lang w:val="en-US" w:eastAsia="zh-CN" w:bidi="ar-SA"/>
                    </w:rPr>
                    <w:t>。</w:t>
                  </w:r>
                </w:p>
              </w:tc>
              <w:tc>
                <w:tcPr>
                  <w:tcW w:w="1503" w:type="pct"/>
                  <w:tcBorders>
                    <w:tl2br w:val="nil"/>
                    <w:tr2bl w:val="nil"/>
                  </w:tcBorders>
                  <w:vAlign w:val="center"/>
                </w:tcPr>
                <w:p w14:paraId="00576C6E">
                  <w:pPr>
                    <w:widowControl/>
                    <w:adjustRightInd w:val="0"/>
                    <w:snapToGrid w:val="0"/>
                    <w:jc w:val="both"/>
                    <w:rPr>
                      <w:rFonts w:hint="eastAsia" w:ascii="Times New Roman" w:hAnsi="Times New Roman" w:cs="Times New Roman" w:eastAsiaTheme="minorEastAsia"/>
                      <w:bCs/>
                      <w:szCs w:val="21"/>
                      <w:lang w:eastAsia="zh-CN"/>
                    </w:rPr>
                  </w:pPr>
                  <w:r>
                    <w:rPr>
                      <w:rFonts w:ascii="Times New Roman" w:hAnsi="Times New Roman" w:cs="Times New Roman"/>
                      <w:szCs w:val="21"/>
                    </w:rPr>
                    <w:t>环评要求建设单位严格按照《排污单位自行监测技术指南 总则》（HJ819—2017）中要求的频次对厂界噪声进行例行监测</w:t>
                  </w:r>
                  <w:r>
                    <w:rPr>
                      <w:rFonts w:hint="eastAsia" w:ascii="Times New Roman" w:hAnsi="Times New Roman" w:cs="Times New Roman"/>
                      <w:szCs w:val="21"/>
                      <w:lang w:eastAsia="zh-CN"/>
                    </w:rPr>
                    <w:t>。</w:t>
                  </w:r>
                </w:p>
              </w:tc>
              <w:tc>
                <w:tcPr>
                  <w:tcW w:w="636" w:type="pct"/>
                  <w:tcBorders>
                    <w:tl2br w:val="nil"/>
                    <w:tr2bl w:val="nil"/>
                  </w:tcBorders>
                  <w:vAlign w:val="center"/>
                </w:tcPr>
                <w:p w14:paraId="00D67006">
                  <w:pPr>
                    <w:adjustRightInd w:val="0"/>
                    <w:snapToGrid w:val="0"/>
                    <w:jc w:val="center"/>
                    <w:rPr>
                      <w:szCs w:val="21"/>
                    </w:rPr>
                  </w:pPr>
                  <w:r>
                    <w:rPr>
                      <w:rFonts w:ascii="Times New Roman" w:hAnsi="Times New Roman" w:cs="Times New Roman"/>
                      <w:szCs w:val="21"/>
                    </w:rPr>
                    <w:t>符合</w:t>
                  </w:r>
                </w:p>
              </w:tc>
            </w:tr>
            <w:tr w14:paraId="1E5921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tcBorders>
                    <w:tl2br w:val="nil"/>
                    <w:tr2bl w:val="nil"/>
                  </w:tcBorders>
                  <w:vAlign w:val="center"/>
                </w:tcPr>
                <w:p w14:paraId="5C7F9E83">
                  <w:pPr>
                    <w:adjustRightInd w:val="0"/>
                    <w:snapToGrid w:val="0"/>
                    <w:jc w:val="center"/>
                    <w:rPr>
                      <w:rFonts w:ascii="Times New Roman" w:hAnsi="Times New Roman" w:eastAsia="宋体" w:cs="Times New Roman"/>
                      <w:szCs w:val="21"/>
                      <w:lang w:val="zh-CN"/>
                    </w:rPr>
                  </w:pPr>
                  <w:r>
                    <w:rPr>
                      <w:rFonts w:hint="eastAsia" w:ascii="Times New Roman" w:hAnsi="Times New Roman" w:eastAsia="宋体" w:cs="Times New Roman"/>
                      <w:szCs w:val="21"/>
                      <w:lang w:val="zh-CN"/>
                    </w:rPr>
                    <w:t>《国家污染防治技术指导目录</w:t>
                  </w:r>
                </w:p>
                <w:p w14:paraId="504C85F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lang w:val="zh-CN"/>
                    </w:rPr>
                    <w:t>（2024年，限制类和淘汰类）》</w:t>
                  </w:r>
                </w:p>
              </w:tc>
              <w:tc>
                <w:tcPr>
                  <w:tcW w:w="3024" w:type="pct"/>
                  <w:gridSpan w:val="2"/>
                  <w:tcBorders>
                    <w:tl2br w:val="nil"/>
                    <w:tr2bl w:val="nil"/>
                  </w:tcBorders>
                  <w:vAlign w:val="center"/>
                </w:tcPr>
                <w:p w14:paraId="55FD9748">
                  <w:pPr>
                    <w:widowControl/>
                    <w:adjustRightInd w:val="0"/>
                    <w:snapToGrid w:val="0"/>
                    <w:rPr>
                      <w:rFonts w:hint="eastAsia" w:ascii="Times New Roman" w:hAnsi="Times New Roman" w:cs="Times New Roman" w:eastAsiaTheme="minorEastAsia"/>
                      <w:szCs w:val="21"/>
                      <w:lang w:eastAsia="zh-CN"/>
                    </w:rPr>
                  </w:pPr>
                  <w:r>
                    <w:rPr>
                      <w:rFonts w:hint="eastAsia" w:ascii="Times New Roman" w:hAnsi="Times New Roman" w:cs="Times New Roman"/>
                      <w:szCs w:val="21"/>
                    </w:rPr>
                    <w:t>对照该目录，喷砂粉尘采用高效脉冲布袋除尘器，不属于名录中的限制类和淘汰类处理工艺；有机废气采用二级活性炭吸附处理，不属于名录中的限制类和淘汰类处理工艺</w:t>
                  </w:r>
                  <w:r>
                    <w:rPr>
                      <w:rFonts w:hint="eastAsia" w:ascii="Times New Roman" w:hAnsi="Times New Roman" w:cs="Times New Roman"/>
                      <w:szCs w:val="21"/>
                      <w:lang w:eastAsia="zh-CN"/>
                    </w:rPr>
                    <w:t>。</w:t>
                  </w:r>
                </w:p>
              </w:tc>
              <w:tc>
                <w:tcPr>
                  <w:tcW w:w="636" w:type="pct"/>
                  <w:tcBorders>
                    <w:tl2br w:val="nil"/>
                    <w:tr2bl w:val="nil"/>
                  </w:tcBorders>
                  <w:vAlign w:val="center"/>
                </w:tcPr>
                <w:p w14:paraId="5D5474E1">
                  <w:pPr>
                    <w:adjustRightInd w:val="0"/>
                    <w:snapToGrid w:val="0"/>
                    <w:jc w:val="center"/>
                    <w:rPr>
                      <w:rFonts w:ascii="Times New Roman" w:hAnsi="Times New Roman" w:cs="Times New Roman"/>
                      <w:szCs w:val="21"/>
                    </w:rPr>
                  </w:pPr>
                  <w:r>
                    <w:rPr>
                      <w:rFonts w:hint="eastAsia" w:ascii="Times New Roman" w:hAnsi="Times New Roman" w:cs="Times New Roman"/>
                      <w:szCs w:val="21"/>
                    </w:rPr>
                    <w:t>符合</w:t>
                  </w:r>
                </w:p>
              </w:tc>
            </w:tr>
            <w:tr w14:paraId="57AF1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tcBorders>
                    <w:tl2br w:val="nil"/>
                    <w:tr2bl w:val="nil"/>
                  </w:tcBorders>
                  <w:vAlign w:val="center"/>
                </w:tcPr>
                <w:p w14:paraId="4F420A85">
                  <w:pPr>
                    <w:adjustRightInd w:val="0"/>
                    <w:snapToGrid w:val="0"/>
                    <w:jc w:val="center"/>
                    <w:rPr>
                      <w:rFonts w:ascii="Times New Roman" w:hAnsi="Times New Roman" w:eastAsia="宋体" w:cs="Times New Roman"/>
                      <w:szCs w:val="21"/>
                      <w:lang w:val="zh-CN"/>
                    </w:rPr>
                  </w:pPr>
                  <w:r>
                    <w:rPr>
                      <w:rFonts w:hint="eastAsia" w:ascii="Times New Roman" w:hAnsi="Times New Roman" w:eastAsia="宋体" w:cs="Times New Roman"/>
                      <w:szCs w:val="21"/>
                      <w:lang w:val="zh-CN"/>
                    </w:rPr>
                    <w:t>《西部地区鼓励类产业目录》</w:t>
                  </w:r>
                </w:p>
                <w:p w14:paraId="1F19FB57">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lang w:val="zh-CN"/>
                    </w:rPr>
                    <w:t>（2025年本）</w:t>
                  </w:r>
                </w:p>
              </w:tc>
              <w:tc>
                <w:tcPr>
                  <w:tcW w:w="3024" w:type="pct"/>
                  <w:gridSpan w:val="2"/>
                  <w:tcBorders>
                    <w:tl2br w:val="nil"/>
                    <w:tr2bl w:val="nil"/>
                  </w:tcBorders>
                  <w:vAlign w:val="center"/>
                </w:tcPr>
                <w:p w14:paraId="72DFBD66">
                  <w:pPr>
                    <w:widowControl/>
                    <w:adjustRightInd w:val="0"/>
                    <w:snapToGrid w:val="0"/>
                    <w:rPr>
                      <w:rFonts w:hint="eastAsia" w:ascii="Times New Roman" w:hAnsi="Times New Roman" w:cs="Times New Roman" w:eastAsiaTheme="minorEastAsia"/>
                      <w:szCs w:val="21"/>
                      <w:lang w:eastAsia="zh-CN"/>
                    </w:rPr>
                  </w:pPr>
                  <w:r>
                    <w:rPr>
                      <w:rFonts w:hint="eastAsia" w:ascii="Times New Roman" w:hAnsi="Times New Roman" w:cs="Times New Roman"/>
                      <w:szCs w:val="21"/>
                    </w:rPr>
                    <w:t>对照该目录中陕西省的鼓励类行业，本项目属于金属表面处理，不在西部地区鼓励类行业范围内</w:t>
                  </w:r>
                  <w:r>
                    <w:rPr>
                      <w:rFonts w:hint="eastAsia" w:ascii="Times New Roman" w:hAnsi="Times New Roman" w:cs="Times New Roman"/>
                      <w:szCs w:val="21"/>
                      <w:lang w:eastAsia="zh-CN"/>
                    </w:rPr>
                    <w:t>。</w:t>
                  </w:r>
                </w:p>
              </w:tc>
              <w:tc>
                <w:tcPr>
                  <w:tcW w:w="636" w:type="pct"/>
                  <w:tcBorders>
                    <w:tl2br w:val="nil"/>
                    <w:tr2bl w:val="nil"/>
                  </w:tcBorders>
                  <w:vAlign w:val="center"/>
                </w:tcPr>
                <w:p w14:paraId="45EB3837">
                  <w:pPr>
                    <w:adjustRightInd w:val="0"/>
                    <w:snapToGrid w:val="0"/>
                    <w:jc w:val="center"/>
                    <w:rPr>
                      <w:rFonts w:ascii="Times New Roman" w:hAnsi="Times New Roman" w:cs="Times New Roman"/>
                      <w:szCs w:val="21"/>
                    </w:rPr>
                  </w:pPr>
                  <w:r>
                    <w:rPr>
                      <w:rFonts w:hint="eastAsia" w:ascii="Times New Roman" w:hAnsi="Times New Roman" w:cs="Times New Roman"/>
                      <w:szCs w:val="21"/>
                    </w:rPr>
                    <w:t>符合</w:t>
                  </w:r>
                </w:p>
              </w:tc>
            </w:tr>
            <w:tr w14:paraId="2AA5D4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tcBorders>
                    <w:tl2br w:val="nil"/>
                    <w:tr2bl w:val="nil"/>
                  </w:tcBorders>
                  <w:vAlign w:val="center"/>
                </w:tcPr>
                <w:p w14:paraId="5E5E0BFF">
                  <w:pPr>
                    <w:adjustRightInd w:val="0"/>
                    <w:snapToGrid w:val="0"/>
                    <w:jc w:val="center"/>
                    <w:rPr>
                      <w:rFonts w:ascii="Times New Roman" w:hAnsi="Times New Roman" w:eastAsia="宋体" w:cs="Times New Roman"/>
                      <w:szCs w:val="21"/>
                      <w:lang w:val="zh-CN"/>
                    </w:rPr>
                  </w:pPr>
                  <w:r>
                    <w:rPr>
                      <w:rFonts w:hint="eastAsia" w:ascii="Times New Roman" w:hAnsi="Times New Roman" w:eastAsia="宋体" w:cs="Times New Roman"/>
                      <w:szCs w:val="21"/>
                      <w:lang w:val="zh-CN"/>
                    </w:rPr>
                    <w:t>《“十四五”节能减排综合工作方案》</w:t>
                  </w:r>
                </w:p>
              </w:tc>
              <w:tc>
                <w:tcPr>
                  <w:tcW w:w="1520" w:type="pct"/>
                  <w:tcBorders>
                    <w:tl2br w:val="nil"/>
                    <w:tr2bl w:val="nil"/>
                  </w:tcBorders>
                  <w:vAlign w:val="center"/>
                </w:tcPr>
                <w:p w14:paraId="6C246E15">
                  <w:pPr>
                    <w:pStyle w:val="39"/>
                    <w:autoSpaceDE w:val="0"/>
                    <w:autoSpaceDN w:val="0"/>
                    <w:adjustRightInd w:val="0"/>
                    <w:snapToGrid w:val="0"/>
                    <w:jc w:val="center"/>
                    <w:rPr>
                      <w:rFonts w:ascii="Times New Roman" w:hAnsi="Times New Roman" w:cs="Times New Roman" w:eastAsiaTheme="minorEastAsia"/>
                      <w:szCs w:val="21"/>
                      <w:lang w:val="en-US" w:bidi="ar-SA"/>
                    </w:rPr>
                  </w:pPr>
                  <w:r>
                    <w:rPr>
                      <w:rFonts w:ascii="Times New Roman" w:hAnsi="Times New Roman" w:cs="Times New Roman" w:eastAsiaTheme="minorEastAsia"/>
                      <w:szCs w:val="21"/>
                      <w:lang w:val="en-US" w:bidi="ar-SA"/>
                    </w:rPr>
                    <w:t>推进原辅材料和产品源头替代工程，实施全过程污染物治理。以工业涂装、包装印刷等行业为重点，推动使用低挥发性有机物含量的涂料、油墨、胶粘剂、清洗剂。深化石化化工等行业挥发性有机物污染治理，全面提升废气收集率、治理设施同步运行率和去除率。</w:t>
                  </w:r>
                </w:p>
              </w:tc>
              <w:tc>
                <w:tcPr>
                  <w:tcW w:w="1503" w:type="pct"/>
                  <w:tcBorders>
                    <w:tl2br w:val="nil"/>
                    <w:tr2bl w:val="nil"/>
                  </w:tcBorders>
                  <w:vAlign w:val="center"/>
                </w:tcPr>
                <w:p w14:paraId="74F657C8">
                  <w:pPr>
                    <w:widowControl/>
                    <w:adjustRightInd w:val="0"/>
                    <w:snapToGrid w:val="0"/>
                    <w:rPr>
                      <w:rFonts w:hint="eastAsia" w:ascii="Times New Roman" w:hAnsi="Times New Roman" w:cs="Times New Roman" w:eastAsiaTheme="minorEastAsia"/>
                      <w:szCs w:val="21"/>
                      <w:lang w:eastAsia="zh-CN"/>
                    </w:rPr>
                  </w:pPr>
                  <w:r>
                    <w:rPr>
                      <w:rFonts w:ascii="Times New Roman" w:hAnsi="Times New Roman" w:cs="Times New Roman"/>
                      <w:szCs w:val="21"/>
                    </w:rPr>
                    <w:t>本项目使用的</w:t>
                  </w:r>
                  <w:r>
                    <w:rPr>
                      <w:rFonts w:hint="eastAsia" w:ascii="Times New Roman" w:hAnsi="Times New Roman" w:cs="Times New Roman"/>
                      <w:szCs w:val="21"/>
                    </w:rPr>
                    <w:t>水性漆VOCs</w:t>
                  </w:r>
                  <w:r>
                    <w:rPr>
                      <w:rFonts w:ascii="Times New Roman" w:hAnsi="Times New Roman" w:cs="Times New Roman"/>
                      <w:bCs/>
                      <w:szCs w:val="21"/>
                    </w:rPr>
                    <w:t>量均符合相关标准要求；</w:t>
                  </w:r>
                  <w:r>
                    <w:rPr>
                      <w:rFonts w:ascii="Times New Roman" w:hAnsi="Times New Roman" w:cs="Times New Roman"/>
                      <w:szCs w:val="21"/>
                    </w:rPr>
                    <w:t>排放的挥发性有机物经负压收集后</w:t>
                  </w:r>
                  <w:r>
                    <w:rPr>
                      <w:rFonts w:ascii="Times New Roman" w:hAnsi="Times New Roman" w:cs="Times New Roman"/>
                      <w:kern w:val="0"/>
                      <w:szCs w:val="21"/>
                    </w:rPr>
                    <w:t>采用</w:t>
                  </w:r>
                  <w:r>
                    <w:rPr>
                      <w:rFonts w:hint="eastAsia" w:ascii="Times New Roman" w:hAnsi="Times New Roman" w:cs="Times New Roman"/>
                      <w:szCs w:val="21"/>
                    </w:rPr>
                    <w:t>二级活性炭吸附</w:t>
                  </w:r>
                  <w:r>
                    <w:rPr>
                      <w:rFonts w:ascii="Times New Roman" w:hAnsi="Times New Roman" w:cs="Times New Roman"/>
                      <w:kern w:val="0"/>
                      <w:szCs w:val="21"/>
                    </w:rPr>
                    <w:t>装置</w:t>
                  </w:r>
                  <w:r>
                    <w:rPr>
                      <w:rFonts w:ascii="Times New Roman" w:hAnsi="Times New Roman" w:cs="Times New Roman"/>
                      <w:szCs w:val="21"/>
                    </w:rPr>
                    <w:t>处理后有组织排放</w:t>
                  </w:r>
                  <w:r>
                    <w:rPr>
                      <w:rFonts w:hint="eastAsia" w:ascii="Times New Roman" w:hAnsi="Times New Roman" w:cs="Times New Roman"/>
                      <w:szCs w:val="21"/>
                      <w:lang w:eastAsia="zh-CN"/>
                    </w:rPr>
                    <w:t>。</w:t>
                  </w:r>
                </w:p>
              </w:tc>
              <w:tc>
                <w:tcPr>
                  <w:tcW w:w="636" w:type="pct"/>
                  <w:tcBorders>
                    <w:tl2br w:val="nil"/>
                    <w:tr2bl w:val="nil"/>
                  </w:tcBorders>
                  <w:vAlign w:val="center"/>
                </w:tcPr>
                <w:p w14:paraId="7727C6FF">
                  <w:pPr>
                    <w:adjustRightInd w:val="0"/>
                    <w:snapToGrid w:val="0"/>
                    <w:jc w:val="center"/>
                    <w:rPr>
                      <w:rFonts w:ascii="Times New Roman" w:hAnsi="Times New Roman" w:cs="Times New Roman"/>
                      <w:szCs w:val="21"/>
                    </w:rPr>
                  </w:pPr>
                  <w:r>
                    <w:rPr>
                      <w:rFonts w:hint="eastAsia" w:ascii="Times New Roman" w:hAnsi="Times New Roman" w:cs="Times New Roman"/>
                      <w:szCs w:val="21"/>
                    </w:rPr>
                    <w:t>符合</w:t>
                  </w:r>
                </w:p>
              </w:tc>
            </w:tr>
            <w:tr w14:paraId="40884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8" w:type="pct"/>
                  <w:tcBorders>
                    <w:tl2br w:val="nil"/>
                    <w:tr2bl w:val="nil"/>
                  </w:tcBorders>
                  <w:vAlign w:val="center"/>
                </w:tcPr>
                <w:p w14:paraId="0BF88973">
                  <w:pPr>
                    <w:jc w:val="center"/>
                    <w:rPr>
                      <w:rFonts w:ascii="Times New Roman" w:hAnsi="Times New Roman" w:cs="Times New Roman"/>
                      <w:szCs w:val="21"/>
                    </w:rPr>
                  </w:pPr>
                  <w:r>
                    <w:rPr>
                      <w:rFonts w:hint="eastAsia" w:ascii="Times New Roman" w:hAnsi="Times New Roman" w:eastAsia="宋体" w:cs="Times New Roman"/>
                      <w:szCs w:val="21"/>
                    </w:rPr>
                    <w:t>《宝鸡市</w:t>
                  </w:r>
                  <w:r>
                    <w:fldChar w:fldCharType="begin"/>
                  </w:r>
                  <w:r>
                    <w:instrText xml:space="preserve"> HYPERLINK "https://huanbao.bjx.com.cn/topics/huanjingkongqizhiliang/" \t "https://huanbao.bjx.com.cn/news/20230822/_blank" </w:instrText>
                  </w:r>
                  <w:r>
                    <w:fldChar w:fldCharType="separate"/>
                  </w:r>
                  <w:r>
                    <w:rPr>
                      <w:rFonts w:ascii="Times New Roman" w:hAnsi="Times New Roman" w:eastAsia="宋体" w:cs="Times New Roman"/>
                      <w:szCs w:val="21"/>
                    </w:rPr>
                    <w:t>环境空气质量</w:t>
                  </w:r>
                  <w:r>
                    <w:rPr>
                      <w:rFonts w:ascii="Times New Roman" w:hAnsi="Times New Roman" w:eastAsia="宋体" w:cs="Times New Roman"/>
                      <w:szCs w:val="21"/>
                    </w:rPr>
                    <w:fldChar w:fldCharType="end"/>
                  </w:r>
                  <w:r>
                    <w:rPr>
                      <w:rFonts w:ascii="Times New Roman" w:hAnsi="Times New Roman" w:eastAsia="宋体" w:cs="Times New Roman"/>
                      <w:szCs w:val="21"/>
                    </w:rPr>
                    <w:t>限期达标规划（2023—2030年）》</w:t>
                  </w:r>
                </w:p>
              </w:tc>
              <w:tc>
                <w:tcPr>
                  <w:tcW w:w="1520" w:type="pct"/>
                  <w:tcBorders>
                    <w:tl2br w:val="nil"/>
                    <w:tr2bl w:val="nil"/>
                  </w:tcBorders>
                  <w:vAlign w:val="center"/>
                </w:tcPr>
                <w:p w14:paraId="0A4A4F1A">
                  <w:pPr>
                    <w:pStyle w:val="39"/>
                    <w:autoSpaceDE w:val="0"/>
                    <w:autoSpaceDN w:val="0"/>
                    <w:adjustRightInd w:val="0"/>
                    <w:snapToGrid w:val="0"/>
                    <w:rPr>
                      <w:rFonts w:ascii="Times New Roman" w:hAnsi="Times New Roman" w:cs="Times New Roman" w:eastAsiaTheme="minorEastAsia"/>
                      <w:szCs w:val="21"/>
                      <w:lang w:val="en-US" w:bidi="ar-SA"/>
                    </w:rPr>
                  </w:pPr>
                  <w:r>
                    <w:rPr>
                      <w:rFonts w:hint="eastAsia" w:ascii="Times New Roman" w:hAnsi="Times New Roman" w:eastAsia="宋体" w:cs="Times New Roman"/>
                      <w:szCs w:val="21"/>
                      <w:lang w:val="en-US" w:bidi="ar-SA"/>
                    </w:rPr>
                    <w:t>坚决遏制“两高”项目盲目发展。严格能耗、环保、质量、安全、技术等综合标准，严禁新增钢铁、焦化、水泥熟料、平板玻璃、电解铝、氧化铝、煤化工产能，合理控制煤制油气产能规模，严控新增炼油产能。不得违规新增化工园区。严格执行《产业结构调整指导目录》，坚决遏制“两高”项目盲目发展。市辖区及开发区新、改、扩建涉气重点行业企业应达到环保绩效A级、绩效引领性水平。</w:t>
                  </w:r>
                </w:p>
              </w:tc>
              <w:tc>
                <w:tcPr>
                  <w:tcW w:w="1503" w:type="pct"/>
                  <w:tcBorders>
                    <w:tl2br w:val="nil"/>
                    <w:tr2bl w:val="nil"/>
                  </w:tcBorders>
                  <w:vAlign w:val="center"/>
                </w:tcPr>
                <w:p w14:paraId="77AD5CFF">
                  <w:pPr>
                    <w:rPr>
                      <w:rFonts w:ascii="Times New Roman" w:hAnsi="Times New Roman" w:cs="Times New Roman"/>
                      <w:kern w:val="0"/>
                      <w:szCs w:val="21"/>
                      <w:lang w:bidi="zh-CN"/>
                    </w:rPr>
                  </w:pPr>
                  <w:r>
                    <w:rPr>
                      <w:rFonts w:hint="eastAsia" w:ascii="Times New Roman" w:hAnsi="Times New Roman" w:cs="Times New Roman"/>
                      <w:kern w:val="0"/>
                      <w:szCs w:val="21"/>
                      <w:lang w:bidi="zh-CN"/>
                    </w:rPr>
                    <w:t>（1）本项目属于</w:t>
                  </w:r>
                  <w:r>
                    <w:rPr>
                      <w:rFonts w:hint="eastAsia" w:ascii="Times New Roman" w:hAnsi="Times New Roman" w:eastAsia="宋体" w:cs="Times New Roman"/>
                      <w:szCs w:val="21"/>
                    </w:rPr>
                    <w:t>金属表面处理</w:t>
                  </w:r>
                  <w:r>
                    <w:rPr>
                      <w:rFonts w:hint="eastAsia" w:ascii="Times New Roman" w:hAnsi="Times New Roman" w:cs="Times New Roman"/>
                      <w:kern w:val="0"/>
                      <w:szCs w:val="21"/>
                      <w:lang w:bidi="zh-CN"/>
                    </w:rPr>
                    <w:t>，不属于上述严格控制的行业；</w:t>
                  </w:r>
                </w:p>
                <w:p w14:paraId="5FBA6997">
                  <w:pPr>
                    <w:rPr>
                      <w:rFonts w:ascii="Times New Roman" w:hAnsi="Times New Roman" w:eastAsia="宋体" w:cs="Times New Roman"/>
                      <w:color w:val="auto"/>
                      <w:kern w:val="0"/>
                      <w:szCs w:val="21"/>
                      <w:lang w:bidi="ar"/>
                    </w:rPr>
                  </w:pPr>
                  <w:r>
                    <w:rPr>
                      <w:rFonts w:hint="eastAsia" w:ascii="Times New Roman" w:hAnsi="Times New Roman" w:cs="Times New Roman"/>
                      <w:kern w:val="0"/>
                      <w:szCs w:val="21"/>
                      <w:lang w:bidi="zh-CN"/>
                    </w:rPr>
                    <w:t>（2）</w:t>
                  </w:r>
                  <w:commentRangeStart w:id="4"/>
                  <w:commentRangeStart w:id="5"/>
                  <w:r>
                    <w:rPr>
                      <w:rFonts w:ascii="Times New Roman" w:hAnsi="Times New Roman" w:eastAsia="宋体" w:cs="Times New Roman"/>
                      <w:kern w:val="0"/>
                      <w:szCs w:val="21"/>
                      <w:lang w:bidi="ar"/>
                    </w:rPr>
                    <w:t>根据《关于进一步加强关中地区涉气重点行业项目环评管理的通知》和《重污染天气重点行业应急减排措施制定技</w:t>
                  </w:r>
                  <w:r>
                    <w:rPr>
                      <w:rFonts w:ascii="Times New Roman" w:hAnsi="Times New Roman" w:eastAsia="宋体" w:cs="Times New Roman"/>
                      <w:color w:val="auto"/>
                      <w:kern w:val="0"/>
                      <w:szCs w:val="21"/>
                      <w:lang w:bidi="ar"/>
                    </w:rPr>
                    <w:t>术指南》</w:t>
                  </w:r>
                  <w:r>
                    <w:rPr>
                      <w:rFonts w:hint="eastAsia" w:ascii="Times New Roman" w:hAnsi="Times New Roman" w:eastAsia="宋体" w:cs="Times New Roman"/>
                      <w:color w:val="auto"/>
                      <w:kern w:val="0"/>
                      <w:szCs w:val="21"/>
                      <w:lang w:bidi="ar"/>
                    </w:rPr>
                    <w:t>（</w:t>
                  </w:r>
                  <w:r>
                    <w:rPr>
                      <w:rFonts w:ascii="Times New Roman" w:hAnsi="Times New Roman" w:eastAsia="宋体" w:cs="Times New Roman"/>
                      <w:color w:val="auto"/>
                      <w:kern w:val="0"/>
                      <w:szCs w:val="21"/>
                      <w:lang w:bidi="ar"/>
                    </w:rPr>
                    <w:t>2020年修订版），</w:t>
                  </w:r>
                </w:p>
                <w:p w14:paraId="18AAD8E2">
                  <w:pPr>
                    <w:rPr>
                      <w:rFonts w:ascii="Times New Roman" w:hAnsi="Times New Roman" w:cs="Times New Roman"/>
                      <w:szCs w:val="21"/>
                    </w:rPr>
                  </w:pPr>
                  <w:r>
                    <w:rPr>
                      <w:rFonts w:hint="eastAsia"/>
                      <w:color w:val="auto"/>
                      <w:lang w:eastAsia="zh-CN"/>
                    </w:rPr>
                    <w:t>在建项目与</w:t>
                  </w:r>
                  <w:r>
                    <w:rPr>
                      <w:rFonts w:ascii="Times New Roman" w:hAnsi="Times New Roman" w:eastAsia="宋体" w:cs="Times New Roman"/>
                      <w:color w:val="auto"/>
                      <w:kern w:val="0"/>
                      <w:szCs w:val="21"/>
                      <w:lang w:bidi="ar"/>
                    </w:rPr>
                    <w:t>本项目</w:t>
                  </w:r>
                  <w:r>
                    <w:rPr>
                      <w:rFonts w:hint="eastAsia" w:ascii="Times New Roman" w:hAnsi="Times New Roman" w:eastAsia="宋体" w:cs="Times New Roman"/>
                      <w:color w:val="auto"/>
                      <w:kern w:val="0"/>
                      <w:szCs w:val="21"/>
                      <w:lang w:eastAsia="zh-CN" w:bidi="ar"/>
                    </w:rPr>
                    <w:t>均涉及工业涂装，</w:t>
                  </w:r>
                  <w:r>
                    <w:rPr>
                      <w:rFonts w:ascii="Times New Roman" w:hAnsi="Times New Roman" w:eastAsia="宋体" w:cs="Times New Roman"/>
                      <w:color w:val="auto"/>
                      <w:kern w:val="0"/>
                      <w:szCs w:val="21"/>
                      <w:lang w:bidi="ar"/>
                    </w:rPr>
                    <w:t>属于重点行业</w:t>
                  </w:r>
                  <w:r>
                    <w:rPr>
                      <w:rFonts w:hint="eastAsia" w:ascii="Times New Roman" w:hAnsi="Times New Roman" w:eastAsia="宋体" w:cs="Times New Roman"/>
                      <w:color w:val="auto"/>
                      <w:kern w:val="0"/>
                      <w:szCs w:val="21"/>
                      <w:lang w:bidi="ar"/>
                    </w:rPr>
                    <w:t>，建成后</w:t>
                  </w:r>
                  <w:r>
                    <w:rPr>
                      <w:rFonts w:hint="eastAsia"/>
                      <w:color w:val="auto"/>
                      <w:lang w:eastAsia="zh-CN"/>
                    </w:rPr>
                    <w:t>在建项目和本项目均</w:t>
                  </w:r>
                  <w:r>
                    <w:rPr>
                      <w:rFonts w:hint="eastAsia" w:ascii="Times New Roman" w:hAnsi="Times New Roman" w:eastAsia="宋体" w:cs="Times New Roman"/>
                      <w:color w:val="auto"/>
                      <w:kern w:val="0"/>
                      <w:szCs w:val="21"/>
                      <w:lang w:bidi="ar"/>
                    </w:rPr>
                    <w:t>需</w:t>
                  </w:r>
                  <w:r>
                    <w:rPr>
                      <w:rFonts w:hint="eastAsia" w:ascii="Times New Roman" w:hAnsi="Times New Roman" w:eastAsia="宋体" w:cs="Times New Roman"/>
                      <w:color w:val="auto"/>
                      <w:szCs w:val="21"/>
                    </w:rPr>
                    <w:t>达到环保绩效A级水</w:t>
                  </w:r>
                  <w:r>
                    <w:rPr>
                      <w:rFonts w:hint="eastAsia" w:ascii="Times New Roman" w:hAnsi="Times New Roman" w:eastAsia="宋体" w:cs="Times New Roman"/>
                      <w:szCs w:val="21"/>
                    </w:rPr>
                    <w:t>平</w:t>
                  </w:r>
                  <w:commentRangeEnd w:id="4"/>
                  <w:r>
                    <w:commentReference w:id="4"/>
                  </w:r>
                  <w:commentRangeEnd w:id="5"/>
                  <w:r>
                    <w:commentReference w:id="5"/>
                  </w:r>
                </w:p>
              </w:tc>
              <w:tc>
                <w:tcPr>
                  <w:tcW w:w="636" w:type="pct"/>
                  <w:tcBorders>
                    <w:tl2br w:val="nil"/>
                    <w:tr2bl w:val="nil"/>
                  </w:tcBorders>
                  <w:vAlign w:val="center"/>
                </w:tcPr>
                <w:p w14:paraId="0839E58E">
                  <w:pPr>
                    <w:pStyle w:val="38"/>
                    <w:spacing w:before="31"/>
                    <w:ind w:left="420" w:hanging="420" w:hangingChars="200"/>
                    <w:rPr>
                      <w:rFonts w:hint="default" w:ascii="Times New Roman"/>
                      <w:szCs w:val="21"/>
                    </w:rPr>
                  </w:pPr>
                  <w:r>
                    <w:rPr>
                      <w:rFonts w:ascii="Times New Roman"/>
                      <w:szCs w:val="21"/>
                    </w:rPr>
                    <w:t>符合</w:t>
                  </w:r>
                </w:p>
              </w:tc>
            </w:tr>
          </w:tbl>
          <w:p w14:paraId="3E6211A4">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根据以上分析，本项目建设符合</w:t>
            </w:r>
            <w:r>
              <w:rPr>
                <w:rFonts w:hint="eastAsia" w:ascii="Times New Roman" w:hAnsi="Times New Roman" w:cs="Times New Roman"/>
                <w:sz w:val="24"/>
                <w:lang w:eastAsia="zh-CN"/>
              </w:rPr>
              <w:t>《</w:t>
            </w:r>
            <w:r>
              <w:rPr>
                <w:rFonts w:ascii="Times New Roman" w:hAnsi="Times New Roman" w:cs="Times New Roman"/>
                <w:sz w:val="24"/>
              </w:rPr>
              <w:t>中华人民共和国大气污染防治法</w:t>
            </w:r>
            <w:r>
              <w:rPr>
                <w:rFonts w:hint="eastAsia" w:ascii="Times New Roman" w:hAnsi="Times New Roman" w:cs="Times New Roman"/>
                <w:sz w:val="24"/>
                <w:lang w:eastAsia="zh-CN"/>
              </w:rPr>
              <w:t>》</w:t>
            </w:r>
            <w:r>
              <w:rPr>
                <w:rFonts w:ascii="Times New Roman" w:hAnsi="Times New Roman" w:cs="Times New Roman"/>
                <w:sz w:val="24"/>
              </w:rPr>
              <w:t>《挥发性有机物污染防治技术政策</w:t>
            </w:r>
            <w:r>
              <w:rPr>
                <w:rFonts w:hint="eastAsia" w:ascii="Times New Roman" w:hAnsi="Times New Roman" w:cs="Times New Roman"/>
                <w:sz w:val="24"/>
                <w:lang w:eastAsia="zh-CN"/>
              </w:rPr>
              <w:t>》《</w:t>
            </w:r>
            <w:r>
              <w:rPr>
                <w:rFonts w:ascii="Times New Roman" w:hAnsi="Times New Roman" w:cs="Times New Roman"/>
                <w:sz w:val="24"/>
              </w:rPr>
              <w:t>关于加快解决当前挥发性有机物治理突出问题的通知》《陕西省大气污染治理专项行动方案（2023—2027年）</w:t>
            </w:r>
            <w:r>
              <w:rPr>
                <w:rFonts w:hint="eastAsia" w:ascii="Times New Roman" w:hAnsi="Times New Roman" w:cs="Times New Roman"/>
                <w:sz w:val="24"/>
                <w:lang w:eastAsia="zh-CN"/>
              </w:rPr>
              <w:t>》《</w:t>
            </w:r>
            <w:r>
              <w:rPr>
                <w:rFonts w:ascii="Times New Roman" w:hAnsi="Times New Roman" w:cs="Times New Roman"/>
                <w:sz w:val="24"/>
              </w:rPr>
              <w:t>宝鸡市大气污染治理专项行动方案（2023—2027年）</w:t>
            </w:r>
            <w:r>
              <w:rPr>
                <w:rFonts w:hint="eastAsia" w:ascii="Times New Roman" w:hAnsi="Times New Roman" w:cs="Times New Roman"/>
                <w:sz w:val="24"/>
                <w:lang w:eastAsia="zh-CN"/>
              </w:rPr>
              <w:t>》《</w:t>
            </w:r>
            <w:r>
              <w:rPr>
                <w:rFonts w:ascii="Times New Roman" w:hAnsi="Times New Roman" w:cs="Times New Roman"/>
                <w:sz w:val="24"/>
              </w:rPr>
              <w:t>陕西省</w:t>
            </w:r>
            <w:r>
              <w:rPr>
                <w:rFonts w:hint="eastAsia" w:ascii="Times New Roman" w:hAnsi="Times New Roman" w:cs="Times New Roman"/>
                <w:sz w:val="24"/>
              </w:rPr>
              <w:t>“</w:t>
            </w:r>
            <w:r>
              <w:rPr>
                <w:rFonts w:ascii="Times New Roman" w:hAnsi="Times New Roman" w:cs="Times New Roman"/>
                <w:sz w:val="24"/>
              </w:rPr>
              <w:t>十四五</w:t>
            </w:r>
            <w:r>
              <w:rPr>
                <w:rFonts w:hint="eastAsia" w:ascii="Times New Roman" w:hAnsi="Times New Roman" w:cs="Times New Roman"/>
                <w:sz w:val="24"/>
              </w:rPr>
              <w:t>”</w:t>
            </w:r>
            <w:r>
              <w:rPr>
                <w:rFonts w:ascii="Times New Roman" w:hAnsi="Times New Roman" w:cs="Times New Roman"/>
                <w:sz w:val="24"/>
              </w:rPr>
              <w:t>生态环境保护规划</w:t>
            </w:r>
            <w:r>
              <w:rPr>
                <w:rFonts w:hint="eastAsia" w:ascii="Times New Roman" w:hAnsi="Times New Roman" w:cs="Times New Roman"/>
                <w:sz w:val="24"/>
                <w:lang w:eastAsia="zh-CN"/>
              </w:rPr>
              <w:t>》《</w:t>
            </w:r>
            <w:r>
              <w:rPr>
                <w:rFonts w:ascii="Times New Roman" w:hAnsi="Times New Roman" w:cs="Times New Roman"/>
                <w:sz w:val="24"/>
              </w:rPr>
              <w:t>宝鸡市</w:t>
            </w:r>
            <w:r>
              <w:rPr>
                <w:rFonts w:hint="eastAsia" w:ascii="Times New Roman" w:hAnsi="Times New Roman" w:cs="Times New Roman"/>
                <w:sz w:val="24"/>
              </w:rPr>
              <w:t>“</w:t>
            </w:r>
            <w:r>
              <w:rPr>
                <w:rFonts w:ascii="Times New Roman" w:hAnsi="Times New Roman" w:cs="Times New Roman"/>
                <w:sz w:val="24"/>
              </w:rPr>
              <w:t>十四五</w:t>
            </w:r>
            <w:r>
              <w:rPr>
                <w:rFonts w:hint="eastAsia" w:ascii="Times New Roman" w:hAnsi="Times New Roman" w:cs="Times New Roman"/>
                <w:sz w:val="24"/>
              </w:rPr>
              <w:t>”</w:t>
            </w:r>
            <w:r>
              <w:rPr>
                <w:rFonts w:ascii="Times New Roman" w:hAnsi="Times New Roman" w:cs="Times New Roman"/>
                <w:sz w:val="24"/>
              </w:rPr>
              <w:t>生态环境保护规划</w:t>
            </w:r>
            <w:r>
              <w:rPr>
                <w:rFonts w:hint="eastAsia" w:ascii="Times New Roman" w:hAnsi="Times New Roman" w:cs="Times New Roman"/>
                <w:sz w:val="24"/>
                <w:lang w:eastAsia="zh-CN"/>
              </w:rPr>
              <w:t>》《</w:t>
            </w:r>
            <w:r>
              <w:rPr>
                <w:rFonts w:ascii="Times New Roman" w:hAnsi="Times New Roman" w:cs="Times New Roman"/>
                <w:sz w:val="24"/>
              </w:rPr>
              <w:t>宝鸡市大气污染防治条例</w:t>
            </w:r>
            <w:r>
              <w:rPr>
                <w:rFonts w:hint="eastAsia" w:ascii="Times New Roman" w:hAnsi="Times New Roman" w:cs="Times New Roman"/>
                <w:sz w:val="24"/>
                <w:lang w:eastAsia="zh-CN"/>
              </w:rPr>
              <w:t>》《</w:t>
            </w:r>
            <w:r>
              <w:rPr>
                <w:rFonts w:ascii="Times New Roman" w:hAnsi="Times New Roman" w:eastAsia="宋体" w:cs="Times New Roman"/>
                <w:bCs/>
                <w:sz w:val="24"/>
              </w:rPr>
              <w:t>深入打好重污染天气消除、臭氧污染防治和柴油货车污染治理攻坚战行动方案</w:t>
            </w:r>
            <w:r>
              <w:rPr>
                <w:rFonts w:hint="eastAsia" w:ascii="Times New Roman" w:hAnsi="Times New Roman" w:eastAsia="宋体" w:cs="Times New Roman"/>
                <w:bCs/>
                <w:sz w:val="24"/>
                <w:lang w:eastAsia="zh-CN"/>
              </w:rPr>
              <w:t>》《</w:t>
            </w:r>
            <w:r>
              <w:rPr>
                <w:rFonts w:hint="eastAsia" w:ascii="Times New Roman" w:hAnsi="Times New Roman" w:eastAsia="宋体" w:cs="Times New Roman"/>
                <w:sz w:val="24"/>
              </w:rPr>
              <w:t>宝鸡市</w:t>
            </w:r>
            <w:r>
              <w:fldChar w:fldCharType="begin"/>
            </w:r>
            <w:r>
              <w:instrText xml:space="preserve"> HYPERLINK "https://huanbao.bjx.com.cn/topics/huanjingkongqizhiliang/" \t "https://huanbao.bjx.com.cn/news/20230822/_blank" </w:instrText>
            </w:r>
            <w:r>
              <w:fldChar w:fldCharType="separate"/>
            </w:r>
            <w:r>
              <w:rPr>
                <w:rFonts w:ascii="Times New Roman" w:hAnsi="Times New Roman" w:eastAsia="宋体" w:cs="Times New Roman"/>
                <w:sz w:val="24"/>
              </w:rPr>
              <w:t>环境空气质量</w:t>
            </w:r>
            <w:r>
              <w:rPr>
                <w:rFonts w:ascii="Times New Roman" w:hAnsi="Times New Roman" w:eastAsia="宋体" w:cs="Times New Roman"/>
                <w:sz w:val="24"/>
              </w:rPr>
              <w:fldChar w:fldCharType="end"/>
            </w:r>
            <w:r>
              <w:rPr>
                <w:rFonts w:ascii="Times New Roman" w:hAnsi="Times New Roman" w:eastAsia="宋体" w:cs="Times New Roman"/>
                <w:sz w:val="24"/>
              </w:rPr>
              <w:t>限期达标规划（2023—2030年）》</w:t>
            </w:r>
            <w:r>
              <w:rPr>
                <w:rFonts w:ascii="Times New Roman" w:hAnsi="Times New Roman" w:cs="Times New Roman"/>
                <w:sz w:val="24"/>
              </w:rPr>
              <w:t>等相关法律法规、政策规划要求。</w:t>
            </w:r>
          </w:p>
          <w:p w14:paraId="5FF6359E">
            <w:pPr>
              <w:adjustRightInd w:val="0"/>
              <w:snapToGrid w:val="0"/>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3、选址合理性分析</w:t>
            </w:r>
          </w:p>
          <w:p w14:paraId="19FF8DE9">
            <w:pPr>
              <w:wordWrap w:val="0"/>
              <w:topLinePunct/>
              <w:adjustRightInd w:val="0"/>
              <w:snapToGrid w:val="0"/>
              <w:spacing w:line="360" w:lineRule="auto"/>
              <w:ind w:firstLine="480" w:firstLineChars="200"/>
              <w:textAlignment w:val="center"/>
              <w:rPr>
                <w:rFonts w:ascii="Times New Roman" w:hAnsi="Times New Roman" w:cs="Times New Roman"/>
                <w:sz w:val="24"/>
              </w:rPr>
            </w:pPr>
            <w:r>
              <w:rPr>
                <w:rFonts w:ascii="Times New Roman" w:hAnsi="Times New Roman" w:cs="Times New Roman"/>
                <w:sz w:val="24"/>
              </w:rPr>
              <w:t>（1）项目用地分析</w:t>
            </w:r>
          </w:p>
          <w:p w14:paraId="08A5987B">
            <w:pPr>
              <w:wordWrap w:val="0"/>
              <w:topLinePunct/>
              <w:adjustRightInd w:val="0"/>
              <w:snapToGrid w:val="0"/>
              <w:spacing w:line="360" w:lineRule="auto"/>
              <w:ind w:firstLine="480" w:firstLineChars="200"/>
              <w:textAlignment w:val="center"/>
              <w:rPr>
                <w:rFonts w:ascii="Times New Roman" w:hAnsi="Times New Roman" w:cs="Times New Roman"/>
                <w:sz w:val="24"/>
              </w:rPr>
            </w:pPr>
            <w:r>
              <w:rPr>
                <w:rFonts w:ascii="Times New Roman" w:hAnsi="Times New Roman" w:cs="Times New Roman"/>
                <w:sz w:val="24"/>
              </w:rPr>
              <w:t>项目位于陕西省宝鸡市</w:t>
            </w:r>
            <w:r>
              <w:rPr>
                <w:rFonts w:hint="eastAsia" w:ascii="Times New Roman" w:hAnsi="Times New Roman" w:cs="Times New Roman"/>
                <w:sz w:val="24"/>
              </w:rPr>
              <w:t>姜谭经济开发区秦成集团院内，</w:t>
            </w:r>
            <w:r>
              <w:rPr>
                <w:rFonts w:ascii="Times New Roman" w:hAnsi="Times New Roman" w:cs="Times New Roman"/>
                <w:sz w:val="24"/>
              </w:rPr>
              <w:t>属于</w:t>
            </w:r>
            <w:r>
              <w:rPr>
                <w:rFonts w:hint="eastAsia" w:ascii="Times New Roman" w:hAnsi="Times New Roman" w:cs="Times New Roman"/>
                <w:sz w:val="24"/>
              </w:rPr>
              <w:t>姜谭经济技术开发区</w:t>
            </w:r>
            <w:r>
              <w:rPr>
                <w:rFonts w:ascii="Times New Roman" w:hAnsi="Times New Roman" w:cs="Times New Roman"/>
                <w:sz w:val="24"/>
              </w:rPr>
              <w:t>，</w:t>
            </w:r>
            <w:r>
              <w:rPr>
                <w:rFonts w:hint="eastAsia" w:ascii="Times New Roman" w:hAnsi="Times New Roman" w:cs="Times New Roman"/>
                <w:sz w:val="24"/>
              </w:rPr>
              <w:t>租用宝鸡市秦成工贸（集团）有限责任公司标准化厂房，已签订租赁协议，根据宝市国用〔2009〕245号文件，</w:t>
            </w:r>
            <w:r>
              <w:rPr>
                <w:rFonts w:ascii="Times New Roman" w:hAnsi="Times New Roman" w:cs="Times New Roman"/>
                <w:sz w:val="24"/>
              </w:rPr>
              <w:t>属于工业用地</w:t>
            </w:r>
            <w:r>
              <w:rPr>
                <w:rFonts w:hint="eastAsia" w:ascii="Times New Roman" w:hAnsi="Times New Roman" w:cs="Times New Roman"/>
                <w:sz w:val="24"/>
              </w:rPr>
              <w:t>，</w:t>
            </w:r>
            <w:r>
              <w:rPr>
                <w:rFonts w:ascii="Times New Roman" w:hAnsi="Times New Roman" w:cs="Times New Roman"/>
                <w:sz w:val="24"/>
              </w:rPr>
              <w:t>用地性质符合</w:t>
            </w:r>
            <w:r>
              <w:rPr>
                <w:rFonts w:hint="eastAsia" w:ascii="Times New Roman" w:hAnsi="Times New Roman" w:cs="Times New Roman"/>
                <w:sz w:val="24"/>
              </w:rPr>
              <w:t>姜谭经济开发区的土地利用</w:t>
            </w:r>
            <w:r>
              <w:rPr>
                <w:rFonts w:ascii="Times New Roman" w:hAnsi="Times New Roman" w:cs="Times New Roman"/>
                <w:sz w:val="24"/>
              </w:rPr>
              <w:t>要求。具体建设位置见附图1。</w:t>
            </w:r>
          </w:p>
          <w:p w14:paraId="0FF910CB">
            <w:pPr>
              <w:wordWrap w:val="0"/>
              <w:topLinePunct/>
              <w:adjustRightInd w:val="0"/>
              <w:snapToGrid w:val="0"/>
              <w:spacing w:line="360" w:lineRule="auto"/>
              <w:ind w:firstLine="480" w:firstLineChars="200"/>
              <w:textAlignment w:val="center"/>
              <w:rPr>
                <w:rFonts w:ascii="Times New Roman" w:hAnsi="Times New Roman" w:cs="Times New Roman"/>
                <w:sz w:val="24"/>
              </w:rPr>
            </w:pPr>
            <w:r>
              <w:rPr>
                <w:rFonts w:ascii="Times New Roman" w:hAnsi="Times New Roman" w:cs="Times New Roman"/>
                <w:sz w:val="24"/>
              </w:rPr>
              <w:t>（2）环境敏感性</w:t>
            </w:r>
          </w:p>
          <w:p w14:paraId="05A4384C">
            <w:pPr>
              <w:wordWrap w:val="0"/>
              <w:topLinePunct/>
              <w:adjustRightInd w:val="0"/>
              <w:snapToGrid w:val="0"/>
              <w:spacing w:line="360" w:lineRule="auto"/>
              <w:ind w:firstLine="480" w:firstLineChars="200"/>
              <w:textAlignment w:val="center"/>
              <w:rPr>
                <w:rFonts w:ascii="Times New Roman" w:hAnsi="Times New Roman" w:cs="Times New Roman"/>
                <w:sz w:val="24"/>
                <w:lang w:val="zh-CN"/>
              </w:rPr>
            </w:pPr>
            <w:r>
              <w:rPr>
                <w:rFonts w:ascii="Times New Roman" w:hAnsi="Times New Roman" w:cs="Times New Roman"/>
                <w:sz w:val="24"/>
              </w:rPr>
              <w:t>根据现场勘查，项目所在区域不属于自然保护区、森林公园、风景名胜区、世界文化自然遗产、地质公园等禁止开发的生态红线区、重点保护生态红线区以及脆弱生态保护红线区内，项目建设不会占用生态</w:t>
            </w:r>
            <w:r>
              <w:rPr>
                <w:rFonts w:ascii="Times New Roman" w:hAnsi="Times New Roman" w:cs="Times New Roman"/>
                <w:sz w:val="24"/>
                <w:lang w:val="zh-CN"/>
              </w:rPr>
              <w:t>红线保护区。</w:t>
            </w:r>
          </w:p>
          <w:p w14:paraId="51B7B1DA">
            <w:pPr>
              <w:wordWrap w:val="0"/>
              <w:topLinePunct/>
              <w:adjustRightInd w:val="0"/>
              <w:snapToGrid w:val="0"/>
              <w:spacing w:line="360" w:lineRule="auto"/>
              <w:ind w:firstLine="480" w:firstLineChars="200"/>
              <w:textAlignment w:val="center"/>
              <w:rPr>
                <w:rFonts w:ascii="Times New Roman" w:hAnsi="Times New Roman" w:cs="Times New Roman"/>
                <w:sz w:val="24"/>
              </w:rPr>
            </w:pPr>
            <w:r>
              <w:rPr>
                <w:rFonts w:ascii="Times New Roman" w:hAnsi="Times New Roman" w:cs="Times New Roman"/>
                <w:sz w:val="24"/>
              </w:rPr>
              <w:t>（3）项目选址与环境功能区划的一致性</w:t>
            </w:r>
          </w:p>
          <w:p w14:paraId="30050AC8">
            <w:pPr>
              <w:wordWrap w:val="0"/>
              <w:topLinePunct/>
              <w:adjustRightInd w:val="0"/>
              <w:snapToGrid w:val="0"/>
              <w:spacing w:line="360" w:lineRule="auto"/>
              <w:ind w:firstLine="480" w:firstLineChars="200"/>
              <w:textAlignment w:val="center"/>
              <w:rPr>
                <w:rFonts w:ascii="Times New Roman" w:hAnsi="Times New Roman" w:cs="Times New Roman"/>
                <w:sz w:val="24"/>
              </w:rPr>
            </w:pPr>
            <w:r>
              <w:rPr>
                <w:rFonts w:ascii="Times New Roman" w:hAnsi="Times New Roman" w:cs="Times New Roman"/>
                <w:sz w:val="24"/>
              </w:rPr>
              <w:t>本项目建设符合《姜谭经济技术开发区总体规划（2019-2035）（修编）</w:t>
            </w:r>
            <w:r>
              <w:rPr>
                <w:rFonts w:hint="eastAsia" w:ascii="Times New Roman" w:hAnsi="Times New Roman" w:cs="Times New Roman"/>
                <w:sz w:val="24"/>
                <w:lang w:eastAsia="zh-CN"/>
              </w:rPr>
              <w:t>》《</w:t>
            </w:r>
            <w:r>
              <w:rPr>
                <w:rFonts w:ascii="Times New Roman" w:hAnsi="Times New Roman" w:cs="Times New Roman"/>
                <w:sz w:val="24"/>
              </w:rPr>
              <w:t>姜谭经济技术开发区总体规划（2019-2035）（修编）环境影响报告书》以及审查意见的要求，本项目拟建地北侧为</w:t>
            </w:r>
            <w:r>
              <w:rPr>
                <w:rFonts w:hint="eastAsia" w:ascii="Times New Roman" w:hAnsi="Times New Roman" w:cs="Times New Roman"/>
                <w:sz w:val="24"/>
              </w:rPr>
              <w:t>宝鸡市秦成工贸（集团）有限责任公司厂房</w:t>
            </w:r>
            <w:r>
              <w:rPr>
                <w:rFonts w:ascii="Times New Roman" w:hAnsi="Times New Roman" w:cs="Times New Roman"/>
                <w:sz w:val="24"/>
              </w:rPr>
              <w:t>，东侧紧邻</w:t>
            </w:r>
            <w:r>
              <w:rPr>
                <w:rFonts w:hint="eastAsia" w:ascii="Times New Roman" w:hAnsi="Times New Roman" w:cs="Times New Roman"/>
                <w:sz w:val="24"/>
              </w:rPr>
              <w:t>宝鸡海森美尔电气有限公司</w:t>
            </w:r>
            <w:r>
              <w:rPr>
                <w:rFonts w:ascii="Times New Roman" w:hAnsi="Times New Roman" w:cs="Times New Roman"/>
                <w:sz w:val="24"/>
              </w:rPr>
              <w:t>，</w:t>
            </w:r>
            <w:r>
              <w:rPr>
                <w:rFonts w:hint="eastAsia" w:ascii="Times New Roman" w:hAnsi="Times New Roman" w:cs="Times New Roman"/>
                <w:sz w:val="24"/>
              </w:rPr>
              <w:t>南侧40m处为宝鸡华达工贸有限公司</w:t>
            </w:r>
            <w:r>
              <w:rPr>
                <w:rFonts w:ascii="Times New Roman" w:hAnsi="Times New Roman" w:cs="Times New Roman"/>
                <w:sz w:val="24"/>
              </w:rPr>
              <w:t>，</w:t>
            </w:r>
            <w:r>
              <w:rPr>
                <w:rFonts w:hint="eastAsia" w:ascii="Times New Roman" w:hAnsi="Times New Roman" w:cs="Times New Roman"/>
                <w:sz w:val="24"/>
              </w:rPr>
              <w:t>西南侧45m</w:t>
            </w:r>
            <w:r>
              <w:rPr>
                <w:rFonts w:ascii="Times New Roman" w:hAnsi="Times New Roman" w:cs="Times New Roman"/>
                <w:sz w:val="24"/>
              </w:rPr>
              <w:t>为</w:t>
            </w:r>
            <w:r>
              <w:rPr>
                <w:rFonts w:hint="eastAsia" w:ascii="Times New Roman" w:hAnsi="Times New Roman" w:cs="Times New Roman"/>
                <w:sz w:val="24"/>
              </w:rPr>
              <w:t>巨家村</w:t>
            </w:r>
            <w:r>
              <w:rPr>
                <w:rFonts w:ascii="Times New Roman" w:hAnsi="Times New Roman" w:cs="Times New Roman"/>
                <w:sz w:val="24"/>
              </w:rPr>
              <w:t>，根据计算预测，本项目废气、</w:t>
            </w:r>
            <w:r>
              <w:rPr>
                <w:rFonts w:hint="eastAsia" w:ascii="Times New Roman" w:hAnsi="Times New Roman" w:cs="Times New Roman"/>
                <w:sz w:val="24"/>
              </w:rPr>
              <w:t>废水、</w:t>
            </w:r>
            <w:r>
              <w:rPr>
                <w:rFonts w:ascii="Times New Roman" w:hAnsi="Times New Roman" w:cs="Times New Roman"/>
                <w:sz w:val="24"/>
              </w:rPr>
              <w:t>噪声</w:t>
            </w:r>
            <w:r>
              <w:rPr>
                <w:rFonts w:hint="eastAsia" w:ascii="Times New Roman" w:hAnsi="Times New Roman" w:cs="Times New Roman"/>
                <w:sz w:val="24"/>
              </w:rPr>
              <w:t>均可达标排放，</w:t>
            </w:r>
            <w:r>
              <w:rPr>
                <w:rFonts w:ascii="Times New Roman" w:hAnsi="Times New Roman" w:cs="Times New Roman"/>
                <w:sz w:val="24"/>
              </w:rPr>
              <w:t>基本不会对周边敏感点产生影响，所在区域环境空气为二类功能区，声环境功能区为3类功能区。正常生产情况下，在对废气、废水、噪声排放采取切实有效的污染防治措施后均可达标排放，固体废物均得到妥善处置，对周围环境影响较小，周边交通便利，水、电、气等基础设施完善，市政电信网络、市政燃气管线、市政污水管网铺设完善，辅助设施齐全，完全能满足生产、生活和今后发展的需要。</w:t>
            </w:r>
          </w:p>
          <w:p w14:paraId="4C1D5D7C">
            <w:pPr>
              <w:wordWrap w:val="0"/>
              <w:topLinePunct/>
              <w:adjustRightInd w:val="0"/>
              <w:snapToGrid w:val="0"/>
              <w:spacing w:line="360" w:lineRule="auto"/>
              <w:ind w:firstLine="480" w:firstLineChars="200"/>
              <w:textAlignment w:val="center"/>
              <w:rPr>
                <w:rFonts w:ascii="Times New Roman" w:hAnsi="Times New Roman" w:cs="Times New Roman"/>
                <w:sz w:val="24"/>
              </w:rPr>
            </w:pPr>
            <w:r>
              <w:rPr>
                <w:rFonts w:ascii="Times New Roman" w:hAnsi="Times New Roman" w:cs="Times New Roman"/>
                <w:sz w:val="24"/>
              </w:rPr>
              <w:t>因此项目选址与环境功能区划一致。</w:t>
            </w:r>
          </w:p>
          <w:p w14:paraId="71BE73C7">
            <w:pPr>
              <w:wordWrap w:val="0"/>
              <w:topLinePunct/>
              <w:adjustRightInd w:val="0"/>
              <w:snapToGrid w:val="0"/>
              <w:spacing w:line="360" w:lineRule="auto"/>
              <w:textAlignment w:val="center"/>
              <w:rPr>
                <w:rFonts w:ascii="Times New Roman" w:hAnsi="Times New Roman" w:eastAsia="宋体" w:cs="Times New Roman"/>
                <w:b/>
                <w:bCs/>
                <w:szCs w:val="21"/>
              </w:rPr>
            </w:pPr>
            <w:r>
              <w:rPr>
                <w:szCs w:val="21"/>
              </w:rPr>
              <mc:AlternateContent>
                <mc:Choice Requires="wps">
                  <w:drawing>
                    <wp:anchor distT="0" distB="0" distL="114300" distR="114300" simplePos="0" relativeHeight="251666432" behindDoc="0" locked="0" layoutInCell="1" allowOverlap="1">
                      <wp:simplePos x="0" y="0"/>
                      <wp:positionH relativeFrom="column">
                        <wp:posOffset>2449195</wp:posOffset>
                      </wp:positionH>
                      <wp:positionV relativeFrom="paragraph">
                        <wp:posOffset>573405</wp:posOffset>
                      </wp:positionV>
                      <wp:extent cx="1007110" cy="282575"/>
                      <wp:effectExtent l="6350" t="6350" r="15240" b="549275"/>
                      <wp:wrapNone/>
                      <wp:docPr id="21" name="矩形标注 21"/>
                      <wp:cNvGraphicFramePr/>
                      <a:graphic xmlns:a="http://schemas.openxmlformats.org/drawingml/2006/main">
                        <a:graphicData uri="http://schemas.microsoft.com/office/word/2010/wordprocessingShape">
                          <wps:wsp>
                            <wps:cNvSpPr/>
                            <wps:spPr>
                              <a:xfrm>
                                <a:off x="3886835" y="1758315"/>
                                <a:ext cx="1007110" cy="282575"/>
                              </a:xfrm>
                              <a:prstGeom prst="wedgeRectCallout">
                                <a:avLst>
                                  <a:gd name="adj1" fmla="val -32408"/>
                                  <a:gd name="adj2" fmla="val 234656"/>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4CF13559">
                                  <w:pPr>
                                    <w:rPr>
                                      <w:b/>
                                      <w:bCs/>
                                      <w:sz w:val="18"/>
                                      <w:szCs w:val="21"/>
                                    </w:rPr>
                                  </w:pPr>
                                  <w:r>
                                    <w:rPr>
                                      <w:rFonts w:hint="eastAsia"/>
                                      <w:b/>
                                      <w:bCs/>
                                      <w:sz w:val="18"/>
                                      <w:szCs w:val="21"/>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92.85pt;margin-top:45.15pt;height:22.25pt;width:79.3pt;z-index:251666432;v-text-anchor:middle;mso-width-relative:page;mso-height-relative:page;" fillcolor="#5B9BD5 [3204]" filled="t" stroked="t" coordsize="21600,21600" o:gfxdata="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hhdQX9cAAAAKAQAADwAAAAAAAAABACAAAAAiAAAAZHJzL2Rvd25yZXYueG1sUEsBAhQAFAAA&#10;AAgAh07iQFMfJf3UAgAAlAUAAA4AAAAAAAAAAQAgAAAAJgEAAGRycy9lMm9Eb2MueG1sUEsFBgAA&#10;AAAGAAYAWQEAAGwGAAAAAA==&#10;" adj="3800,61486">
                      <v:fill on="t" focussize="0,0"/>
                      <v:stroke weight="1pt" color="#2E75B6 [2404]" miterlimit="8" joinstyle="miter"/>
                      <v:imagedata o:title=""/>
                      <o:lock v:ext="edit" aspectratio="f"/>
                      <v:textbox>
                        <w:txbxContent>
                          <w:p w14:paraId="4CF13559">
                            <w:pPr>
                              <w:rPr>
                                <w:b/>
                                <w:bCs/>
                                <w:sz w:val="18"/>
                                <w:szCs w:val="21"/>
                              </w:rPr>
                            </w:pPr>
                            <w:r>
                              <w:rPr>
                                <w:rFonts w:hint="eastAsia"/>
                                <w:b/>
                                <w:bCs/>
                                <w:sz w:val="18"/>
                                <w:szCs w:val="21"/>
                              </w:rPr>
                              <w:t>本项目所在地</w:t>
                            </w:r>
                          </w:p>
                        </w:txbxContent>
                      </v:textbox>
                    </v:shape>
                  </w:pict>
                </mc:Fallback>
              </mc:AlternateContent>
            </w:r>
            <w:r>
              <w:rPr>
                <w:szCs w:val="21"/>
              </w:rPr>
              <mc:AlternateContent>
                <mc:Choice Requires="wps">
                  <w:drawing>
                    <wp:anchor distT="0" distB="0" distL="114300" distR="114300" simplePos="0" relativeHeight="251665408" behindDoc="0" locked="0" layoutInCell="1" allowOverlap="1">
                      <wp:simplePos x="0" y="0"/>
                      <wp:positionH relativeFrom="column">
                        <wp:posOffset>2602230</wp:posOffset>
                      </wp:positionH>
                      <wp:positionV relativeFrom="paragraph">
                        <wp:posOffset>1329690</wp:posOffset>
                      </wp:positionV>
                      <wp:extent cx="75565" cy="75565"/>
                      <wp:effectExtent l="19050" t="21590" r="19685" b="17145"/>
                      <wp:wrapNone/>
                      <wp:docPr id="15" name="五角星 15"/>
                      <wp:cNvGraphicFramePr/>
                      <a:graphic xmlns:a="http://schemas.openxmlformats.org/drawingml/2006/main">
                        <a:graphicData uri="http://schemas.microsoft.com/office/word/2010/wordprocessingShape">
                          <wps:wsp>
                            <wps:cNvSpPr/>
                            <wps:spPr>
                              <a:xfrm>
                                <a:off x="4034155" y="2433320"/>
                                <a:ext cx="75565" cy="75565"/>
                              </a:xfrm>
                              <a:prstGeom prst="star5">
                                <a:avLst/>
                              </a:prstGeom>
                              <a:solidFill>
                                <a:srgbClr val="FFFF00"/>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04.9pt;margin-top:104.7pt;height:5.95pt;width:5.95pt;z-index:251665408;v-text-anchor:middle;mso-width-relative:page;mso-height-relative:page;" fillcolor="#FFFF00" filled="t" stroked="t" coordsize="75565,75565" o:gfxdata="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pqS1zNoAAAALAQAADwAAAAAAAAABACAAAAAi&#10;AAAAZHJzL2Rvd25yZXYueG1sUEsBAhQAFAAAAAgAh07iQH2OmAF6AgAAAwUAAA4AAAAAAAAAAQAg&#10;AAAAKQEAAGRycy9lMm9Eb2MueG1sUEsFBgAAAAAGAAYAWQEAABUGAAAAAA==&#10;" path="m0,28863l28863,28863,37782,0,46701,28863,75564,28863,52213,46701,61133,75564,37782,57726,14431,75564,23351,46701xe">
                      <v:path o:connectlocs="37782,0;0,28863;14431,75564;61133,75564;75564,28863" o:connectangles="247,164,82,82,0"/>
                      <v:fill on="t" focussize="0,0"/>
                      <v:stroke weight="1pt" color="#FFFF00 [2404]" miterlimit="8" joinstyle="miter"/>
                      <v:imagedata o:title=""/>
                      <o:lock v:ext="edit" aspectratio="f"/>
                    </v:shape>
                  </w:pict>
                </mc:Fallback>
              </mc:AlternateContent>
            </w:r>
            <w:r>
              <w:rPr>
                <w:rFonts w:ascii="Times New Roman" w:hAnsi="Times New Roman" w:cs="Times New Roman"/>
                <w:b/>
                <w:szCs w:val="21"/>
              </w:rPr>
              <w:drawing>
                <wp:inline distT="0" distB="0" distL="114300" distR="114300">
                  <wp:extent cx="5130800" cy="3625850"/>
                  <wp:effectExtent l="0" t="0" r="12700" b="12700"/>
                  <wp:docPr id="37" name="图片 18" descr="土地总体利用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descr="土地总体利用规划图"/>
                          <pic:cNvPicPr>
                            <a:picLocks noChangeAspect="1"/>
                          </pic:cNvPicPr>
                        </pic:nvPicPr>
                        <pic:blipFill>
                          <a:blip r:embed="rId9"/>
                          <a:stretch>
                            <a:fillRect/>
                          </a:stretch>
                        </pic:blipFill>
                        <pic:spPr>
                          <a:xfrm>
                            <a:off x="0" y="0"/>
                            <a:ext cx="5130800" cy="3625850"/>
                          </a:xfrm>
                          <a:prstGeom prst="rect">
                            <a:avLst/>
                          </a:prstGeom>
                          <a:noFill/>
                          <a:ln>
                            <a:noFill/>
                          </a:ln>
                        </pic:spPr>
                      </pic:pic>
                    </a:graphicData>
                  </a:graphic>
                </wp:inline>
              </w:drawing>
            </w:r>
          </w:p>
          <w:p w14:paraId="6FF3739D">
            <w:pPr>
              <w:pStyle w:val="2"/>
              <w:spacing w:line="360" w:lineRule="auto"/>
              <w:ind w:left="842" w:hanging="422"/>
              <w:jc w:val="center"/>
              <w:rPr>
                <w:rFonts w:ascii="Times New Roman" w:hAnsi="Times New Roman" w:eastAsia="宋体" w:cs="Times New Roman"/>
                <w:kern w:val="0"/>
                <w:szCs w:val="21"/>
              </w:rPr>
            </w:pPr>
            <w:r>
              <w:rPr>
                <w:rFonts w:ascii="Times New Roman" w:hAnsi="Times New Roman" w:cs="Times New Roman"/>
                <w:b/>
                <w:szCs w:val="21"/>
              </w:rPr>
              <w:t>图</w:t>
            </w:r>
            <w:r>
              <w:rPr>
                <w:rFonts w:hint="eastAsia" w:ascii="Times New Roman" w:hAnsi="Times New Roman" w:cs="Times New Roman"/>
                <w:b/>
                <w:szCs w:val="21"/>
              </w:rPr>
              <w:t>1-</w:t>
            </w:r>
            <w:r>
              <w:rPr>
                <w:rFonts w:ascii="Times New Roman" w:hAnsi="Times New Roman" w:cs="Times New Roman"/>
                <w:b/>
                <w:szCs w:val="21"/>
              </w:rPr>
              <w:t>3  渭滨区姜谭经济技术开发区</w:t>
            </w:r>
            <w:r>
              <w:rPr>
                <w:rFonts w:hint="eastAsia" w:ascii="Times New Roman" w:hAnsi="Times New Roman" w:cs="Times New Roman"/>
                <w:b/>
                <w:szCs w:val="21"/>
              </w:rPr>
              <w:t>土地利用规划</w:t>
            </w:r>
            <w:r>
              <w:rPr>
                <w:rFonts w:ascii="Times New Roman" w:hAnsi="Times New Roman" w:cs="Times New Roman"/>
                <w:b/>
                <w:szCs w:val="21"/>
              </w:rPr>
              <w:t>图</w:t>
            </w:r>
          </w:p>
        </w:tc>
      </w:tr>
    </w:tbl>
    <w:p w14:paraId="70C71074">
      <w:pPr>
        <w:spacing w:line="360" w:lineRule="auto"/>
        <w:rPr>
          <w:rFonts w:ascii="Times New Roman" w:hAnsi="Times New Roman" w:eastAsia="黑体" w:cs="Times New Roman"/>
          <w:sz w:val="30"/>
          <w:lang w:bidi="ar"/>
        </w:rPr>
        <w:sectPr>
          <w:footerReference r:id="rId5" w:type="default"/>
          <w:pgSz w:w="11906" w:h="16838"/>
          <w:pgMar w:top="1417" w:right="1417" w:bottom="1417" w:left="1417" w:header="851" w:footer="850" w:gutter="0"/>
          <w:pgNumType w:start="1"/>
          <w:cols w:space="425" w:num="1"/>
          <w:docGrid w:type="lines" w:linePitch="312" w:charSpace="0"/>
        </w:sectPr>
      </w:pPr>
    </w:p>
    <w:p w14:paraId="1FC39DD4">
      <w:pPr>
        <w:pStyle w:val="21"/>
        <w:jc w:val="center"/>
        <w:outlineLvl w:val="0"/>
        <w:rPr>
          <w:rFonts w:hint="default" w:ascii="Times New Roman" w:hAnsi="Times New Roman" w:eastAsia="黑体"/>
          <w:sz w:val="30"/>
          <w:szCs w:val="30"/>
        </w:rPr>
      </w:pPr>
      <w:r>
        <w:rPr>
          <w:rFonts w:hint="default" w:ascii="Times New Roman" w:hAnsi="Times New Roman" w:eastAsia="黑体"/>
          <w:snapToGrid w:val="0"/>
          <w:sz w:val="30"/>
          <w:szCs w:val="30"/>
        </w:rPr>
        <w:t>二、建设项目工程分析</w:t>
      </w: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64"/>
        <w:gridCol w:w="8924"/>
      </w:tblGrid>
      <w:tr w14:paraId="353EB7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7" w:type="pct"/>
            <w:tcBorders>
              <w:top w:val="single" w:color="auto" w:sz="8" w:space="0"/>
              <w:left w:val="single" w:color="auto" w:sz="8" w:space="0"/>
              <w:bottom w:val="single" w:color="auto" w:sz="4" w:space="0"/>
              <w:right w:val="single" w:color="auto" w:sz="4" w:space="0"/>
            </w:tcBorders>
            <w:shd w:val="clear" w:color="auto" w:fill="auto"/>
            <w:vAlign w:val="center"/>
          </w:tcPr>
          <w:p w14:paraId="158A070C">
            <w:pPr>
              <w:pStyle w:val="21"/>
              <w:adjustRightInd w:val="0"/>
              <w:snapToGrid w:val="0"/>
              <w:spacing w:beforeAutospacing="0" w:afterAutospacing="0"/>
              <w:jc w:val="center"/>
              <w:rPr>
                <w:rFonts w:hint="default" w:ascii="Times New Roman" w:hAnsi="Times New Roman"/>
                <w:kern w:val="2"/>
                <w:sz w:val="21"/>
                <w:szCs w:val="21"/>
              </w:rPr>
            </w:pPr>
            <w:r>
              <w:rPr>
                <w:rFonts w:hint="default" w:ascii="Times New Roman" w:hAnsi="Times New Roman"/>
                <w:kern w:val="2"/>
                <w:szCs w:val="24"/>
              </w:rPr>
              <w:t>建设内容</w:t>
            </w:r>
          </w:p>
        </w:tc>
        <w:tc>
          <w:tcPr>
            <w:tcW w:w="4772" w:type="pct"/>
            <w:tcBorders>
              <w:top w:val="single" w:color="auto" w:sz="8" w:space="0"/>
              <w:left w:val="single" w:color="auto" w:sz="4" w:space="0"/>
              <w:bottom w:val="single" w:color="auto" w:sz="4" w:space="0"/>
              <w:right w:val="single" w:color="auto" w:sz="8" w:space="0"/>
            </w:tcBorders>
            <w:shd w:val="clear" w:color="auto" w:fill="auto"/>
          </w:tcPr>
          <w:p w14:paraId="415135E4">
            <w:pPr>
              <w:pStyle w:val="39"/>
              <w:tabs>
                <w:tab w:val="left" w:pos="418"/>
              </w:tabs>
              <w:autoSpaceDE w:val="0"/>
              <w:autoSpaceDN w:val="0"/>
              <w:adjustRightInd w:val="0"/>
              <w:snapToGrid w:val="0"/>
              <w:spacing w:line="360" w:lineRule="auto"/>
              <w:ind w:firstLine="482" w:firstLineChars="200"/>
              <w:jc w:val="left"/>
              <w:rPr>
                <w:rFonts w:ascii="Times New Roman" w:hAnsi="Times New Roman" w:cs="Times New Roman" w:eastAsiaTheme="minorEastAsia"/>
                <w:b/>
                <w:sz w:val="24"/>
                <w:lang w:val="en-US"/>
              </w:rPr>
            </w:pPr>
            <w:r>
              <w:rPr>
                <w:rFonts w:ascii="Times New Roman" w:hAnsi="Times New Roman" w:cs="Times New Roman" w:eastAsiaTheme="minorEastAsia"/>
                <w:b/>
                <w:sz w:val="24"/>
                <w:lang w:val="en-US"/>
              </w:rPr>
              <w:t>一、项目由来</w:t>
            </w:r>
          </w:p>
          <w:p w14:paraId="2FFD0A55">
            <w:pPr>
              <w:adjustRightInd w:val="0"/>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cs="Times New Roman"/>
                <w:sz w:val="24"/>
              </w:rPr>
              <w:t>宝鸡天浩泰金属表面处理有限公司</w:t>
            </w:r>
            <w:r>
              <w:rPr>
                <w:rFonts w:ascii="Times New Roman" w:hAnsi="Times New Roman" w:cs="Times New Roman"/>
                <w:sz w:val="24"/>
              </w:rPr>
              <w:t>成立于202</w:t>
            </w:r>
            <w:r>
              <w:rPr>
                <w:rFonts w:hint="eastAsia" w:ascii="Times New Roman" w:hAnsi="Times New Roman" w:cs="Times New Roman"/>
                <w:sz w:val="24"/>
              </w:rPr>
              <w:t>4</w:t>
            </w:r>
            <w:r>
              <w:rPr>
                <w:rFonts w:ascii="Times New Roman" w:hAnsi="Times New Roman" w:cs="Times New Roman"/>
                <w:sz w:val="24"/>
              </w:rPr>
              <w:t>年，位于</w:t>
            </w:r>
            <w:r>
              <w:rPr>
                <w:rFonts w:hint="eastAsia" w:ascii="Times New Roman" w:hAnsi="Times New Roman" w:cs="Times New Roman"/>
                <w:sz w:val="24"/>
              </w:rPr>
              <w:t>姜谭经济技术开发区，</w:t>
            </w:r>
            <w:r>
              <w:rPr>
                <w:rFonts w:hint="eastAsia" w:ascii="Times New Roman" w:hAnsi="Times New Roman" w:eastAsia="宋体" w:cs="Times New Roman"/>
                <w:sz w:val="24"/>
              </w:rPr>
              <w:t>租赁</w:t>
            </w:r>
            <w:r>
              <w:rPr>
                <w:rFonts w:hint="eastAsia" w:ascii="Times New Roman" w:hAnsi="Times New Roman" w:cs="Times New Roman"/>
                <w:sz w:val="24"/>
              </w:rPr>
              <w:t>宝鸡市秦成工贸（集团）有限责任公司</w:t>
            </w:r>
            <w:r>
              <w:rPr>
                <w:rFonts w:hint="eastAsia" w:ascii="Times New Roman" w:hAnsi="Times New Roman" w:eastAsia="宋体" w:cs="Times New Roman"/>
                <w:sz w:val="24"/>
              </w:rPr>
              <w:t>标准化厂房进行建设，总占地3083平方米。现有项目购置网带式烧结炉、电加热渗锌</w:t>
            </w:r>
            <w:r>
              <w:rPr>
                <w:rFonts w:hint="eastAsia" w:ascii="Times New Roman" w:hAnsi="Times New Roman" w:eastAsia="宋体" w:cs="Times New Roman"/>
                <w:color w:val="auto"/>
                <w:sz w:val="24"/>
              </w:rPr>
              <w:t>炉、干式</w:t>
            </w:r>
            <w:r>
              <w:rPr>
                <w:rFonts w:hint="eastAsia" w:ascii="Times New Roman" w:hAnsi="Times New Roman" w:eastAsia="宋体" w:cs="Times New Roman"/>
                <w:color w:val="FF0000"/>
                <w:sz w:val="24"/>
              </w:rPr>
              <w:t>人工喷漆房</w:t>
            </w:r>
            <w:r>
              <w:rPr>
                <w:rFonts w:hint="eastAsia" w:ascii="Times New Roman" w:hAnsi="Times New Roman" w:eastAsia="宋体" w:cs="Times New Roman"/>
                <w:color w:val="auto"/>
                <w:sz w:val="24"/>
              </w:rPr>
              <w:t>等生产设备以及相关配套设施，形成年处理</w:t>
            </w:r>
            <w:r>
              <w:rPr>
                <w:rFonts w:hint="eastAsia" w:ascii="Times New Roman" w:hAnsi="Times New Roman" w:eastAsia="宋体" w:cs="Times New Roman"/>
                <w:color w:val="FF0000"/>
                <w:sz w:val="24"/>
              </w:rPr>
              <w:t>1500吨</w:t>
            </w:r>
            <w:r>
              <w:rPr>
                <w:rFonts w:hint="eastAsia" w:ascii="Times New Roman" w:hAnsi="Times New Roman" w:eastAsia="宋体" w:cs="Times New Roman"/>
                <w:color w:val="FF0000"/>
                <w:sz w:val="24"/>
                <w:lang w:val="en-US" w:eastAsia="zh-CN"/>
              </w:rPr>
              <w:t>渗锌</w:t>
            </w:r>
            <w:r>
              <w:rPr>
                <w:rFonts w:hint="eastAsia" w:ascii="Times New Roman" w:hAnsi="Times New Roman" w:eastAsia="宋体" w:cs="Times New Roman"/>
                <w:color w:val="FF0000"/>
                <w:sz w:val="24"/>
              </w:rPr>
              <w:t>钢零件</w:t>
            </w:r>
            <w:r>
              <w:rPr>
                <w:rFonts w:hint="eastAsia" w:ascii="Times New Roman" w:hAnsi="Times New Roman" w:eastAsia="宋体" w:cs="Times New Roman"/>
                <w:color w:val="auto"/>
                <w:sz w:val="24"/>
              </w:rPr>
              <w:t>的生产能力。</w:t>
            </w:r>
          </w:p>
          <w:p w14:paraId="730FD754">
            <w:pPr>
              <w:adjustRightInd w:val="0"/>
              <w:snapToGrid w:val="0"/>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由于新增客户对钢零件表面喷漆工艺的要求有变动，</w:t>
            </w:r>
            <w:r>
              <w:rPr>
                <w:rFonts w:hint="eastAsia" w:ascii="Times New Roman" w:hAnsi="Times New Roman" w:cs="Times New Roman"/>
                <w:color w:val="FF0000"/>
                <w:sz w:val="24"/>
              </w:rPr>
              <w:t>在建项目</w:t>
            </w:r>
            <w:r>
              <w:rPr>
                <w:rFonts w:hint="eastAsia" w:ascii="Times New Roman" w:hAnsi="Times New Roman" w:cs="Times New Roman"/>
                <w:color w:val="FF0000"/>
                <w:sz w:val="24"/>
                <w:lang w:val="en-US" w:eastAsia="zh-CN"/>
              </w:rPr>
              <w:t>人工</w:t>
            </w:r>
            <w:r>
              <w:rPr>
                <w:rFonts w:hint="eastAsia" w:ascii="Times New Roman" w:hAnsi="Times New Roman" w:cs="Times New Roman"/>
                <w:color w:val="FF0000"/>
                <w:sz w:val="24"/>
              </w:rPr>
              <w:t>喷漆环节不能满足新增客户的订单标准需求。因此，为了满足新订单需求，建设单位拟投资80万在当前在建项目的基础上进行扩建，即在现有厂房内新增一条</w:t>
            </w:r>
            <w:r>
              <w:rPr>
                <w:rFonts w:hint="eastAsia" w:ascii="Times New Roman" w:hAnsi="Times New Roman" w:cs="Times New Roman"/>
                <w:color w:val="FF0000"/>
                <w:sz w:val="24"/>
                <w:lang w:eastAsia="zh-CN"/>
              </w:rPr>
              <w:t>“</w:t>
            </w:r>
            <w:r>
              <w:rPr>
                <w:rFonts w:hint="eastAsia" w:ascii="Times New Roman" w:hAnsi="Times New Roman" w:cs="Times New Roman"/>
                <w:color w:val="FF0000"/>
                <w:sz w:val="24"/>
              </w:rPr>
              <w:t>全自动喷砂+喷漆烘干一体生产线</w:t>
            </w:r>
            <w:r>
              <w:rPr>
                <w:rFonts w:hint="eastAsia" w:ascii="Times New Roman" w:hAnsi="Times New Roman" w:cs="Times New Roman"/>
                <w:color w:val="FF0000"/>
                <w:sz w:val="24"/>
                <w:lang w:eastAsia="zh-CN"/>
              </w:rPr>
              <w:t>”</w:t>
            </w:r>
            <w:r>
              <w:rPr>
                <w:rFonts w:hint="eastAsia" w:ascii="Times New Roman" w:hAnsi="Times New Roman" w:cs="Times New Roman"/>
                <w:color w:val="FF0000"/>
                <w:sz w:val="24"/>
              </w:rPr>
              <w:t>，并配套建设相关环保设备及设施，预计该扩建生产线可增加年处理1000吨自动喷漆钢零件的生产能力。</w:t>
            </w:r>
            <w:r>
              <w:rPr>
                <w:rFonts w:ascii="Times New Roman" w:hAnsi="Times New Roman" w:cs="Times New Roman"/>
                <w:color w:val="FF0000"/>
                <w:sz w:val="24"/>
              </w:rPr>
              <w:t>本</w:t>
            </w:r>
            <w:r>
              <w:rPr>
                <w:rFonts w:hint="eastAsia" w:ascii="Times New Roman" w:hAnsi="Times New Roman" w:cs="Times New Roman"/>
                <w:color w:val="FF0000"/>
                <w:sz w:val="24"/>
              </w:rPr>
              <w:t>扩建</w:t>
            </w:r>
            <w:r>
              <w:rPr>
                <w:rFonts w:ascii="Times New Roman" w:hAnsi="Times New Roman" w:cs="Times New Roman"/>
                <w:color w:val="FF0000"/>
                <w:sz w:val="24"/>
              </w:rPr>
              <w:t>项目</w:t>
            </w:r>
            <w:r>
              <w:rPr>
                <w:rFonts w:hint="eastAsia" w:ascii="Times New Roman" w:hAnsi="Times New Roman" w:cs="Times New Roman"/>
                <w:color w:val="FF0000"/>
                <w:sz w:val="24"/>
              </w:rPr>
              <w:t>主要服务于新增外来订单</w:t>
            </w:r>
            <w:r>
              <w:rPr>
                <w:rFonts w:hint="eastAsia"/>
                <w:color w:val="FF0000"/>
                <w:sz w:val="24"/>
              </w:rPr>
              <w:t>钢零件的表面涂装加工</w:t>
            </w:r>
            <w:r>
              <w:rPr>
                <w:rFonts w:hint="eastAsia" w:ascii="Times New Roman" w:hAnsi="Times New Roman" w:cs="Times New Roman"/>
                <w:color w:val="FF0000"/>
                <w:sz w:val="24"/>
              </w:rPr>
              <w:t>，原料为订单内已完成</w:t>
            </w:r>
            <w:r>
              <w:rPr>
                <w:rFonts w:ascii="Times New Roman" w:hAnsi="Times New Roman" w:cs="Times New Roman"/>
                <w:color w:val="FF0000"/>
                <w:sz w:val="24"/>
              </w:rPr>
              <w:t>渗锌</w:t>
            </w:r>
            <w:r>
              <w:rPr>
                <w:rFonts w:hint="eastAsia" w:ascii="Times New Roman" w:hAnsi="Times New Roman" w:cs="Times New Roman"/>
                <w:color w:val="FF0000"/>
                <w:sz w:val="24"/>
              </w:rPr>
              <w:t>处理的钢零件</w:t>
            </w:r>
            <w:r>
              <w:rPr>
                <w:rFonts w:hint="eastAsia" w:ascii="Times New Roman" w:hAnsi="Times New Roman" w:cs="Times New Roman"/>
                <w:color w:val="FF0000"/>
                <w:sz w:val="24"/>
                <w:lang w:eastAsia="zh-CN"/>
              </w:rPr>
              <w:t>，</w:t>
            </w:r>
            <w:r>
              <w:rPr>
                <w:rFonts w:hint="eastAsia"/>
                <w:color w:val="FF0000"/>
                <w:sz w:val="24"/>
              </w:rPr>
              <w:t>不对在建项目</w:t>
            </w:r>
            <w:r>
              <w:rPr>
                <w:rFonts w:hint="eastAsia"/>
                <w:color w:val="FF0000"/>
                <w:sz w:val="24"/>
                <w:lang w:val="en-US" w:eastAsia="zh-CN"/>
              </w:rPr>
              <w:t>原料</w:t>
            </w:r>
            <w:r>
              <w:rPr>
                <w:rFonts w:hint="eastAsia"/>
                <w:color w:val="FF0000"/>
                <w:sz w:val="24"/>
              </w:rPr>
              <w:t>进行加工</w:t>
            </w:r>
            <w:r>
              <w:rPr>
                <w:rFonts w:hint="eastAsia" w:ascii="Times New Roman" w:hAnsi="Times New Roman" w:cs="Times New Roman"/>
                <w:color w:val="FF0000"/>
                <w:sz w:val="24"/>
              </w:rPr>
              <w:t>。</w:t>
            </w:r>
            <w:r>
              <w:rPr>
                <w:rFonts w:hint="eastAsia" w:ascii="Times New Roman" w:hAnsi="Times New Roman" w:cs="Times New Roman"/>
                <w:color w:val="auto"/>
                <w:sz w:val="24"/>
              </w:rPr>
              <w:t>因此项目扩建后，</w:t>
            </w:r>
            <w:commentRangeStart w:id="6"/>
            <w:r>
              <w:rPr>
                <w:rFonts w:hint="eastAsia" w:ascii="Times New Roman" w:hAnsi="Times New Roman" w:eastAsia="宋体" w:cs="Times New Roman"/>
                <w:color w:val="auto"/>
                <w:sz w:val="24"/>
              </w:rPr>
              <w:t>全厂总生产规模为：处理1500吨</w:t>
            </w:r>
            <w:r>
              <w:rPr>
                <w:rFonts w:hint="eastAsia" w:ascii="Times New Roman" w:hAnsi="Times New Roman" w:eastAsia="宋体"/>
                <w:color w:val="auto"/>
                <w:sz w:val="24"/>
              </w:rPr>
              <w:t>渗锌</w:t>
            </w:r>
            <w:r>
              <w:rPr>
                <w:rFonts w:hint="eastAsia" w:ascii="Times New Roman" w:hAnsi="Times New Roman" w:eastAsia="宋体" w:cs="Times New Roman"/>
                <w:color w:val="auto"/>
                <w:sz w:val="24"/>
              </w:rPr>
              <w:t>钢零件</w:t>
            </w:r>
            <w:commentRangeEnd w:id="6"/>
            <w:r>
              <w:commentReference w:id="6"/>
            </w:r>
            <w:r>
              <w:rPr>
                <w:rFonts w:hint="eastAsia" w:ascii="Times New Roman" w:hAnsi="Times New Roman" w:eastAsia="宋体" w:cs="Times New Roman"/>
                <w:color w:val="auto"/>
                <w:sz w:val="24"/>
              </w:rPr>
              <w:t>以及1000吨</w:t>
            </w:r>
            <w:r>
              <w:rPr>
                <w:rFonts w:hint="eastAsia" w:ascii="Times New Roman" w:hAnsi="Times New Roman" w:cs="Times New Roman"/>
                <w:color w:val="auto"/>
                <w:sz w:val="24"/>
              </w:rPr>
              <w:t>自动喷漆钢零件</w:t>
            </w:r>
            <w:r>
              <w:rPr>
                <w:rFonts w:hint="eastAsia" w:ascii="Times New Roman" w:hAnsi="Times New Roman" w:eastAsia="宋体" w:cs="Times New Roman"/>
                <w:color w:val="auto"/>
                <w:sz w:val="24"/>
              </w:rPr>
              <w:t>。</w:t>
            </w:r>
          </w:p>
          <w:p w14:paraId="299F1DE5">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color w:val="auto"/>
                <w:sz w:val="24"/>
              </w:rPr>
              <w:t>根据《中华人民共和国环境影响评价法》、国务院第682号令《建设项目环境保护管理条例》规定，该项目应进行环境影响评价工作。按照《建设</w:t>
            </w:r>
            <w:r>
              <w:rPr>
                <w:rFonts w:ascii="Times New Roman" w:hAnsi="Times New Roman" w:cs="Times New Roman"/>
                <w:sz w:val="24"/>
              </w:rPr>
              <w:t>项目环境影响评价分类管理名录》（2021年版）中行业类别分类，本项目属于</w:t>
            </w:r>
            <w:r>
              <w:rPr>
                <w:rFonts w:hint="eastAsia" w:ascii="Times New Roman" w:hAnsi="Times New Roman" w:cs="Times New Roman"/>
                <w:sz w:val="24"/>
              </w:rPr>
              <w:t>“</w:t>
            </w:r>
            <w:r>
              <w:rPr>
                <w:rFonts w:ascii="Times New Roman" w:hAnsi="Times New Roman" w:eastAsia="宋体" w:cs="Times New Roman"/>
                <w:sz w:val="24"/>
              </w:rPr>
              <w:t>三十、</w:t>
            </w:r>
            <w:r>
              <w:rPr>
                <w:rFonts w:hint="eastAsia" w:ascii="Times New Roman" w:hAnsi="Times New Roman" w:eastAsia="宋体" w:cs="Times New Roman"/>
                <w:sz w:val="24"/>
              </w:rPr>
              <w:t>金属制品业</w:t>
            </w:r>
            <w:r>
              <w:rPr>
                <w:rFonts w:ascii="Times New Roman" w:hAnsi="Times New Roman" w:eastAsia="宋体" w:cs="Times New Roman"/>
                <w:sz w:val="24"/>
              </w:rPr>
              <w:t>-</w:t>
            </w:r>
            <w:r>
              <w:rPr>
                <w:rFonts w:hint="eastAsia" w:ascii="Times New Roman" w:hAnsi="Times New Roman" w:eastAsia="宋体" w:cs="Times New Roman"/>
                <w:sz w:val="24"/>
              </w:rPr>
              <w:t>6</w:t>
            </w:r>
            <w:r>
              <w:rPr>
                <w:rFonts w:ascii="Times New Roman" w:hAnsi="Times New Roman" w:eastAsia="宋体" w:cs="Times New Roman"/>
                <w:sz w:val="24"/>
              </w:rPr>
              <w:t>7</w:t>
            </w:r>
            <w:r>
              <w:rPr>
                <w:rFonts w:hint="eastAsia" w:ascii="Times New Roman" w:hAnsi="Times New Roman" w:eastAsia="宋体" w:cs="Times New Roman"/>
                <w:sz w:val="24"/>
              </w:rPr>
              <w:t>金属表面处理及热处理加工</w:t>
            </w:r>
            <w:r>
              <w:rPr>
                <w:rFonts w:hint="eastAsia" w:ascii="Times New Roman" w:hAnsi="Times New Roman" w:cs="Times New Roman"/>
                <w:sz w:val="24"/>
              </w:rPr>
              <w:t>”</w:t>
            </w:r>
            <w:r>
              <w:rPr>
                <w:rFonts w:ascii="Times New Roman" w:hAnsi="Times New Roman" w:cs="Times New Roman"/>
                <w:sz w:val="24"/>
              </w:rPr>
              <w:t>中的</w:t>
            </w:r>
            <w:r>
              <w:rPr>
                <w:rFonts w:hint="eastAsia" w:ascii="Times New Roman" w:hAnsi="Times New Roman" w:cs="Times New Roman"/>
                <w:sz w:val="24"/>
              </w:rPr>
              <w:t>“</w:t>
            </w:r>
            <w:r>
              <w:rPr>
                <w:rFonts w:ascii="Times New Roman" w:hAnsi="Times New Roman" w:cs="Times New Roman"/>
                <w:sz w:val="24"/>
              </w:rPr>
              <w:t>其他（年用非溶剂型低VOC</w:t>
            </w:r>
            <w:r>
              <w:rPr>
                <w:rFonts w:ascii="Times New Roman" w:hAnsi="Times New Roman" w:cs="Times New Roman"/>
                <w:sz w:val="24"/>
                <w:vertAlign w:val="subscript"/>
              </w:rPr>
              <w:t>S</w:t>
            </w:r>
            <w:r>
              <w:rPr>
                <w:rFonts w:ascii="Times New Roman" w:hAnsi="Times New Roman" w:cs="Times New Roman"/>
                <w:sz w:val="24"/>
              </w:rPr>
              <w:t>含量</w:t>
            </w:r>
            <w:r>
              <w:rPr>
                <w:rFonts w:hint="eastAsia" w:ascii="Times New Roman" w:hAnsi="Times New Roman" w:cs="Times New Roman"/>
                <w:sz w:val="24"/>
              </w:rPr>
              <w:t>涂料10吨以下的除外”</w:t>
            </w:r>
            <w:r>
              <w:rPr>
                <w:rFonts w:ascii="Times New Roman" w:hAnsi="Times New Roman" w:cs="Times New Roman"/>
                <w:sz w:val="24"/>
              </w:rPr>
              <w:t>），因此本项目需编制环境影响报告表，具体分类情况见下表。</w:t>
            </w:r>
          </w:p>
          <w:p w14:paraId="14C2F53B">
            <w:pPr>
              <w:pStyle w:val="39"/>
              <w:autoSpaceDE w:val="0"/>
              <w:autoSpaceDN w:val="0"/>
              <w:adjustRightInd w:val="0"/>
              <w:snapToGrid w:val="0"/>
              <w:ind w:right="123"/>
              <w:jc w:val="center"/>
              <w:rPr>
                <w:rFonts w:ascii="Times New Roman" w:hAnsi="Times New Roman" w:cs="Times New Roman" w:eastAsiaTheme="minorEastAsia"/>
                <w:b/>
                <w:spacing w:val="-3"/>
                <w:lang w:val="en-US"/>
              </w:rPr>
            </w:pPr>
            <w:r>
              <w:rPr>
                <w:rFonts w:ascii="Times New Roman" w:hAnsi="Times New Roman" w:cs="Times New Roman" w:eastAsiaTheme="minorEastAsia"/>
                <w:b/>
              </w:rPr>
              <w:t>表</w:t>
            </w:r>
            <w:r>
              <w:rPr>
                <w:rFonts w:ascii="Times New Roman" w:hAnsi="Times New Roman" w:cs="Times New Roman" w:eastAsiaTheme="minorEastAsia"/>
                <w:b/>
                <w:spacing w:val="-52"/>
              </w:rPr>
              <w:t xml:space="preserve"> </w:t>
            </w:r>
            <w:r>
              <w:rPr>
                <w:rFonts w:ascii="Times New Roman" w:hAnsi="Times New Roman" w:cs="Times New Roman" w:eastAsiaTheme="minorEastAsia"/>
                <w:b/>
              </w:rPr>
              <w:t>2-</w:t>
            </w:r>
            <w:r>
              <w:rPr>
                <w:rFonts w:ascii="Times New Roman" w:hAnsi="Times New Roman" w:cs="Times New Roman" w:eastAsiaTheme="minorEastAsia"/>
                <w:b/>
                <w:lang w:val="en-US"/>
              </w:rPr>
              <w:t xml:space="preserve">1  </w:t>
            </w:r>
            <w:r>
              <w:rPr>
                <w:rFonts w:hint="eastAsia" w:ascii="Times New Roman" w:hAnsi="Times New Roman" w:cs="Times New Roman" w:eastAsiaTheme="minorEastAsia"/>
                <w:b/>
                <w:lang w:val="en-US"/>
              </w:rPr>
              <w:t xml:space="preserve">  </w:t>
            </w:r>
            <w:r>
              <w:rPr>
                <w:rFonts w:ascii="Times New Roman" w:hAnsi="Times New Roman" w:cs="Times New Roman" w:eastAsiaTheme="minorEastAsia"/>
                <w:b/>
                <w:lang w:val="en-US"/>
              </w:rPr>
              <w:t>建设项目环境影响评价分类管理名录（摘录）</w:t>
            </w:r>
          </w:p>
          <w:tbl>
            <w:tblPr>
              <w:tblStyle w:val="26"/>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26"/>
              <w:gridCol w:w="1896"/>
              <w:gridCol w:w="2079"/>
              <w:gridCol w:w="1644"/>
              <w:gridCol w:w="935"/>
              <w:gridCol w:w="1525"/>
            </w:tblGrid>
            <w:tr w14:paraId="724082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449" w:type="pct"/>
                  <w:gridSpan w:val="2"/>
                  <w:tcBorders>
                    <w:bottom w:val="single" w:color="000000" w:sz="12" w:space="0"/>
                    <w:tl2br w:val="nil"/>
                    <w:tr2bl w:val="nil"/>
                  </w:tcBorders>
                  <w:vAlign w:val="center"/>
                </w:tcPr>
                <w:p w14:paraId="758B0702">
                  <w:pPr>
                    <w:autoSpaceDE w:val="0"/>
                    <w:autoSpaceDN w:val="0"/>
                    <w:jc w:val="center"/>
                    <w:rPr>
                      <w:rFonts w:ascii="Times New Roman" w:hAnsi="Times New Roman" w:cs="Times New Roman"/>
                      <w:b/>
                      <w:szCs w:val="21"/>
                    </w:rPr>
                  </w:pPr>
                  <w:r>
                    <w:rPr>
                      <w:rFonts w:ascii="Times New Roman" w:hAnsi="Times New Roman" w:cs="Times New Roman"/>
                      <w:b/>
                      <w:szCs w:val="21"/>
                    </w:rPr>
                    <w:t>项目类别</w:t>
                  </w:r>
                </w:p>
              </w:tc>
              <w:tc>
                <w:tcPr>
                  <w:tcW w:w="1194" w:type="pct"/>
                  <w:tcBorders>
                    <w:bottom w:val="single" w:color="000000" w:sz="12" w:space="0"/>
                    <w:tl2br w:val="nil"/>
                    <w:tr2bl w:val="nil"/>
                  </w:tcBorders>
                  <w:vAlign w:val="center"/>
                </w:tcPr>
                <w:p w14:paraId="4549547C">
                  <w:pPr>
                    <w:autoSpaceDE w:val="0"/>
                    <w:autoSpaceDN w:val="0"/>
                    <w:jc w:val="center"/>
                    <w:rPr>
                      <w:rFonts w:ascii="Times New Roman" w:hAnsi="Times New Roman" w:cs="Times New Roman"/>
                      <w:b/>
                      <w:szCs w:val="21"/>
                    </w:rPr>
                  </w:pPr>
                  <w:r>
                    <w:rPr>
                      <w:rFonts w:ascii="Times New Roman" w:hAnsi="Times New Roman" w:cs="Times New Roman"/>
                      <w:b/>
                      <w:szCs w:val="21"/>
                    </w:rPr>
                    <w:t>报告书</w:t>
                  </w:r>
                </w:p>
              </w:tc>
              <w:tc>
                <w:tcPr>
                  <w:tcW w:w="944" w:type="pct"/>
                  <w:tcBorders>
                    <w:bottom w:val="single" w:color="000000" w:sz="12" w:space="0"/>
                    <w:tl2br w:val="nil"/>
                    <w:tr2bl w:val="nil"/>
                  </w:tcBorders>
                  <w:vAlign w:val="center"/>
                </w:tcPr>
                <w:p w14:paraId="659751C1">
                  <w:pPr>
                    <w:autoSpaceDE w:val="0"/>
                    <w:autoSpaceDN w:val="0"/>
                    <w:jc w:val="center"/>
                    <w:rPr>
                      <w:rFonts w:ascii="Times New Roman" w:hAnsi="Times New Roman" w:cs="Times New Roman"/>
                      <w:b/>
                      <w:szCs w:val="21"/>
                    </w:rPr>
                  </w:pPr>
                  <w:r>
                    <w:rPr>
                      <w:rFonts w:ascii="Times New Roman" w:hAnsi="Times New Roman" w:cs="Times New Roman"/>
                      <w:b/>
                      <w:szCs w:val="21"/>
                    </w:rPr>
                    <w:t>报告表</w:t>
                  </w:r>
                </w:p>
              </w:tc>
              <w:tc>
                <w:tcPr>
                  <w:tcW w:w="537" w:type="pct"/>
                  <w:tcBorders>
                    <w:bottom w:val="single" w:color="000000" w:sz="12" w:space="0"/>
                    <w:tl2br w:val="nil"/>
                    <w:tr2bl w:val="nil"/>
                  </w:tcBorders>
                  <w:vAlign w:val="center"/>
                </w:tcPr>
                <w:p w14:paraId="43FB2060">
                  <w:pPr>
                    <w:autoSpaceDE w:val="0"/>
                    <w:autoSpaceDN w:val="0"/>
                    <w:jc w:val="center"/>
                    <w:rPr>
                      <w:rFonts w:ascii="Times New Roman" w:hAnsi="Times New Roman" w:cs="Times New Roman"/>
                      <w:b/>
                      <w:szCs w:val="21"/>
                    </w:rPr>
                  </w:pPr>
                  <w:r>
                    <w:rPr>
                      <w:rFonts w:ascii="Times New Roman" w:hAnsi="Times New Roman" w:cs="Times New Roman"/>
                      <w:b/>
                      <w:szCs w:val="21"/>
                    </w:rPr>
                    <w:t>登记表</w:t>
                  </w:r>
                </w:p>
              </w:tc>
              <w:tc>
                <w:tcPr>
                  <w:tcW w:w="873" w:type="pct"/>
                  <w:tcBorders>
                    <w:bottom w:val="single" w:color="000000" w:sz="12" w:space="0"/>
                    <w:tl2br w:val="nil"/>
                    <w:tr2bl w:val="nil"/>
                  </w:tcBorders>
                  <w:vAlign w:val="center"/>
                </w:tcPr>
                <w:p w14:paraId="649AF991">
                  <w:pPr>
                    <w:autoSpaceDE w:val="0"/>
                    <w:autoSpaceDN w:val="0"/>
                    <w:jc w:val="center"/>
                    <w:rPr>
                      <w:rFonts w:ascii="Times New Roman" w:hAnsi="Times New Roman" w:cs="Times New Roman"/>
                      <w:b/>
                      <w:szCs w:val="21"/>
                    </w:rPr>
                  </w:pPr>
                  <w:r>
                    <w:rPr>
                      <w:rFonts w:ascii="Times New Roman" w:hAnsi="Times New Roman" w:cs="Times New Roman"/>
                      <w:b/>
                      <w:szCs w:val="21"/>
                    </w:rPr>
                    <w:t>本项目</w:t>
                  </w:r>
                </w:p>
              </w:tc>
            </w:tr>
            <w:tr w14:paraId="0467E3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5000" w:type="pct"/>
                  <w:gridSpan w:val="6"/>
                  <w:tcBorders>
                    <w:top w:val="single" w:color="000000" w:sz="12" w:space="0"/>
                    <w:tl2br w:val="nil"/>
                    <w:tr2bl w:val="nil"/>
                  </w:tcBorders>
                  <w:vAlign w:val="center"/>
                </w:tcPr>
                <w:p w14:paraId="4BD46BB5">
                  <w:pPr>
                    <w:jc w:val="left"/>
                    <w:rPr>
                      <w:rFonts w:ascii="Times New Roman" w:hAnsi="Times New Roman" w:cs="Times New Roman"/>
                      <w:szCs w:val="21"/>
                    </w:rPr>
                  </w:pPr>
                  <w:r>
                    <w:rPr>
                      <w:rFonts w:ascii="Times New Roman" w:hAnsi="Times New Roman" w:eastAsia="宋体" w:cs="Times New Roman"/>
                      <w:szCs w:val="21"/>
                    </w:rPr>
                    <w:t>三十、</w:t>
                  </w:r>
                  <w:r>
                    <w:rPr>
                      <w:rFonts w:hint="eastAsia" w:ascii="Times New Roman" w:hAnsi="Times New Roman" w:eastAsia="宋体" w:cs="Times New Roman"/>
                      <w:szCs w:val="21"/>
                    </w:rPr>
                    <w:t>金属制品</w:t>
                  </w:r>
                  <w:r>
                    <w:rPr>
                      <w:rFonts w:ascii="Times New Roman" w:hAnsi="Times New Roman" w:eastAsia="宋体" w:cs="Times New Roman"/>
                      <w:szCs w:val="21"/>
                    </w:rPr>
                    <w:t>业3</w:t>
                  </w:r>
                  <w:r>
                    <w:rPr>
                      <w:rFonts w:hint="eastAsia" w:ascii="Times New Roman" w:hAnsi="Times New Roman" w:eastAsia="宋体" w:cs="Times New Roman"/>
                      <w:szCs w:val="21"/>
                    </w:rPr>
                    <w:t>3</w:t>
                  </w:r>
                </w:p>
              </w:tc>
            </w:tr>
            <w:tr w14:paraId="5F997B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360" w:type="pct"/>
                  <w:tcBorders>
                    <w:right w:val="single" w:color="auto" w:sz="4" w:space="0"/>
                    <w:tl2br w:val="nil"/>
                    <w:tr2bl w:val="nil"/>
                  </w:tcBorders>
                  <w:vAlign w:val="center"/>
                </w:tcPr>
                <w:p w14:paraId="4BD92DC5">
                  <w:pPr>
                    <w:jc w:val="center"/>
                    <w:rPr>
                      <w:rFonts w:ascii="Times New Roman" w:hAnsi="Times New Roman" w:cs="Times New Roman"/>
                      <w:color w:val="auto"/>
                      <w:szCs w:val="21"/>
                    </w:rPr>
                  </w:pPr>
                  <w:r>
                    <w:rPr>
                      <w:rFonts w:hint="eastAsia" w:ascii="Times New Roman" w:hAnsi="Times New Roman" w:cs="Times New Roman"/>
                      <w:color w:val="auto"/>
                      <w:szCs w:val="21"/>
                    </w:rPr>
                    <w:t>6</w:t>
                  </w:r>
                  <w:r>
                    <w:rPr>
                      <w:rFonts w:ascii="Times New Roman" w:hAnsi="Times New Roman" w:cs="Times New Roman"/>
                      <w:color w:val="auto"/>
                      <w:szCs w:val="21"/>
                    </w:rPr>
                    <w:t>7</w:t>
                  </w:r>
                </w:p>
              </w:tc>
              <w:tc>
                <w:tcPr>
                  <w:tcW w:w="1088" w:type="pct"/>
                  <w:tcBorders>
                    <w:left w:val="single" w:color="auto" w:sz="4" w:space="0"/>
                    <w:tl2br w:val="nil"/>
                    <w:tr2bl w:val="nil"/>
                  </w:tcBorders>
                  <w:vAlign w:val="center"/>
                </w:tcPr>
                <w:p w14:paraId="061523DD">
                  <w:pPr>
                    <w:jc w:val="center"/>
                    <w:rPr>
                      <w:rFonts w:ascii="Times New Roman" w:hAnsi="Times New Roman" w:cs="Times New Roman"/>
                      <w:color w:val="auto"/>
                      <w:szCs w:val="21"/>
                    </w:rPr>
                  </w:pPr>
                  <w:r>
                    <w:rPr>
                      <w:rFonts w:hint="eastAsia" w:ascii="Times New Roman" w:hAnsi="Times New Roman" w:eastAsia="宋体" w:cs="Times New Roman"/>
                      <w:color w:val="auto"/>
                      <w:szCs w:val="21"/>
                    </w:rPr>
                    <w:t>金属表面处理及热处理加工</w:t>
                  </w:r>
                </w:p>
              </w:tc>
              <w:tc>
                <w:tcPr>
                  <w:tcW w:w="1194" w:type="pct"/>
                  <w:tcBorders>
                    <w:tl2br w:val="nil"/>
                    <w:tr2bl w:val="nil"/>
                  </w:tcBorders>
                  <w:vAlign w:val="center"/>
                </w:tcPr>
                <w:p w14:paraId="2CA08351">
                  <w:pPr>
                    <w:jc w:val="center"/>
                    <w:rPr>
                      <w:rFonts w:ascii="Times New Roman" w:hAnsi="Times New Roman" w:cs="Times New Roman"/>
                      <w:color w:val="auto"/>
                      <w:szCs w:val="21"/>
                    </w:rPr>
                  </w:pPr>
                  <w:r>
                    <w:rPr>
                      <w:rFonts w:hint="eastAsia" w:ascii="Times New Roman" w:hAnsi="Times New Roman" w:eastAsia="宋体" w:cs="Times New Roman"/>
                      <w:color w:val="auto"/>
                      <w:szCs w:val="21"/>
                    </w:rPr>
                    <w:t>有</w:t>
                  </w:r>
                  <w:r>
                    <w:rPr>
                      <w:rFonts w:ascii="Times New Roman" w:hAnsi="Times New Roman" w:eastAsia="宋体" w:cs="Times New Roman"/>
                      <w:color w:val="auto"/>
                      <w:szCs w:val="21"/>
                    </w:rPr>
                    <w:t>电镀工艺的；有钝化工艺的热镀锌；使用有机涂层的（喷粉、喷塑、浸塑和电泳除外；年用溶剂型涂料（含稀释剂）10吨以下和用非溶剂型低VOCs含量涂料的除外）</w:t>
                  </w:r>
                </w:p>
              </w:tc>
              <w:tc>
                <w:tcPr>
                  <w:tcW w:w="944" w:type="pct"/>
                  <w:tcBorders>
                    <w:tl2br w:val="nil"/>
                    <w:tr2bl w:val="nil"/>
                  </w:tcBorders>
                  <w:vAlign w:val="center"/>
                </w:tcPr>
                <w:p w14:paraId="109860EE">
                  <w:pPr>
                    <w:jc w:val="center"/>
                    <w:rPr>
                      <w:rFonts w:ascii="Times New Roman" w:hAnsi="Times New Roman" w:cs="Times New Roman"/>
                      <w:color w:val="auto"/>
                      <w:szCs w:val="21"/>
                    </w:rPr>
                  </w:pPr>
                  <w:r>
                    <w:rPr>
                      <w:rFonts w:ascii="Times New Roman" w:hAnsi="Times New Roman" w:cs="Times New Roman"/>
                      <w:color w:val="auto"/>
                      <w:szCs w:val="21"/>
                    </w:rPr>
                    <w:t>其他（年用非溶剂型低VOCS含量</w:t>
                  </w:r>
                  <w:r>
                    <w:rPr>
                      <w:rFonts w:hint="eastAsia" w:ascii="Times New Roman" w:hAnsi="Times New Roman" w:cs="Times New Roman"/>
                      <w:color w:val="auto"/>
                      <w:szCs w:val="21"/>
                    </w:rPr>
                    <w:t>涂料10吨以下的除外</w:t>
                  </w:r>
                  <w:r>
                    <w:rPr>
                      <w:rFonts w:ascii="Times New Roman" w:hAnsi="Times New Roman" w:cs="Times New Roman"/>
                      <w:color w:val="auto"/>
                      <w:szCs w:val="21"/>
                    </w:rPr>
                    <w:t>）</w:t>
                  </w:r>
                </w:p>
              </w:tc>
              <w:tc>
                <w:tcPr>
                  <w:tcW w:w="537" w:type="pct"/>
                  <w:tcBorders>
                    <w:tl2br w:val="nil"/>
                    <w:tr2bl w:val="nil"/>
                  </w:tcBorders>
                  <w:vAlign w:val="center"/>
                </w:tcPr>
                <w:p w14:paraId="453660D7">
                  <w:pPr>
                    <w:jc w:val="center"/>
                    <w:rPr>
                      <w:rFonts w:ascii="Times New Roman" w:hAnsi="Times New Roman" w:cs="Times New Roman"/>
                      <w:color w:val="auto"/>
                      <w:szCs w:val="21"/>
                    </w:rPr>
                  </w:pPr>
                  <w:r>
                    <w:rPr>
                      <w:rFonts w:ascii="Times New Roman" w:hAnsi="Times New Roman" w:cs="Times New Roman"/>
                      <w:color w:val="auto"/>
                      <w:szCs w:val="21"/>
                    </w:rPr>
                    <w:t>/</w:t>
                  </w:r>
                </w:p>
              </w:tc>
              <w:tc>
                <w:tcPr>
                  <w:tcW w:w="873" w:type="pct"/>
                  <w:tcBorders>
                    <w:tl2br w:val="nil"/>
                    <w:tr2bl w:val="nil"/>
                  </w:tcBorders>
                  <w:vAlign w:val="center"/>
                </w:tcPr>
                <w:p w14:paraId="61C7B172">
                  <w:pPr>
                    <w:jc w:val="center"/>
                    <w:rPr>
                      <w:rFonts w:ascii="Times New Roman" w:hAnsi="Times New Roman" w:cs="Times New Roman"/>
                      <w:color w:val="auto"/>
                      <w:szCs w:val="21"/>
                    </w:rPr>
                  </w:pPr>
                  <w:r>
                    <w:rPr>
                      <w:rFonts w:ascii="Times New Roman" w:hAnsi="Times New Roman" w:cs="Times New Roman"/>
                      <w:color w:val="auto"/>
                      <w:szCs w:val="21"/>
                    </w:rPr>
                    <w:t>本项目主要</w:t>
                  </w:r>
                  <w:r>
                    <w:rPr>
                      <w:rFonts w:hint="eastAsia" w:ascii="Times New Roman" w:hAnsi="Times New Roman" w:cs="Times New Roman"/>
                      <w:color w:val="auto"/>
                      <w:szCs w:val="21"/>
                    </w:rPr>
                    <w:t>工艺为喷砂、喷漆，本项目非溶剂型涂料用量为10吨，应编制报告表</w:t>
                  </w:r>
                </w:p>
              </w:tc>
            </w:tr>
          </w:tbl>
          <w:p w14:paraId="1BB99C2A">
            <w:pPr>
              <w:adjustRightInd w:val="0"/>
              <w:snapToGrid w:val="0"/>
              <w:spacing w:line="360" w:lineRule="auto"/>
              <w:ind w:firstLine="480" w:firstLineChars="200"/>
              <w:rPr>
                <w:rFonts w:ascii="Times New Roman" w:hAnsi="Times New Roman" w:cs="Times New Roman"/>
                <w:b/>
                <w:color w:val="auto"/>
                <w:sz w:val="24"/>
              </w:rPr>
            </w:pPr>
            <w:r>
              <w:rPr>
                <w:rFonts w:hint="eastAsia" w:ascii="Times New Roman" w:hAnsi="Times New Roman" w:cs="Times New Roman"/>
                <w:color w:val="auto"/>
                <w:sz w:val="24"/>
              </w:rPr>
              <w:t>因此，宝鸡天浩泰金属表面处理有限公司</w:t>
            </w:r>
            <w:r>
              <w:rPr>
                <w:rFonts w:ascii="Times New Roman" w:hAnsi="Times New Roman" w:cs="Times New Roman"/>
                <w:color w:val="auto"/>
                <w:sz w:val="24"/>
                <w:lang w:val="zh-CN"/>
              </w:rPr>
              <w:t>委托我单位承担本项目环境影响报告表的编制工作，委托书见附件1，接受委托后，我单位组织有关技术人员对本项目地进行了详细的现场踏勘、资料收集，在对有关环境现状和可能造成环境影响进行分析的基础上，完成《</w:t>
            </w:r>
            <w:r>
              <w:rPr>
                <w:rFonts w:hint="eastAsia" w:ascii="Times New Roman" w:hAnsi="Times New Roman" w:cs="Times New Roman"/>
                <w:color w:val="auto"/>
                <w:sz w:val="24"/>
              </w:rPr>
              <w:t>钢零件表面处理生产线扩建项目</w:t>
            </w:r>
            <w:r>
              <w:rPr>
                <w:rFonts w:ascii="Times New Roman" w:hAnsi="Times New Roman" w:cs="Times New Roman"/>
                <w:color w:val="auto"/>
                <w:sz w:val="24"/>
                <w:lang w:val="zh-CN"/>
              </w:rPr>
              <w:t>环境影响报告表》。</w:t>
            </w:r>
          </w:p>
          <w:p w14:paraId="358FA2C9">
            <w:pPr>
              <w:pStyle w:val="39"/>
              <w:tabs>
                <w:tab w:val="left" w:pos="418"/>
              </w:tabs>
              <w:autoSpaceDE w:val="0"/>
              <w:autoSpaceDN w:val="0"/>
              <w:adjustRightInd w:val="0"/>
              <w:snapToGrid w:val="0"/>
              <w:spacing w:line="360" w:lineRule="auto"/>
              <w:ind w:firstLine="482" w:firstLineChars="200"/>
              <w:jc w:val="left"/>
              <w:rPr>
                <w:rFonts w:ascii="Times New Roman" w:hAnsi="Times New Roman" w:cs="Times New Roman" w:eastAsiaTheme="minorEastAsia"/>
                <w:b/>
                <w:sz w:val="24"/>
                <w:lang w:val="en-US"/>
              </w:rPr>
            </w:pPr>
            <w:r>
              <w:rPr>
                <w:rFonts w:ascii="Times New Roman" w:hAnsi="Times New Roman" w:cs="Times New Roman" w:eastAsiaTheme="minorEastAsia"/>
                <w:b/>
                <w:sz w:val="24"/>
                <w:lang w:val="en-US"/>
              </w:rPr>
              <w:t>二、项目概况</w:t>
            </w:r>
          </w:p>
          <w:p w14:paraId="2B247022">
            <w:pPr>
              <w:pStyle w:val="39"/>
              <w:tabs>
                <w:tab w:val="left" w:pos="418"/>
              </w:tabs>
              <w:autoSpaceDE w:val="0"/>
              <w:autoSpaceDN w:val="0"/>
              <w:adjustRightInd w:val="0"/>
              <w:snapToGrid w:val="0"/>
              <w:spacing w:line="360" w:lineRule="auto"/>
              <w:ind w:firstLine="482" w:firstLineChars="200"/>
              <w:jc w:val="left"/>
              <w:rPr>
                <w:rFonts w:ascii="Times New Roman" w:hAnsi="Times New Roman" w:cs="Times New Roman" w:eastAsiaTheme="minorEastAsia"/>
                <w:b/>
                <w:sz w:val="24"/>
                <w:lang w:val="en-US"/>
              </w:rPr>
            </w:pPr>
            <w:r>
              <w:rPr>
                <w:rFonts w:ascii="Times New Roman" w:hAnsi="Times New Roman" w:cs="Times New Roman" w:eastAsiaTheme="minorEastAsia"/>
                <w:b/>
                <w:sz w:val="24"/>
                <w:lang w:val="en-US"/>
              </w:rPr>
              <w:t>1、基本情况</w:t>
            </w:r>
          </w:p>
          <w:p w14:paraId="556112CC">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（1）项目名称：</w:t>
            </w:r>
            <w:r>
              <w:rPr>
                <w:rFonts w:hint="eastAsia" w:ascii="Times New Roman" w:hAnsi="Times New Roman" w:cs="Times New Roman"/>
                <w:sz w:val="24"/>
              </w:rPr>
              <w:t>钢零件表面处理生产线扩建项目</w:t>
            </w:r>
          </w:p>
          <w:p w14:paraId="4EEEF05B">
            <w:pPr>
              <w:adjustRightInd w:val="0"/>
              <w:snapToGrid w:val="0"/>
              <w:spacing w:line="360" w:lineRule="auto"/>
              <w:ind w:firstLine="480" w:firstLineChars="200"/>
              <w:rPr>
                <w:sz w:val="24"/>
              </w:rPr>
            </w:pPr>
            <w:r>
              <w:rPr>
                <w:rFonts w:ascii="Times New Roman" w:hAnsi="Times New Roman" w:cs="Times New Roman"/>
                <w:sz w:val="24"/>
              </w:rPr>
              <w:t>（2）建设单位：</w:t>
            </w:r>
            <w:r>
              <w:rPr>
                <w:rFonts w:hint="eastAsia" w:ascii="Times New Roman" w:hAnsi="Times New Roman" w:cs="Times New Roman"/>
                <w:sz w:val="24"/>
              </w:rPr>
              <w:t>宝鸡天浩泰金属表面处理有限公司</w:t>
            </w:r>
          </w:p>
          <w:p w14:paraId="03C2A050">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（3）项目性质：</w:t>
            </w:r>
            <w:r>
              <w:rPr>
                <w:rFonts w:hint="eastAsia" w:ascii="Times New Roman" w:hAnsi="Times New Roman" w:cs="Times New Roman"/>
                <w:sz w:val="24"/>
              </w:rPr>
              <w:t>扩建</w:t>
            </w:r>
          </w:p>
          <w:p w14:paraId="755ED4A1">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（4）总</w:t>
            </w:r>
            <w:r>
              <w:rPr>
                <w:rFonts w:hint="eastAsia" w:ascii="Times New Roman" w:hAnsi="Times New Roman" w:cs="Times New Roman"/>
                <w:sz w:val="24"/>
              </w:rPr>
              <w:t xml:space="preserve"> </w:t>
            </w:r>
            <w:r>
              <w:rPr>
                <w:rFonts w:ascii="Times New Roman" w:hAnsi="Times New Roman" w:cs="Times New Roman"/>
                <w:sz w:val="24"/>
              </w:rPr>
              <w:t>投</w:t>
            </w:r>
            <w:r>
              <w:rPr>
                <w:rFonts w:hint="eastAsia" w:ascii="Times New Roman" w:hAnsi="Times New Roman" w:cs="Times New Roman"/>
                <w:sz w:val="24"/>
              </w:rPr>
              <w:t xml:space="preserve"> </w:t>
            </w:r>
            <w:r>
              <w:rPr>
                <w:rFonts w:ascii="Times New Roman" w:hAnsi="Times New Roman" w:cs="Times New Roman"/>
                <w:sz w:val="24"/>
              </w:rPr>
              <w:t>资：</w:t>
            </w:r>
            <w:r>
              <w:rPr>
                <w:rFonts w:hint="eastAsia" w:ascii="Times New Roman" w:hAnsi="Times New Roman" w:cs="Times New Roman"/>
                <w:sz w:val="24"/>
              </w:rPr>
              <w:t>80</w:t>
            </w:r>
            <w:r>
              <w:rPr>
                <w:rFonts w:ascii="Times New Roman" w:hAnsi="Times New Roman" w:cs="Times New Roman"/>
                <w:sz w:val="24"/>
              </w:rPr>
              <w:t>万元</w:t>
            </w:r>
          </w:p>
          <w:p w14:paraId="7872ABBB">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（5）建设地点：本项目位于宝鸡市</w:t>
            </w:r>
            <w:r>
              <w:rPr>
                <w:rFonts w:hint="eastAsia" w:ascii="Times New Roman" w:hAnsi="Times New Roman" w:cs="Times New Roman"/>
                <w:sz w:val="24"/>
              </w:rPr>
              <w:t>姜谭经济开发区宝鸡市秦成工贸（集团）有限责任公司院内</w:t>
            </w:r>
            <w:r>
              <w:rPr>
                <w:rFonts w:ascii="Times New Roman" w:hAnsi="Times New Roman" w:cs="Times New Roman"/>
                <w:sz w:val="24"/>
              </w:rPr>
              <w:t>，项目中心地理坐标为：107度</w:t>
            </w:r>
            <w:r>
              <w:rPr>
                <w:rFonts w:hint="eastAsia" w:ascii="Times New Roman" w:hAnsi="Times New Roman" w:cs="Times New Roman"/>
                <w:sz w:val="24"/>
              </w:rPr>
              <w:t>05</w:t>
            </w:r>
            <w:r>
              <w:rPr>
                <w:rFonts w:ascii="Times New Roman" w:hAnsi="Times New Roman" w:cs="Times New Roman"/>
                <w:sz w:val="24"/>
              </w:rPr>
              <w:t>分</w:t>
            </w:r>
            <w:r>
              <w:rPr>
                <w:rFonts w:hint="eastAsia" w:ascii="Times New Roman" w:hAnsi="Times New Roman" w:cs="Times New Roman"/>
                <w:sz w:val="24"/>
              </w:rPr>
              <w:t>29</w:t>
            </w:r>
            <w:r>
              <w:rPr>
                <w:rFonts w:ascii="Times New Roman" w:hAnsi="Times New Roman" w:cs="Times New Roman"/>
                <w:sz w:val="24"/>
              </w:rPr>
              <w:t>.0</w:t>
            </w:r>
            <w:r>
              <w:rPr>
                <w:rFonts w:hint="eastAsia" w:ascii="Times New Roman" w:hAnsi="Times New Roman" w:cs="Times New Roman"/>
                <w:sz w:val="24"/>
              </w:rPr>
              <w:t>71</w:t>
            </w:r>
            <w:r>
              <w:rPr>
                <w:rFonts w:ascii="Times New Roman" w:hAnsi="Times New Roman" w:cs="Times New Roman"/>
                <w:spacing w:val="-3"/>
                <w:sz w:val="24"/>
              </w:rPr>
              <w:t>秒，</w:t>
            </w:r>
            <w:r>
              <w:rPr>
                <w:rFonts w:ascii="Times New Roman" w:hAnsi="Times New Roman" w:cs="Times New Roman"/>
                <w:sz w:val="24"/>
              </w:rPr>
              <w:t>34度2</w:t>
            </w:r>
            <w:r>
              <w:rPr>
                <w:rFonts w:hint="eastAsia" w:ascii="Times New Roman" w:hAnsi="Times New Roman" w:cs="Times New Roman"/>
                <w:sz w:val="24"/>
              </w:rPr>
              <w:t>1</w:t>
            </w:r>
            <w:r>
              <w:rPr>
                <w:rFonts w:ascii="Times New Roman" w:hAnsi="Times New Roman" w:cs="Times New Roman"/>
                <w:spacing w:val="-3"/>
                <w:sz w:val="24"/>
              </w:rPr>
              <w:t>分</w:t>
            </w:r>
            <w:r>
              <w:rPr>
                <w:rFonts w:hint="eastAsia" w:ascii="Times New Roman" w:hAnsi="Times New Roman" w:cs="Times New Roman"/>
                <w:spacing w:val="-3"/>
                <w:sz w:val="24"/>
              </w:rPr>
              <w:t>5</w:t>
            </w:r>
            <w:r>
              <w:rPr>
                <w:rFonts w:ascii="Times New Roman" w:hAnsi="Times New Roman" w:cs="Times New Roman"/>
                <w:spacing w:val="-3"/>
                <w:sz w:val="24"/>
              </w:rPr>
              <w:t>0.</w:t>
            </w:r>
            <w:r>
              <w:rPr>
                <w:rFonts w:hint="eastAsia" w:ascii="Times New Roman" w:hAnsi="Times New Roman" w:cs="Times New Roman"/>
                <w:spacing w:val="-3"/>
                <w:sz w:val="24"/>
              </w:rPr>
              <w:t>25</w:t>
            </w:r>
            <w:r>
              <w:rPr>
                <w:rFonts w:ascii="Times New Roman" w:hAnsi="Times New Roman" w:cs="Times New Roman"/>
                <w:spacing w:val="-3"/>
                <w:sz w:val="24"/>
              </w:rPr>
              <w:t>3秒</w:t>
            </w:r>
            <w:r>
              <w:rPr>
                <w:rFonts w:ascii="Times New Roman" w:hAnsi="Times New Roman" w:cs="Times New Roman"/>
                <w:sz w:val="24"/>
              </w:rPr>
              <w:t>，拟建地北侧为</w:t>
            </w:r>
            <w:r>
              <w:rPr>
                <w:rFonts w:hint="eastAsia" w:ascii="Times New Roman" w:hAnsi="Times New Roman" w:cs="Times New Roman"/>
                <w:sz w:val="24"/>
              </w:rPr>
              <w:t>宝鸡市秦成工贸（集团）有限责任公司厂房</w:t>
            </w:r>
            <w:r>
              <w:rPr>
                <w:rFonts w:ascii="Times New Roman" w:hAnsi="Times New Roman" w:cs="Times New Roman"/>
                <w:sz w:val="24"/>
              </w:rPr>
              <w:t>，东侧紧邻</w:t>
            </w:r>
            <w:r>
              <w:rPr>
                <w:rFonts w:hint="eastAsia" w:ascii="Times New Roman" w:hAnsi="Times New Roman" w:cs="Times New Roman"/>
                <w:sz w:val="24"/>
              </w:rPr>
              <w:t>宝鸡海森美尔电气有限公司</w:t>
            </w:r>
            <w:r>
              <w:rPr>
                <w:rFonts w:ascii="Times New Roman" w:hAnsi="Times New Roman" w:cs="Times New Roman"/>
                <w:sz w:val="24"/>
              </w:rPr>
              <w:t>，</w:t>
            </w:r>
            <w:r>
              <w:rPr>
                <w:rFonts w:hint="eastAsia" w:ascii="Times New Roman" w:hAnsi="Times New Roman" w:cs="Times New Roman"/>
                <w:sz w:val="24"/>
              </w:rPr>
              <w:t>南侧40m处为宝鸡华达工贸有限公司</w:t>
            </w:r>
            <w:r>
              <w:rPr>
                <w:rFonts w:ascii="Times New Roman" w:hAnsi="Times New Roman" w:cs="Times New Roman"/>
                <w:sz w:val="24"/>
              </w:rPr>
              <w:t>，</w:t>
            </w:r>
            <w:r>
              <w:rPr>
                <w:rFonts w:hint="eastAsia" w:ascii="Times New Roman" w:hAnsi="Times New Roman" w:cs="Times New Roman"/>
                <w:sz w:val="24"/>
              </w:rPr>
              <w:t>西南侧45m</w:t>
            </w:r>
            <w:r>
              <w:rPr>
                <w:rFonts w:ascii="Times New Roman" w:hAnsi="Times New Roman" w:cs="Times New Roman"/>
                <w:sz w:val="24"/>
              </w:rPr>
              <w:t>为</w:t>
            </w:r>
            <w:r>
              <w:rPr>
                <w:rFonts w:hint="eastAsia" w:ascii="Times New Roman" w:hAnsi="Times New Roman" w:cs="Times New Roman"/>
                <w:sz w:val="24"/>
              </w:rPr>
              <w:t>巨家村</w:t>
            </w:r>
            <w:r>
              <w:rPr>
                <w:rFonts w:ascii="Times New Roman" w:hAnsi="Times New Roman" w:cs="Times New Roman"/>
                <w:sz w:val="24"/>
              </w:rPr>
              <w:t>。</w:t>
            </w:r>
          </w:p>
          <w:p w14:paraId="7E0DF32C">
            <w:pPr>
              <w:pStyle w:val="39"/>
              <w:tabs>
                <w:tab w:val="left" w:pos="418"/>
              </w:tabs>
              <w:autoSpaceDE w:val="0"/>
              <w:autoSpaceDN w:val="0"/>
              <w:adjustRightInd w:val="0"/>
              <w:snapToGrid w:val="0"/>
              <w:spacing w:line="360" w:lineRule="auto"/>
              <w:ind w:firstLine="482" w:firstLineChars="200"/>
              <w:jc w:val="left"/>
              <w:rPr>
                <w:rFonts w:ascii="Times New Roman" w:hAnsi="Times New Roman" w:cs="Times New Roman" w:eastAsiaTheme="minorEastAsia"/>
                <w:b/>
                <w:sz w:val="24"/>
              </w:rPr>
            </w:pPr>
            <w:r>
              <w:rPr>
                <w:rFonts w:ascii="Times New Roman" w:hAnsi="Times New Roman" w:cs="Times New Roman" w:eastAsiaTheme="minorEastAsia"/>
                <w:b/>
                <w:sz w:val="24"/>
                <w:lang w:val="en-US"/>
              </w:rPr>
              <w:t>2、</w:t>
            </w:r>
            <w:r>
              <w:rPr>
                <w:rFonts w:ascii="Times New Roman" w:hAnsi="Times New Roman" w:cs="Times New Roman" w:eastAsiaTheme="minorEastAsia"/>
                <w:b/>
                <w:sz w:val="24"/>
              </w:rPr>
              <w:t>项目组成</w:t>
            </w:r>
          </w:p>
          <w:p w14:paraId="11BA613E">
            <w:pPr>
              <w:pStyle w:val="39"/>
              <w:autoSpaceDE w:val="0"/>
              <w:autoSpaceDN w:val="0"/>
              <w:adjustRightInd w:val="0"/>
              <w:snapToGrid w:val="0"/>
              <w:spacing w:line="360" w:lineRule="auto"/>
              <w:ind w:right="123" w:firstLine="480" w:firstLineChars="200"/>
              <w:rPr>
                <w:rFonts w:ascii="Times New Roman" w:hAnsi="Times New Roman" w:cs="Times New Roman" w:eastAsiaTheme="minorEastAsia"/>
                <w:lang w:val="en-US" w:bidi="ar-SA"/>
              </w:rPr>
            </w:pPr>
            <w:r>
              <w:rPr>
                <w:rFonts w:ascii="Times New Roman" w:hAnsi="Times New Roman" w:cs="Times New Roman" w:eastAsiaTheme="minorEastAsia"/>
                <w:sz w:val="24"/>
                <w:lang w:val="en-US" w:bidi="ar-SA"/>
              </w:rPr>
              <w:t>项目组成详见下表。</w:t>
            </w:r>
          </w:p>
          <w:p w14:paraId="13623EC0">
            <w:pPr>
              <w:pStyle w:val="2"/>
              <w:ind w:left="842" w:hanging="422"/>
              <w:jc w:val="center"/>
              <w:rPr>
                <w:rFonts w:ascii="Times New Roman" w:hAnsi="Times New Roman" w:cs="Times New Roman"/>
                <w:b/>
                <w:bCs/>
              </w:rPr>
            </w:pPr>
            <w:r>
              <w:rPr>
                <w:rFonts w:ascii="Times New Roman" w:hAnsi="Times New Roman" w:cs="Times New Roman"/>
                <w:b/>
                <w:bCs/>
              </w:rPr>
              <w:t xml:space="preserve">表2-2  </w:t>
            </w:r>
            <w:r>
              <w:rPr>
                <w:rFonts w:hint="eastAsia" w:ascii="Times New Roman" w:hAnsi="Times New Roman" w:cs="Times New Roman"/>
                <w:b/>
                <w:bCs/>
              </w:rPr>
              <w:t xml:space="preserve">  </w:t>
            </w:r>
            <w:r>
              <w:rPr>
                <w:rFonts w:ascii="Times New Roman" w:hAnsi="Times New Roman" w:cs="Times New Roman"/>
                <w:b/>
                <w:bCs/>
              </w:rPr>
              <w:t>项目建设内容及规模一览表</w:t>
            </w:r>
          </w:p>
          <w:tbl>
            <w:tblPr>
              <w:tblStyle w:val="26"/>
              <w:tblW w:w="866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5"/>
              <w:gridCol w:w="720"/>
              <w:gridCol w:w="893"/>
              <w:gridCol w:w="1381"/>
              <w:gridCol w:w="4089"/>
              <w:gridCol w:w="1060"/>
            </w:tblGrid>
            <w:tr w14:paraId="31253E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5" w:type="dxa"/>
                  <w:tcBorders>
                    <w:tl2br w:val="nil"/>
                    <w:tr2bl w:val="nil"/>
                  </w:tcBorders>
                  <w:vAlign w:val="center"/>
                </w:tcPr>
                <w:p w14:paraId="20A57E53">
                  <w:pPr>
                    <w:adjustRightInd w:val="0"/>
                    <w:snapToGrid w:val="0"/>
                    <w:jc w:val="center"/>
                    <w:rPr>
                      <w:rFonts w:ascii="Times New Roman" w:hAnsi="Times New Roman" w:cs="Times New Roman"/>
                      <w:b/>
                      <w:bCs/>
                      <w:szCs w:val="21"/>
                    </w:rPr>
                  </w:pPr>
                  <w:r>
                    <w:rPr>
                      <w:rFonts w:ascii="Times New Roman" w:hAnsi="Times New Roman" w:cs="Times New Roman"/>
                      <w:b/>
                      <w:bCs/>
                      <w:szCs w:val="21"/>
                    </w:rPr>
                    <w:t>序号</w:t>
                  </w:r>
                </w:p>
              </w:tc>
              <w:tc>
                <w:tcPr>
                  <w:tcW w:w="720" w:type="dxa"/>
                  <w:tcBorders>
                    <w:tl2br w:val="nil"/>
                    <w:tr2bl w:val="nil"/>
                  </w:tcBorders>
                  <w:vAlign w:val="center"/>
                </w:tcPr>
                <w:p w14:paraId="12132D17">
                  <w:pPr>
                    <w:adjustRightInd w:val="0"/>
                    <w:snapToGrid w:val="0"/>
                    <w:jc w:val="center"/>
                    <w:rPr>
                      <w:rFonts w:ascii="Times New Roman" w:hAnsi="Times New Roman" w:cs="Times New Roman"/>
                      <w:b/>
                      <w:bCs/>
                      <w:szCs w:val="21"/>
                    </w:rPr>
                  </w:pPr>
                  <w:r>
                    <w:rPr>
                      <w:rFonts w:ascii="Times New Roman" w:hAnsi="Times New Roman" w:cs="Times New Roman"/>
                      <w:b/>
                      <w:bCs/>
                      <w:szCs w:val="21"/>
                    </w:rPr>
                    <w:t>工程</w:t>
                  </w:r>
                </w:p>
                <w:p w14:paraId="1A6C3B82">
                  <w:pPr>
                    <w:adjustRightInd w:val="0"/>
                    <w:snapToGrid w:val="0"/>
                    <w:jc w:val="center"/>
                    <w:rPr>
                      <w:rFonts w:ascii="Times New Roman" w:hAnsi="Times New Roman" w:cs="Times New Roman"/>
                      <w:b/>
                      <w:bCs/>
                      <w:szCs w:val="21"/>
                    </w:rPr>
                  </w:pPr>
                  <w:r>
                    <w:rPr>
                      <w:rFonts w:ascii="Times New Roman" w:hAnsi="Times New Roman" w:cs="Times New Roman"/>
                      <w:b/>
                      <w:bCs/>
                      <w:szCs w:val="21"/>
                    </w:rPr>
                    <w:t>类别</w:t>
                  </w:r>
                </w:p>
              </w:tc>
              <w:tc>
                <w:tcPr>
                  <w:tcW w:w="893" w:type="dxa"/>
                  <w:tcBorders>
                    <w:tl2br w:val="nil"/>
                    <w:tr2bl w:val="nil"/>
                  </w:tcBorders>
                  <w:vAlign w:val="center"/>
                </w:tcPr>
                <w:p w14:paraId="04676F98">
                  <w:pPr>
                    <w:adjustRightInd w:val="0"/>
                    <w:snapToGrid w:val="0"/>
                    <w:jc w:val="center"/>
                    <w:rPr>
                      <w:rFonts w:ascii="Times New Roman" w:hAnsi="Times New Roman" w:cs="Times New Roman"/>
                      <w:b/>
                      <w:bCs/>
                      <w:szCs w:val="21"/>
                    </w:rPr>
                  </w:pPr>
                  <w:r>
                    <w:rPr>
                      <w:rFonts w:ascii="Times New Roman" w:hAnsi="Times New Roman" w:cs="Times New Roman"/>
                      <w:b/>
                      <w:bCs/>
                      <w:szCs w:val="21"/>
                    </w:rPr>
                    <w:t>工程</w:t>
                  </w:r>
                </w:p>
                <w:p w14:paraId="70FBF597">
                  <w:pPr>
                    <w:adjustRightInd w:val="0"/>
                    <w:snapToGrid w:val="0"/>
                    <w:jc w:val="center"/>
                    <w:rPr>
                      <w:rFonts w:ascii="Times New Roman" w:hAnsi="Times New Roman" w:cs="Times New Roman"/>
                      <w:b/>
                      <w:bCs/>
                      <w:szCs w:val="21"/>
                    </w:rPr>
                  </w:pPr>
                  <w:r>
                    <w:rPr>
                      <w:rFonts w:ascii="Times New Roman" w:hAnsi="Times New Roman" w:cs="Times New Roman"/>
                      <w:b/>
                      <w:bCs/>
                      <w:szCs w:val="21"/>
                    </w:rPr>
                    <w:t>名称</w:t>
                  </w:r>
                </w:p>
              </w:tc>
              <w:tc>
                <w:tcPr>
                  <w:tcW w:w="5470" w:type="dxa"/>
                  <w:gridSpan w:val="2"/>
                  <w:tcBorders>
                    <w:tl2br w:val="nil"/>
                    <w:tr2bl w:val="nil"/>
                  </w:tcBorders>
                  <w:vAlign w:val="center"/>
                </w:tcPr>
                <w:p w14:paraId="6F4C8F15">
                  <w:pPr>
                    <w:adjustRightInd w:val="0"/>
                    <w:snapToGrid w:val="0"/>
                    <w:jc w:val="center"/>
                    <w:rPr>
                      <w:rFonts w:ascii="Times New Roman" w:hAnsi="Times New Roman" w:cs="Times New Roman"/>
                      <w:b/>
                      <w:bCs/>
                      <w:szCs w:val="21"/>
                    </w:rPr>
                  </w:pPr>
                  <w:r>
                    <w:rPr>
                      <w:rFonts w:ascii="Times New Roman" w:hAnsi="Times New Roman" w:cs="Times New Roman"/>
                      <w:b/>
                      <w:bCs/>
                      <w:szCs w:val="21"/>
                    </w:rPr>
                    <w:t>建设内容与规模</w:t>
                  </w:r>
                </w:p>
              </w:tc>
              <w:tc>
                <w:tcPr>
                  <w:tcW w:w="1060" w:type="dxa"/>
                  <w:tcBorders>
                    <w:tl2br w:val="nil"/>
                    <w:tr2bl w:val="nil"/>
                  </w:tcBorders>
                  <w:vAlign w:val="center"/>
                </w:tcPr>
                <w:p w14:paraId="5759BD28">
                  <w:pPr>
                    <w:adjustRightInd w:val="0"/>
                    <w:snapToGrid w:val="0"/>
                    <w:jc w:val="center"/>
                    <w:rPr>
                      <w:rFonts w:ascii="Times New Roman" w:hAnsi="Times New Roman" w:cs="Times New Roman"/>
                      <w:b/>
                      <w:bCs/>
                      <w:szCs w:val="21"/>
                    </w:rPr>
                  </w:pPr>
                  <w:r>
                    <w:rPr>
                      <w:rFonts w:hint="eastAsia" w:ascii="Times New Roman" w:hAnsi="Times New Roman" w:cs="Times New Roman"/>
                      <w:b/>
                      <w:bCs/>
                      <w:szCs w:val="21"/>
                    </w:rPr>
                    <w:t>备注</w:t>
                  </w:r>
                </w:p>
              </w:tc>
            </w:tr>
            <w:tr w14:paraId="72971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525" w:type="dxa"/>
                  <w:vMerge w:val="restart"/>
                  <w:tcBorders>
                    <w:tl2br w:val="nil"/>
                    <w:tr2bl w:val="nil"/>
                  </w:tcBorders>
                  <w:vAlign w:val="center"/>
                </w:tcPr>
                <w:p w14:paraId="61926A71">
                  <w:pPr>
                    <w:adjustRightInd w:val="0"/>
                    <w:snapToGrid w:val="0"/>
                    <w:jc w:val="center"/>
                    <w:rPr>
                      <w:rFonts w:ascii="Times New Roman" w:hAnsi="Times New Roman" w:cs="Times New Roman"/>
                      <w:b/>
                      <w:bCs/>
                      <w:szCs w:val="21"/>
                    </w:rPr>
                  </w:pPr>
                  <w:r>
                    <w:rPr>
                      <w:rFonts w:ascii="Times New Roman" w:hAnsi="Times New Roman" w:cs="Times New Roman"/>
                      <w:b/>
                      <w:bCs/>
                      <w:szCs w:val="21"/>
                    </w:rPr>
                    <w:t>1</w:t>
                  </w:r>
                </w:p>
              </w:tc>
              <w:tc>
                <w:tcPr>
                  <w:tcW w:w="720" w:type="dxa"/>
                  <w:vMerge w:val="restart"/>
                  <w:tcBorders>
                    <w:tl2br w:val="nil"/>
                    <w:tr2bl w:val="nil"/>
                  </w:tcBorders>
                  <w:vAlign w:val="center"/>
                </w:tcPr>
                <w:p w14:paraId="04B14324">
                  <w:pPr>
                    <w:adjustRightInd w:val="0"/>
                    <w:snapToGrid w:val="0"/>
                    <w:jc w:val="center"/>
                    <w:rPr>
                      <w:rFonts w:ascii="Times New Roman" w:hAnsi="Times New Roman" w:cs="Times New Roman"/>
                      <w:b/>
                      <w:bCs/>
                      <w:szCs w:val="21"/>
                    </w:rPr>
                  </w:pPr>
                  <w:r>
                    <w:rPr>
                      <w:rFonts w:ascii="Times New Roman" w:hAnsi="Times New Roman" w:cs="Times New Roman"/>
                      <w:b/>
                      <w:bCs/>
                      <w:szCs w:val="21"/>
                    </w:rPr>
                    <w:t>主体</w:t>
                  </w:r>
                </w:p>
                <w:p w14:paraId="6CD6177D">
                  <w:pPr>
                    <w:adjustRightInd w:val="0"/>
                    <w:snapToGrid w:val="0"/>
                    <w:jc w:val="center"/>
                    <w:rPr>
                      <w:rFonts w:ascii="Times New Roman" w:hAnsi="Times New Roman" w:cs="Times New Roman"/>
                      <w:b/>
                      <w:bCs/>
                      <w:szCs w:val="21"/>
                    </w:rPr>
                  </w:pPr>
                  <w:r>
                    <w:rPr>
                      <w:rFonts w:ascii="Times New Roman" w:hAnsi="Times New Roman" w:cs="Times New Roman"/>
                      <w:b/>
                      <w:bCs/>
                      <w:szCs w:val="21"/>
                    </w:rPr>
                    <w:t>工程</w:t>
                  </w:r>
                </w:p>
              </w:tc>
              <w:tc>
                <w:tcPr>
                  <w:tcW w:w="893" w:type="dxa"/>
                  <w:tcBorders>
                    <w:tl2br w:val="nil"/>
                    <w:tr2bl w:val="nil"/>
                  </w:tcBorders>
                  <w:vAlign w:val="center"/>
                </w:tcPr>
                <w:p w14:paraId="7CF7A57F">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生产</w:t>
                  </w:r>
                </w:p>
                <w:p w14:paraId="5C2E5E47">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车间</w:t>
                  </w:r>
                </w:p>
              </w:tc>
              <w:tc>
                <w:tcPr>
                  <w:tcW w:w="5470" w:type="dxa"/>
                  <w:gridSpan w:val="2"/>
                  <w:tcBorders>
                    <w:tl2br w:val="nil"/>
                    <w:tr2bl w:val="nil"/>
                  </w:tcBorders>
                  <w:vAlign w:val="center"/>
                </w:tcPr>
                <w:p w14:paraId="1BA9E9CF">
                  <w:pPr>
                    <w:adjustRightInd w:val="0"/>
                    <w:snapToGrid w:val="0"/>
                    <w:jc w:val="center"/>
                    <w:rPr>
                      <w:rFonts w:ascii="Times New Roman" w:hAnsi="Times New Roman" w:cs="Times New Roman"/>
                      <w:szCs w:val="21"/>
                    </w:rPr>
                  </w:pPr>
                  <w:r>
                    <w:rPr>
                      <w:rFonts w:hint="eastAsia"/>
                    </w:rPr>
                    <w:t>该厂房是在建项目已经租赁好的</w:t>
                  </w:r>
                  <w:r>
                    <w:rPr>
                      <w:rFonts w:hint="eastAsia" w:ascii="Times New Roman" w:hAnsi="Times New Roman" w:cs="Times New Roman"/>
                    </w:rPr>
                    <w:t>1</w:t>
                  </w:r>
                  <w:r>
                    <w:rPr>
                      <w:rFonts w:ascii="Times New Roman" w:hAnsi="Times New Roman" w:cs="Times New Roman"/>
                    </w:rPr>
                    <w:t>F钢架结构厂房，厂房</w:t>
                  </w:r>
                  <w:r>
                    <w:rPr>
                      <w:rFonts w:hint="eastAsia" w:ascii="Times New Roman" w:hAnsi="Times New Roman" w:cs="Times New Roman"/>
                    </w:rPr>
                    <w:t>总</w:t>
                  </w:r>
                  <w:r>
                    <w:rPr>
                      <w:rFonts w:ascii="Times New Roman" w:hAnsi="Times New Roman" w:cs="Times New Roman"/>
                    </w:rPr>
                    <w:t>占地面积</w:t>
                  </w:r>
                  <w:r>
                    <w:rPr>
                      <w:rFonts w:hint="eastAsia" w:ascii="Times New Roman" w:hAnsi="Times New Roman" w:cs="Times New Roman"/>
                    </w:rPr>
                    <w:t>1780</w:t>
                  </w:r>
                  <w:r>
                    <w:rPr>
                      <w:rStyle w:val="57"/>
                      <w:rFonts w:ascii="Times New Roman" w:hAnsi="Times New Roman" w:cs="Times New Roman"/>
                      <w:lang w:eastAsia="zh-CN"/>
                    </w:rPr>
                    <w:t>m</w:t>
                  </w:r>
                  <w:r>
                    <w:rPr>
                      <w:rStyle w:val="40"/>
                      <w:rFonts w:ascii="Times New Roman" w:hAnsi="Times New Roman" w:cs="Times New Roman"/>
                      <w:vertAlign w:val="superscript"/>
                    </w:rPr>
                    <w:t>2</w:t>
                  </w:r>
                  <w:r>
                    <w:rPr>
                      <w:rFonts w:hint="eastAsia" w:ascii="Times New Roman" w:hAnsi="Times New Roman" w:cs="Times New Roman"/>
                    </w:rPr>
                    <w:t>，建筑面积1780</w:t>
                  </w:r>
                  <w:r>
                    <w:rPr>
                      <w:rStyle w:val="57"/>
                      <w:rFonts w:ascii="Times New Roman" w:hAnsi="Times New Roman" w:cs="Times New Roman"/>
                      <w:lang w:eastAsia="zh-CN"/>
                    </w:rPr>
                    <w:t>m</w:t>
                  </w:r>
                  <w:r>
                    <w:rPr>
                      <w:rStyle w:val="40"/>
                      <w:rFonts w:ascii="Times New Roman" w:hAnsi="Times New Roman" w:cs="Times New Roman"/>
                      <w:vertAlign w:val="superscript"/>
                    </w:rPr>
                    <w:t>2</w:t>
                  </w:r>
                  <w:r>
                    <w:rPr>
                      <w:rFonts w:hint="eastAsia" w:ascii="Times New Roman" w:hAnsi="Times New Roman" w:cs="Times New Roman"/>
                    </w:rPr>
                    <w:t>，高度9m，设置自动喷漆烘干生产线以及自动喷砂生产线。</w:t>
                  </w:r>
                </w:p>
              </w:tc>
              <w:tc>
                <w:tcPr>
                  <w:tcW w:w="1060" w:type="dxa"/>
                  <w:tcBorders>
                    <w:tl2br w:val="nil"/>
                    <w:tr2bl w:val="nil"/>
                  </w:tcBorders>
                  <w:vAlign w:val="center"/>
                </w:tcPr>
                <w:p w14:paraId="67286422">
                  <w:pPr>
                    <w:adjustRightInd w:val="0"/>
                    <w:snapToGrid w:val="0"/>
                    <w:jc w:val="center"/>
                    <w:rPr>
                      <w:rFonts w:ascii="Times New Roman" w:hAnsi="Times New Roman" w:cs="Times New Roman"/>
                    </w:rPr>
                  </w:pPr>
                  <w:r>
                    <w:rPr>
                      <w:rFonts w:hint="eastAsia" w:ascii="Times New Roman" w:hAnsi="Times New Roman" w:cs="Times New Roman"/>
                    </w:rPr>
                    <w:t>租赁</w:t>
                  </w:r>
                  <w:r>
                    <w:rPr>
                      <w:rFonts w:hint="eastAsia"/>
                    </w:rPr>
                    <w:t>现有标准厂房</w:t>
                  </w:r>
                </w:p>
              </w:tc>
            </w:tr>
            <w:tr w14:paraId="0E22A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525" w:type="dxa"/>
                  <w:vMerge w:val="continue"/>
                  <w:tcBorders>
                    <w:tl2br w:val="nil"/>
                    <w:tr2bl w:val="nil"/>
                  </w:tcBorders>
                  <w:vAlign w:val="center"/>
                </w:tcPr>
                <w:p w14:paraId="565B46F3">
                  <w:pPr>
                    <w:adjustRightInd w:val="0"/>
                    <w:snapToGrid w:val="0"/>
                    <w:jc w:val="center"/>
                    <w:rPr>
                      <w:rFonts w:ascii="Times New Roman" w:hAnsi="Times New Roman" w:cs="Times New Roman"/>
                      <w:b/>
                      <w:bCs/>
                      <w:szCs w:val="21"/>
                    </w:rPr>
                  </w:pPr>
                </w:p>
              </w:tc>
              <w:tc>
                <w:tcPr>
                  <w:tcW w:w="720" w:type="dxa"/>
                  <w:vMerge w:val="continue"/>
                  <w:tcBorders>
                    <w:tl2br w:val="nil"/>
                    <w:tr2bl w:val="nil"/>
                  </w:tcBorders>
                  <w:vAlign w:val="center"/>
                </w:tcPr>
                <w:p w14:paraId="0B19247A">
                  <w:pPr>
                    <w:adjustRightInd w:val="0"/>
                    <w:snapToGrid w:val="0"/>
                    <w:jc w:val="center"/>
                    <w:rPr>
                      <w:rFonts w:ascii="Times New Roman" w:hAnsi="Times New Roman" w:cs="Times New Roman"/>
                      <w:b/>
                      <w:bCs/>
                      <w:szCs w:val="21"/>
                    </w:rPr>
                  </w:pPr>
                </w:p>
              </w:tc>
              <w:tc>
                <w:tcPr>
                  <w:tcW w:w="893" w:type="dxa"/>
                  <w:tcBorders>
                    <w:tl2br w:val="nil"/>
                    <w:tr2bl w:val="nil"/>
                  </w:tcBorders>
                  <w:shd w:val="clear" w:color="auto" w:fill="auto"/>
                  <w:vAlign w:val="center"/>
                </w:tcPr>
                <w:p w14:paraId="582CCC8B">
                  <w:pPr>
                    <w:adjustRightInd w:val="0"/>
                    <w:snapToGrid w:val="0"/>
                    <w:jc w:val="center"/>
                    <w:rPr>
                      <w:rFonts w:ascii="Times New Roman" w:hAnsi="Times New Roman" w:cs="Times New Roman"/>
                    </w:rPr>
                  </w:pPr>
                  <w:r>
                    <w:rPr>
                      <w:rFonts w:hint="eastAsia" w:ascii="Times New Roman" w:hAnsi="Times New Roman" w:cs="Times New Roman"/>
                    </w:rPr>
                    <w:t>自动喷漆烘干生产线</w:t>
                  </w:r>
                </w:p>
              </w:tc>
              <w:tc>
                <w:tcPr>
                  <w:tcW w:w="5470" w:type="dxa"/>
                  <w:gridSpan w:val="2"/>
                  <w:tcBorders>
                    <w:tl2br w:val="nil"/>
                    <w:tr2bl w:val="nil"/>
                  </w:tcBorders>
                  <w:shd w:val="clear" w:color="auto" w:fill="auto"/>
                  <w:vAlign w:val="center"/>
                </w:tcPr>
                <w:p w14:paraId="014ACAF1">
                  <w:pPr>
                    <w:adjustRightInd w:val="0"/>
                    <w:snapToGrid w:val="0"/>
                    <w:jc w:val="center"/>
                    <w:rPr>
                      <w:rFonts w:ascii="Times New Roman" w:hAnsi="Times New Roman" w:cs="Times New Roman"/>
                    </w:rPr>
                  </w:pPr>
                  <w:r>
                    <w:rPr>
                      <w:rFonts w:hint="eastAsia" w:ascii="Times New Roman" w:hAnsi="Times New Roman" w:cs="Times New Roman"/>
                    </w:rPr>
                    <w:t>车间内东南侧区域设置喷漆区，安装自动喷漆设备1台、设备全</w:t>
                  </w:r>
                  <w:r>
                    <w:rPr>
                      <w:rFonts w:hint="eastAsia"/>
                    </w:rPr>
                    <w:t>长</w:t>
                  </w:r>
                  <w:r>
                    <w:rPr>
                      <w:rFonts w:hint="eastAsia" w:ascii="Times New Roman" w:hAnsi="Times New Roman" w:cs="Times New Roman"/>
                    </w:rPr>
                    <w:t>23.3m，宽3.3米。设备带有喷漆区（尺寸：1.5m*2.5m*2.5m）和烘干区（尺寸：0.8m*10m*1m）。并配套有机废气处理装置</w:t>
                  </w:r>
                </w:p>
              </w:tc>
              <w:tc>
                <w:tcPr>
                  <w:tcW w:w="1060" w:type="dxa"/>
                  <w:tcBorders>
                    <w:tl2br w:val="nil"/>
                    <w:tr2bl w:val="nil"/>
                  </w:tcBorders>
                  <w:shd w:val="clear" w:color="auto" w:fill="auto"/>
                  <w:vAlign w:val="center"/>
                </w:tcPr>
                <w:p w14:paraId="4AE1F773">
                  <w:pPr>
                    <w:adjustRightInd w:val="0"/>
                    <w:snapToGrid w:val="0"/>
                    <w:jc w:val="center"/>
                    <w:rPr>
                      <w:rFonts w:ascii="Times New Roman" w:hAnsi="Times New Roman" w:cs="Times New Roman"/>
                    </w:rPr>
                  </w:pPr>
                  <w:r>
                    <w:rPr>
                      <w:rFonts w:hint="eastAsia" w:ascii="Times New Roman" w:hAnsi="Times New Roman" w:cs="Times New Roman"/>
                    </w:rPr>
                    <w:t>新建</w:t>
                  </w:r>
                </w:p>
              </w:tc>
            </w:tr>
            <w:tr w14:paraId="0622DB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525" w:type="dxa"/>
                  <w:vMerge w:val="continue"/>
                  <w:tcBorders>
                    <w:tl2br w:val="nil"/>
                    <w:tr2bl w:val="nil"/>
                  </w:tcBorders>
                  <w:vAlign w:val="center"/>
                </w:tcPr>
                <w:p w14:paraId="16BA85CF">
                  <w:pPr>
                    <w:adjustRightInd w:val="0"/>
                    <w:snapToGrid w:val="0"/>
                    <w:jc w:val="center"/>
                    <w:rPr>
                      <w:rFonts w:ascii="Times New Roman" w:hAnsi="Times New Roman" w:cs="Times New Roman"/>
                      <w:b/>
                      <w:bCs/>
                      <w:szCs w:val="21"/>
                    </w:rPr>
                  </w:pPr>
                </w:p>
              </w:tc>
              <w:tc>
                <w:tcPr>
                  <w:tcW w:w="720" w:type="dxa"/>
                  <w:vMerge w:val="continue"/>
                  <w:tcBorders>
                    <w:tl2br w:val="nil"/>
                    <w:tr2bl w:val="nil"/>
                  </w:tcBorders>
                  <w:vAlign w:val="center"/>
                </w:tcPr>
                <w:p w14:paraId="676D5FDC">
                  <w:pPr>
                    <w:adjustRightInd w:val="0"/>
                    <w:snapToGrid w:val="0"/>
                    <w:jc w:val="center"/>
                    <w:rPr>
                      <w:rFonts w:ascii="Times New Roman" w:hAnsi="Times New Roman" w:cs="Times New Roman"/>
                      <w:b/>
                      <w:bCs/>
                      <w:szCs w:val="21"/>
                    </w:rPr>
                  </w:pPr>
                </w:p>
              </w:tc>
              <w:tc>
                <w:tcPr>
                  <w:tcW w:w="893" w:type="dxa"/>
                  <w:tcBorders>
                    <w:tl2br w:val="nil"/>
                    <w:tr2bl w:val="nil"/>
                  </w:tcBorders>
                  <w:vAlign w:val="center"/>
                </w:tcPr>
                <w:p w14:paraId="3EBC4A50">
                  <w:pPr>
                    <w:adjustRightInd w:val="0"/>
                    <w:snapToGrid w:val="0"/>
                    <w:jc w:val="center"/>
                    <w:rPr>
                      <w:rFonts w:ascii="Times New Roman" w:hAnsi="Times New Roman" w:eastAsia="宋体" w:cs="Times New Roman"/>
                      <w:szCs w:val="21"/>
                    </w:rPr>
                  </w:pPr>
                  <w:r>
                    <w:rPr>
                      <w:rFonts w:hint="eastAsia" w:ascii="Times New Roman" w:hAnsi="Times New Roman" w:cs="Times New Roman"/>
                    </w:rPr>
                    <w:t>自动喷砂生产线</w:t>
                  </w:r>
                </w:p>
              </w:tc>
              <w:tc>
                <w:tcPr>
                  <w:tcW w:w="5470" w:type="dxa"/>
                  <w:gridSpan w:val="2"/>
                  <w:tcBorders>
                    <w:tl2br w:val="nil"/>
                    <w:tr2bl w:val="nil"/>
                  </w:tcBorders>
                  <w:vAlign w:val="center"/>
                </w:tcPr>
                <w:p w14:paraId="511799CB">
                  <w:pPr>
                    <w:pStyle w:val="8"/>
                    <w:rPr>
                      <w:rFonts w:ascii="Times New Roman" w:hAnsi="Times New Roman" w:cs="Times New Roman"/>
                    </w:rPr>
                  </w:pPr>
                  <w:r>
                    <w:rPr>
                      <w:rFonts w:hint="eastAsia" w:ascii="Times New Roman" w:hAnsi="Times New Roman" w:cs="Times New Roman"/>
                    </w:rPr>
                    <w:t>车间内东北侧区域设置喷砂区（尺寸：2m*2m*2m），</w:t>
                  </w:r>
                  <w:r>
                    <w:rPr>
                      <w:rFonts w:hint="eastAsia"/>
                    </w:rPr>
                    <w:t>与自动喷漆烘干生产线相连接</w:t>
                  </w:r>
                  <w:r>
                    <w:rPr>
                      <w:rFonts w:hint="eastAsia" w:ascii="Times New Roman" w:hAnsi="Times New Roman" w:cs="Times New Roman"/>
                    </w:rPr>
                    <w:t>并配套除尘装置</w:t>
                  </w:r>
                </w:p>
              </w:tc>
              <w:tc>
                <w:tcPr>
                  <w:tcW w:w="1060" w:type="dxa"/>
                  <w:tcBorders>
                    <w:tl2br w:val="nil"/>
                    <w:tr2bl w:val="nil"/>
                  </w:tcBorders>
                  <w:vAlign w:val="center"/>
                </w:tcPr>
                <w:p w14:paraId="4D95E907">
                  <w:pPr>
                    <w:adjustRightInd w:val="0"/>
                    <w:snapToGrid w:val="0"/>
                    <w:jc w:val="center"/>
                    <w:rPr>
                      <w:rFonts w:ascii="Times New Roman" w:hAnsi="Times New Roman" w:cs="Times New Roman"/>
                    </w:rPr>
                  </w:pPr>
                  <w:r>
                    <w:rPr>
                      <w:rFonts w:hint="eastAsia" w:ascii="Times New Roman" w:hAnsi="Times New Roman" w:cs="Times New Roman"/>
                    </w:rPr>
                    <w:t>新建</w:t>
                  </w:r>
                </w:p>
              </w:tc>
            </w:tr>
            <w:tr w14:paraId="674C8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5" w:type="dxa"/>
                  <w:vMerge w:val="restart"/>
                  <w:tcBorders>
                    <w:tl2br w:val="nil"/>
                    <w:tr2bl w:val="nil"/>
                  </w:tcBorders>
                  <w:vAlign w:val="center"/>
                </w:tcPr>
                <w:p w14:paraId="6A07675E">
                  <w:pPr>
                    <w:adjustRightInd w:val="0"/>
                    <w:snapToGrid w:val="0"/>
                    <w:jc w:val="center"/>
                    <w:rPr>
                      <w:rFonts w:ascii="Times New Roman" w:hAnsi="Times New Roman" w:cs="Times New Roman"/>
                      <w:b/>
                      <w:bCs/>
                      <w:szCs w:val="21"/>
                    </w:rPr>
                  </w:pPr>
                  <w:r>
                    <w:rPr>
                      <w:rFonts w:ascii="Times New Roman" w:hAnsi="Times New Roman" w:cs="Times New Roman"/>
                      <w:b/>
                      <w:bCs/>
                      <w:szCs w:val="21"/>
                    </w:rPr>
                    <w:t>2</w:t>
                  </w:r>
                </w:p>
              </w:tc>
              <w:tc>
                <w:tcPr>
                  <w:tcW w:w="720" w:type="dxa"/>
                  <w:vMerge w:val="restart"/>
                  <w:tcBorders>
                    <w:tl2br w:val="nil"/>
                    <w:tr2bl w:val="nil"/>
                  </w:tcBorders>
                  <w:vAlign w:val="center"/>
                </w:tcPr>
                <w:p w14:paraId="6C31E2E3">
                  <w:pPr>
                    <w:adjustRightInd w:val="0"/>
                    <w:snapToGrid w:val="0"/>
                    <w:jc w:val="center"/>
                    <w:rPr>
                      <w:rFonts w:ascii="Times New Roman" w:hAnsi="Times New Roman" w:eastAsia="宋体" w:cs="Times New Roman"/>
                      <w:b/>
                      <w:bCs/>
                      <w:szCs w:val="21"/>
                    </w:rPr>
                  </w:pPr>
                  <w:r>
                    <w:rPr>
                      <w:rFonts w:ascii="Times New Roman" w:hAnsi="Times New Roman" w:cs="Times New Roman"/>
                      <w:b/>
                      <w:bCs/>
                      <w:szCs w:val="21"/>
                    </w:rPr>
                    <w:t>储运工程</w:t>
                  </w:r>
                </w:p>
              </w:tc>
              <w:tc>
                <w:tcPr>
                  <w:tcW w:w="893" w:type="dxa"/>
                  <w:tcBorders>
                    <w:tl2br w:val="nil"/>
                    <w:tr2bl w:val="nil"/>
                  </w:tcBorders>
                  <w:vAlign w:val="center"/>
                </w:tcPr>
                <w:p w14:paraId="0EAE908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原料储存区</w:t>
                  </w:r>
                </w:p>
              </w:tc>
              <w:tc>
                <w:tcPr>
                  <w:tcW w:w="5470" w:type="dxa"/>
                  <w:gridSpan w:val="2"/>
                  <w:tcBorders>
                    <w:tl2br w:val="nil"/>
                    <w:tr2bl w:val="nil"/>
                  </w:tcBorders>
                  <w:vAlign w:val="center"/>
                </w:tcPr>
                <w:p w14:paraId="0D9D01D0">
                  <w:pPr>
                    <w:adjustRightInd w:val="0"/>
                    <w:snapToGrid w:val="0"/>
                    <w:jc w:val="center"/>
                    <w:rPr>
                      <w:rFonts w:ascii="Times New Roman" w:hAnsi="Times New Roman" w:cs="Times New Roman"/>
                    </w:rPr>
                  </w:pPr>
                  <w:r>
                    <w:rPr>
                      <w:rFonts w:hint="eastAsia" w:ascii="Times New Roman" w:hAnsi="Times New Roman" w:cs="Times New Roman"/>
                    </w:rPr>
                    <w:t>车间内南侧区域设置原料暂存区，</w:t>
                  </w:r>
                  <w:r>
                    <w:rPr>
                      <w:rFonts w:ascii="Times New Roman" w:hAnsi="Times New Roman" w:cs="Times New Roman"/>
                      <w:szCs w:val="21"/>
                    </w:rPr>
                    <w:t>占地面积</w:t>
                  </w:r>
                  <w:r>
                    <w:rPr>
                      <w:rFonts w:hint="eastAsia" w:ascii="Times New Roman" w:hAnsi="Times New Roman" w:cs="Times New Roman"/>
                      <w:szCs w:val="21"/>
                    </w:rPr>
                    <w:t>16</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w:t>
                  </w:r>
                </w:p>
                <w:p w14:paraId="3E1A2168">
                  <w:pPr>
                    <w:adjustRightInd w:val="0"/>
                    <w:snapToGrid w:val="0"/>
                    <w:jc w:val="center"/>
                    <w:rPr>
                      <w:rFonts w:ascii="Times New Roman" w:hAnsi="Times New Roman" w:cs="Times New Roman"/>
                      <w:szCs w:val="21"/>
                    </w:rPr>
                  </w:pPr>
                  <w:r>
                    <w:rPr>
                      <w:rFonts w:ascii="Times New Roman" w:hAnsi="Times New Roman" w:cs="Times New Roman"/>
                    </w:rPr>
                    <w:t>主要用于原料的存放</w:t>
                  </w:r>
                </w:p>
              </w:tc>
              <w:tc>
                <w:tcPr>
                  <w:tcW w:w="1060" w:type="dxa"/>
                  <w:vMerge w:val="restart"/>
                  <w:tcBorders>
                    <w:tl2br w:val="nil"/>
                    <w:tr2bl w:val="nil"/>
                  </w:tcBorders>
                  <w:vAlign w:val="center"/>
                </w:tcPr>
                <w:p w14:paraId="437017D6">
                  <w:pPr>
                    <w:adjustRightInd w:val="0"/>
                    <w:snapToGrid w:val="0"/>
                    <w:jc w:val="center"/>
                    <w:rPr>
                      <w:rFonts w:ascii="Times New Roman" w:hAnsi="Times New Roman" w:cs="Times New Roman"/>
                    </w:rPr>
                  </w:pPr>
                  <w:r>
                    <w:rPr>
                      <w:rFonts w:hint="eastAsia" w:ascii="Times New Roman" w:hAnsi="Times New Roman" w:cs="Times New Roman"/>
                    </w:rPr>
                    <w:t>依托现有项目</w:t>
                  </w:r>
                </w:p>
              </w:tc>
            </w:tr>
            <w:tr w14:paraId="2146D4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5" w:type="dxa"/>
                  <w:vMerge w:val="continue"/>
                  <w:tcBorders>
                    <w:tl2br w:val="nil"/>
                    <w:tr2bl w:val="nil"/>
                  </w:tcBorders>
                  <w:vAlign w:val="center"/>
                </w:tcPr>
                <w:p w14:paraId="4BFACB5F">
                  <w:pPr>
                    <w:adjustRightInd w:val="0"/>
                    <w:snapToGrid w:val="0"/>
                    <w:jc w:val="center"/>
                    <w:rPr>
                      <w:rFonts w:ascii="Times New Roman" w:hAnsi="Times New Roman" w:cs="Times New Roman"/>
                      <w:b/>
                      <w:bCs/>
                      <w:szCs w:val="21"/>
                    </w:rPr>
                  </w:pPr>
                </w:p>
              </w:tc>
              <w:tc>
                <w:tcPr>
                  <w:tcW w:w="720" w:type="dxa"/>
                  <w:vMerge w:val="continue"/>
                  <w:tcBorders>
                    <w:tl2br w:val="nil"/>
                    <w:tr2bl w:val="nil"/>
                  </w:tcBorders>
                  <w:vAlign w:val="center"/>
                </w:tcPr>
                <w:p w14:paraId="0C1EB242">
                  <w:pPr>
                    <w:adjustRightInd w:val="0"/>
                    <w:snapToGrid w:val="0"/>
                    <w:jc w:val="center"/>
                    <w:rPr>
                      <w:rFonts w:ascii="Times New Roman" w:hAnsi="Times New Roman" w:cs="Times New Roman"/>
                      <w:b/>
                      <w:bCs/>
                      <w:szCs w:val="21"/>
                    </w:rPr>
                  </w:pPr>
                </w:p>
              </w:tc>
              <w:tc>
                <w:tcPr>
                  <w:tcW w:w="893" w:type="dxa"/>
                  <w:tcBorders>
                    <w:tl2br w:val="nil"/>
                    <w:tr2bl w:val="nil"/>
                  </w:tcBorders>
                  <w:vAlign w:val="center"/>
                </w:tcPr>
                <w:p w14:paraId="43CCCEC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成品暂存区</w:t>
                  </w:r>
                </w:p>
              </w:tc>
              <w:tc>
                <w:tcPr>
                  <w:tcW w:w="5470" w:type="dxa"/>
                  <w:gridSpan w:val="2"/>
                  <w:tcBorders>
                    <w:tl2br w:val="nil"/>
                    <w:tr2bl w:val="nil"/>
                  </w:tcBorders>
                  <w:vAlign w:val="center"/>
                </w:tcPr>
                <w:p w14:paraId="47159574">
                  <w:pPr>
                    <w:adjustRightInd w:val="0"/>
                    <w:snapToGrid w:val="0"/>
                    <w:jc w:val="center"/>
                    <w:rPr>
                      <w:rFonts w:ascii="Times New Roman" w:hAnsi="Times New Roman" w:cs="Times New Roman"/>
                    </w:rPr>
                  </w:pPr>
                  <w:r>
                    <w:rPr>
                      <w:rFonts w:hint="eastAsia" w:ascii="Times New Roman" w:hAnsi="Times New Roman" w:cs="Times New Roman"/>
                    </w:rPr>
                    <w:t>车间内西侧区域设置成品暂存区，</w:t>
                  </w:r>
                  <w:r>
                    <w:rPr>
                      <w:rFonts w:ascii="Times New Roman" w:hAnsi="Times New Roman" w:cs="Times New Roman"/>
                      <w:szCs w:val="21"/>
                    </w:rPr>
                    <w:t>占地面积</w:t>
                  </w:r>
                  <w:r>
                    <w:rPr>
                      <w:rFonts w:hint="eastAsia" w:ascii="Times New Roman" w:hAnsi="Times New Roman" w:cs="Times New Roman"/>
                      <w:szCs w:val="21"/>
                    </w:rPr>
                    <w:t>270</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w:t>
                  </w:r>
                </w:p>
                <w:p w14:paraId="5223E78B">
                  <w:pPr>
                    <w:adjustRightInd w:val="0"/>
                    <w:snapToGrid w:val="0"/>
                    <w:jc w:val="center"/>
                    <w:rPr>
                      <w:rFonts w:ascii="Times New Roman" w:hAnsi="Times New Roman" w:cs="Times New Roman"/>
                      <w:szCs w:val="21"/>
                    </w:rPr>
                  </w:pPr>
                  <w:r>
                    <w:rPr>
                      <w:rFonts w:ascii="Times New Roman" w:hAnsi="Times New Roman" w:cs="Times New Roman"/>
                    </w:rPr>
                    <w:t>主要用于</w:t>
                  </w:r>
                  <w:r>
                    <w:rPr>
                      <w:rFonts w:hint="eastAsia" w:ascii="Times New Roman" w:hAnsi="Times New Roman" w:cs="Times New Roman"/>
                    </w:rPr>
                    <w:t>成品</w:t>
                  </w:r>
                  <w:r>
                    <w:rPr>
                      <w:rFonts w:ascii="Times New Roman" w:hAnsi="Times New Roman" w:cs="Times New Roman"/>
                    </w:rPr>
                    <w:t>的存放</w:t>
                  </w:r>
                </w:p>
              </w:tc>
              <w:tc>
                <w:tcPr>
                  <w:tcW w:w="1060" w:type="dxa"/>
                  <w:vMerge w:val="continue"/>
                  <w:tcBorders>
                    <w:tl2br w:val="nil"/>
                    <w:tr2bl w:val="nil"/>
                  </w:tcBorders>
                  <w:vAlign w:val="center"/>
                </w:tcPr>
                <w:p w14:paraId="1EA11F6F">
                  <w:pPr>
                    <w:adjustRightInd w:val="0"/>
                    <w:snapToGrid w:val="0"/>
                    <w:jc w:val="center"/>
                    <w:rPr>
                      <w:rFonts w:ascii="Times New Roman" w:hAnsi="Times New Roman" w:cs="Times New Roman"/>
                    </w:rPr>
                  </w:pPr>
                </w:p>
              </w:tc>
            </w:tr>
            <w:tr w14:paraId="57D19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5" w:type="dxa"/>
                  <w:vMerge w:val="continue"/>
                  <w:tcBorders>
                    <w:tl2br w:val="nil"/>
                    <w:tr2bl w:val="nil"/>
                  </w:tcBorders>
                  <w:vAlign w:val="center"/>
                </w:tcPr>
                <w:p w14:paraId="40EDEA31">
                  <w:pPr>
                    <w:adjustRightInd w:val="0"/>
                    <w:snapToGrid w:val="0"/>
                    <w:jc w:val="center"/>
                    <w:rPr>
                      <w:rFonts w:ascii="Times New Roman" w:hAnsi="Times New Roman" w:cs="Times New Roman"/>
                      <w:b/>
                      <w:bCs/>
                      <w:szCs w:val="21"/>
                    </w:rPr>
                  </w:pPr>
                </w:p>
              </w:tc>
              <w:tc>
                <w:tcPr>
                  <w:tcW w:w="720" w:type="dxa"/>
                  <w:vMerge w:val="continue"/>
                  <w:tcBorders>
                    <w:tl2br w:val="nil"/>
                    <w:tr2bl w:val="nil"/>
                  </w:tcBorders>
                  <w:vAlign w:val="center"/>
                </w:tcPr>
                <w:p w14:paraId="7DA30FB7">
                  <w:pPr>
                    <w:adjustRightInd w:val="0"/>
                    <w:snapToGrid w:val="0"/>
                    <w:jc w:val="center"/>
                    <w:rPr>
                      <w:rFonts w:ascii="Times New Roman" w:hAnsi="Times New Roman" w:cs="Times New Roman"/>
                      <w:b/>
                      <w:bCs/>
                      <w:szCs w:val="21"/>
                    </w:rPr>
                  </w:pPr>
                </w:p>
              </w:tc>
              <w:tc>
                <w:tcPr>
                  <w:tcW w:w="893" w:type="dxa"/>
                  <w:tcBorders>
                    <w:tl2br w:val="nil"/>
                    <w:tr2bl w:val="nil"/>
                  </w:tcBorders>
                  <w:vAlign w:val="center"/>
                </w:tcPr>
                <w:p w14:paraId="2C1C0A61">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装卸区</w:t>
                  </w:r>
                </w:p>
              </w:tc>
              <w:tc>
                <w:tcPr>
                  <w:tcW w:w="5470" w:type="dxa"/>
                  <w:gridSpan w:val="2"/>
                  <w:tcBorders>
                    <w:tl2br w:val="nil"/>
                    <w:tr2bl w:val="nil"/>
                  </w:tcBorders>
                  <w:vAlign w:val="center"/>
                </w:tcPr>
                <w:p w14:paraId="6CED8851">
                  <w:pPr>
                    <w:adjustRightInd w:val="0"/>
                    <w:snapToGrid w:val="0"/>
                    <w:jc w:val="center"/>
                    <w:rPr>
                      <w:rFonts w:ascii="Times New Roman" w:hAnsi="Times New Roman" w:cs="Times New Roman"/>
                    </w:rPr>
                  </w:pPr>
                  <w:r>
                    <w:rPr>
                      <w:rFonts w:hint="eastAsia" w:ascii="Times New Roman" w:hAnsi="Times New Roman" w:cs="Times New Roman"/>
                    </w:rPr>
                    <w:t>车间外西侧区域设置装卸区，</w:t>
                  </w:r>
                  <w:r>
                    <w:rPr>
                      <w:rFonts w:ascii="Times New Roman" w:hAnsi="Times New Roman" w:cs="Times New Roman"/>
                      <w:szCs w:val="21"/>
                    </w:rPr>
                    <w:t>占地面积</w:t>
                  </w:r>
                  <w:r>
                    <w:rPr>
                      <w:rFonts w:hint="eastAsia" w:ascii="Times New Roman" w:hAnsi="Times New Roman" w:cs="Times New Roman"/>
                      <w:szCs w:val="21"/>
                    </w:rPr>
                    <w:t>1303</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w:t>
                  </w:r>
                </w:p>
                <w:p w14:paraId="06830900">
                  <w:pPr>
                    <w:adjustRightInd w:val="0"/>
                    <w:snapToGrid w:val="0"/>
                    <w:jc w:val="center"/>
                    <w:rPr>
                      <w:rFonts w:ascii="Times New Roman" w:hAnsi="Times New Roman" w:cs="Times New Roman"/>
                    </w:rPr>
                  </w:pPr>
                  <w:r>
                    <w:rPr>
                      <w:rFonts w:hint="eastAsia" w:ascii="Times New Roman" w:hAnsi="Times New Roman" w:cs="Times New Roman"/>
                    </w:rPr>
                    <w:t>利用现有的龙门吊，</w:t>
                  </w:r>
                  <w:r>
                    <w:rPr>
                      <w:rFonts w:ascii="Times New Roman" w:hAnsi="Times New Roman" w:cs="Times New Roman"/>
                    </w:rPr>
                    <w:t>主要用于</w:t>
                  </w:r>
                  <w:r>
                    <w:rPr>
                      <w:rFonts w:hint="eastAsia" w:ascii="Times New Roman" w:hAnsi="Times New Roman" w:cs="Times New Roman"/>
                    </w:rPr>
                    <w:t>原料和成品的装卸</w:t>
                  </w:r>
                </w:p>
              </w:tc>
              <w:tc>
                <w:tcPr>
                  <w:tcW w:w="1060" w:type="dxa"/>
                  <w:vMerge w:val="continue"/>
                  <w:tcBorders>
                    <w:tl2br w:val="nil"/>
                    <w:tr2bl w:val="nil"/>
                  </w:tcBorders>
                  <w:vAlign w:val="center"/>
                </w:tcPr>
                <w:p w14:paraId="415A5499">
                  <w:pPr>
                    <w:adjustRightInd w:val="0"/>
                    <w:snapToGrid w:val="0"/>
                    <w:jc w:val="center"/>
                    <w:rPr>
                      <w:rFonts w:ascii="Times New Roman" w:hAnsi="Times New Roman" w:cs="Times New Roman"/>
                    </w:rPr>
                  </w:pPr>
                </w:p>
              </w:tc>
            </w:tr>
            <w:tr w14:paraId="547094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5" w:type="dxa"/>
                  <w:tcBorders>
                    <w:tl2br w:val="nil"/>
                    <w:tr2bl w:val="nil"/>
                  </w:tcBorders>
                  <w:vAlign w:val="center"/>
                </w:tcPr>
                <w:p w14:paraId="1482A708">
                  <w:pPr>
                    <w:adjustRightInd w:val="0"/>
                    <w:snapToGrid w:val="0"/>
                    <w:jc w:val="center"/>
                    <w:rPr>
                      <w:rFonts w:ascii="Times New Roman" w:hAnsi="Times New Roman" w:cs="Times New Roman"/>
                      <w:b/>
                      <w:bCs/>
                      <w:szCs w:val="21"/>
                    </w:rPr>
                  </w:pPr>
                  <w:r>
                    <w:rPr>
                      <w:rFonts w:ascii="Times New Roman" w:hAnsi="Times New Roman" w:cs="Times New Roman"/>
                      <w:b/>
                      <w:bCs/>
                      <w:szCs w:val="21"/>
                    </w:rPr>
                    <w:t>3</w:t>
                  </w:r>
                </w:p>
              </w:tc>
              <w:tc>
                <w:tcPr>
                  <w:tcW w:w="720" w:type="dxa"/>
                  <w:tcBorders>
                    <w:tl2br w:val="nil"/>
                    <w:tr2bl w:val="nil"/>
                  </w:tcBorders>
                  <w:vAlign w:val="center"/>
                </w:tcPr>
                <w:p w14:paraId="6594BE98">
                  <w:pPr>
                    <w:adjustRightInd w:val="0"/>
                    <w:snapToGrid w:val="0"/>
                    <w:jc w:val="center"/>
                    <w:rPr>
                      <w:rFonts w:ascii="Times New Roman" w:hAnsi="Times New Roman" w:cs="Times New Roman"/>
                      <w:b/>
                      <w:bCs/>
                      <w:szCs w:val="21"/>
                    </w:rPr>
                  </w:pPr>
                  <w:r>
                    <w:rPr>
                      <w:rFonts w:ascii="Times New Roman" w:hAnsi="Times New Roman" w:cs="Times New Roman"/>
                      <w:b/>
                      <w:bCs/>
                      <w:szCs w:val="21"/>
                    </w:rPr>
                    <w:t>辅助工程</w:t>
                  </w:r>
                </w:p>
              </w:tc>
              <w:tc>
                <w:tcPr>
                  <w:tcW w:w="893" w:type="dxa"/>
                  <w:tcBorders>
                    <w:tl2br w:val="nil"/>
                    <w:tr2bl w:val="nil"/>
                  </w:tcBorders>
                  <w:vAlign w:val="center"/>
                </w:tcPr>
                <w:p w14:paraId="6F71E5EB">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办公楼</w:t>
                  </w:r>
                </w:p>
              </w:tc>
              <w:tc>
                <w:tcPr>
                  <w:tcW w:w="5470" w:type="dxa"/>
                  <w:gridSpan w:val="2"/>
                  <w:tcBorders>
                    <w:tl2br w:val="nil"/>
                    <w:tr2bl w:val="nil"/>
                  </w:tcBorders>
                  <w:vAlign w:val="center"/>
                </w:tcPr>
                <w:p w14:paraId="71426A0D">
                  <w:pPr>
                    <w:adjustRightInd w:val="0"/>
                    <w:snapToGrid w:val="0"/>
                    <w:jc w:val="left"/>
                    <w:rPr>
                      <w:rFonts w:ascii="Times New Roman" w:hAnsi="Times New Roman" w:cs="Times New Roman"/>
                      <w:szCs w:val="21"/>
                    </w:rPr>
                  </w:pPr>
                  <w:r>
                    <w:rPr>
                      <w:rFonts w:hint="eastAsia" w:ascii="Times New Roman" w:hAnsi="Times New Roman" w:cs="Times New Roman"/>
                      <w:szCs w:val="21"/>
                    </w:rPr>
                    <w:t>租用宝鸡市秦成工贸（集团）有限责任公司已有的办公楼，</w:t>
                  </w:r>
                </w:p>
                <w:p w14:paraId="126D0231">
                  <w:pPr>
                    <w:adjustRightInd w:val="0"/>
                    <w:snapToGrid w:val="0"/>
                    <w:jc w:val="left"/>
                    <w:rPr>
                      <w:rFonts w:ascii="Times New Roman" w:hAnsi="Times New Roman" w:cs="Times New Roman"/>
                      <w:szCs w:val="21"/>
                    </w:rPr>
                  </w:pPr>
                  <w:r>
                    <w:rPr>
                      <w:rFonts w:ascii="Times New Roman" w:hAnsi="Times New Roman" w:cs="Times New Roman"/>
                    </w:rPr>
                    <w:t>用于日常办公</w:t>
                  </w:r>
                </w:p>
              </w:tc>
              <w:tc>
                <w:tcPr>
                  <w:tcW w:w="1060" w:type="dxa"/>
                  <w:vMerge w:val="continue"/>
                  <w:tcBorders>
                    <w:tl2br w:val="nil"/>
                    <w:tr2bl w:val="nil"/>
                  </w:tcBorders>
                  <w:vAlign w:val="center"/>
                </w:tcPr>
                <w:p w14:paraId="49836A26">
                  <w:pPr>
                    <w:adjustRightInd w:val="0"/>
                    <w:snapToGrid w:val="0"/>
                    <w:jc w:val="center"/>
                    <w:rPr>
                      <w:rFonts w:ascii="Times New Roman" w:hAnsi="Times New Roman" w:cs="Times New Roman"/>
                    </w:rPr>
                  </w:pPr>
                </w:p>
              </w:tc>
            </w:tr>
            <w:tr w14:paraId="40213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5" w:type="dxa"/>
                  <w:vMerge w:val="restart"/>
                  <w:tcBorders>
                    <w:tl2br w:val="nil"/>
                    <w:tr2bl w:val="nil"/>
                  </w:tcBorders>
                  <w:vAlign w:val="center"/>
                </w:tcPr>
                <w:p w14:paraId="1C1FF4D6">
                  <w:pPr>
                    <w:adjustRightInd w:val="0"/>
                    <w:snapToGrid w:val="0"/>
                    <w:jc w:val="center"/>
                    <w:rPr>
                      <w:rFonts w:ascii="Times New Roman" w:hAnsi="Times New Roman" w:cs="Times New Roman"/>
                      <w:b/>
                      <w:bCs/>
                      <w:szCs w:val="21"/>
                    </w:rPr>
                  </w:pPr>
                  <w:r>
                    <w:rPr>
                      <w:rFonts w:ascii="Times New Roman" w:hAnsi="Times New Roman" w:cs="Times New Roman"/>
                      <w:b/>
                      <w:bCs/>
                      <w:szCs w:val="21"/>
                    </w:rPr>
                    <w:t>4</w:t>
                  </w:r>
                </w:p>
              </w:tc>
              <w:tc>
                <w:tcPr>
                  <w:tcW w:w="720" w:type="dxa"/>
                  <w:vMerge w:val="restart"/>
                  <w:tcBorders>
                    <w:tl2br w:val="nil"/>
                    <w:tr2bl w:val="nil"/>
                  </w:tcBorders>
                  <w:vAlign w:val="center"/>
                </w:tcPr>
                <w:p w14:paraId="20BB6FF4">
                  <w:pPr>
                    <w:adjustRightInd w:val="0"/>
                    <w:snapToGrid w:val="0"/>
                    <w:jc w:val="center"/>
                    <w:rPr>
                      <w:rFonts w:ascii="Times New Roman" w:hAnsi="Times New Roman" w:cs="Times New Roman"/>
                      <w:b/>
                      <w:bCs/>
                      <w:szCs w:val="21"/>
                    </w:rPr>
                  </w:pPr>
                  <w:r>
                    <w:rPr>
                      <w:rFonts w:ascii="Times New Roman" w:hAnsi="Times New Roman" w:cs="Times New Roman"/>
                      <w:b/>
                      <w:bCs/>
                      <w:szCs w:val="21"/>
                    </w:rPr>
                    <w:t>公用工程</w:t>
                  </w:r>
                </w:p>
              </w:tc>
              <w:tc>
                <w:tcPr>
                  <w:tcW w:w="893" w:type="dxa"/>
                  <w:tcBorders>
                    <w:tl2br w:val="nil"/>
                    <w:tr2bl w:val="nil"/>
                  </w:tcBorders>
                  <w:vAlign w:val="center"/>
                </w:tcPr>
                <w:p w14:paraId="33D9C1EE">
                  <w:pPr>
                    <w:adjustRightInd w:val="0"/>
                    <w:snapToGrid w:val="0"/>
                    <w:jc w:val="center"/>
                    <w:rPr>
                      <w:rFonts w:ascii="Times New Roman" w:hAnsi="Times New Roman" w:cs="Times New Roman"/>
                      <w:szCs w:val="21"/>
                    </w:rPr>
                  </w:pPr>
                  <w:r>
                    <w:rPr>
                      <w:rFonts w:ascii="Times New Roman" w:hAnsi="Times New Roman" w:cs="Times New Roman"/>
                      <w:szCs w:val="21"/>
                    </w:rPr>
                    <w:t>给水</w:t>
                  </w:r>
                </w:p>
              </w:tc>
              <w:tc>
                <w:tcPr>
                  <w:tcW w:w="5470" w:type="dxa"/>
                  <w:gridSpan w:val="2"/>
                  <w:tcBorders>
                    <w:tl2br w:val="nil"/>
                    <w:tr2bl w:val="nil"/>
                  </w:tcBorders>
                  <w:vAlign w:val="center"/>
                </w:tcPr>
                <w:p w14:paraId="4DCFA74F">
                  <w:pPr>
                    <w:adjustRightInd w:val="0"/>
                    <w:snapToGrid w:val="0"/>
                    <w:jc w:val="center"/>
                    <w:rPr>
                      <w:rFonts w:ascii="Times New Roman" w:hAnsi="Times New Roman" w:cs="Times New Roman"/>
                      <w:szCs w:val="21"/>
                    </w:rPr>
                  </w:pPr>
                  <w:r>
                    <w:rPr>
                      <w:rFonts w:ascii="Times New Roman" w:hAnsi="Times New Roman" w:cs="Times New Roman"/>
                      <w:szCs w:val="21"/>
                    </w:rPr>
                    <w:t>由</w:t>
                  </w:r>
                  <w:r>
                    <w:rPr>
                      <w:rFonts w:hint="eastAsia" w:ascii="Times New Roman" w:hAnsi="Times New Roman" w:cs="Times New Roman"/>
                      <w:szCs w:val="21"/>
                    </w:rPr>
                    <w:t>姜谭经济技术开发区</w:t>
                  </w:r>
                  <w:r>
                    <w:rPr>
                      <w:rFonts w:ascii="Times New Roman" w:hAnsi="Times New Roman" w:cs="Times New Roman"/>
                      <w:szCs w:val="21"/>
                    </w:rPr>
                    <w:t>给水管道直接供应；</w:t>
                  </w:r>
                </w:p>
              </w:tc>
              <w:tc>
                <w:tcPr>
                  <w:tcW w:w="1060" w:type="dxa"/>
                  <w:tcBorders>
                    <w:tl2br w:val="nil"/>
                    <w:tr2bl w:val="nil"/>
                  </w:tcBorders>
                  <w:vAlign w:val="center"/>
                </w:tcPr>
                <w:p w14:paraId="69C65B0F">
                  <w:pPr>
                    <w:adjustRightInd w:val="0"/>
                    <w:snapToGrid w:val="0"/>
                    <w:jc w:val="center"/>
                    <w:rPr>
                      <w:rFonts w:ascii="Times New Roman" w:hAnsi="Times New Roman" w:cs="Times New Roman"/>
                      <w:szCs w:val="21"/>
                    </w:rPr>
                  </w:pPr>
                  <w:r>
                    <w:rPr>
                      <w:rFonts w:hint="eastAsia" w:ascii="Times New Roman" w:hAnsi="Times New Roman" w:cs="Times New Roman"/>
                    </w:rPr>
                    <w:t>/</w:t>
                  </w:r>
                </w:p>
              </w:tc>
            </w:tr>
            <w:tr w14:paraId="4C562A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5" w:type="dxa"/>
                  <w:vMerge w:val="continue"/>
                  <w:tcBorders>
                    <w:tl2br w:val="nil"/>
                    <w:tr2bl w:val="nil"/>
                  </w:tcBorders>
                  <w:vAlign w:val="center"/>
                </w:tcPr>
                <w:p w14:paraId="795D48AB">
                  <w:pPr>
                    <w:adjustRightInd w:val="0"/>
                    <w:snapToGrid w:val="0"/>
                    <w:jc w:val="center"/>
                    <w:rPr>
                      <w:rFonts w:ascii="Times New Roman" w:hAnsi="Times New Roman" w:cs="Times New Roman"/>
                      <w:b/>
                      <w:bCs/>
                      <w:szCs w:val="21"/>
                    </w:rPr>
                  </w:pPr>
                </w:p>
              </w:tc>
              <w:tc>
                <w:tcPr>
                  <w:tcW w:w="720" w:type="dxa"/>
                  <w:vMerge w:val="continue"/>
                  <w:tcBorders>
                    <w:tl2br w:val="nil"/>
                    <w:tr2bl w:val="nil"/>
                  </w:tcBorders>
                  <w:vAlign w:val="center"/>
                </w:tcPr>
                <w:p w14:paraId="203E12B9">
                  <w:pPr>
                    <w:adjustRightInd w:val="0"/>
                    <w:snapToGrid w:val="0"/>
                    <w:jc w:val="center"/>
                    <w:rPr>
                      <w:rFonts w:ascii="Times New Roman" w:hAnsi="Times New Roman" w:cs="Times New Roman"/>
                      <w:b/>
                      <w:bCs/>
                      <w:szCs w:val="21"/>
                    </w:rPr>
                  </w:pPr>
                </w:p>
              </w:tc>
              <w:tc>
                <w:tcPr>
                  <w:tcW w:w="893" w:type="dxa"/>
                  <w:tcBorders>
                    <w:tl2br w:val="nil"/>
                    <w:tr2bl w:val="nil"/>
                  </w:tcBorders>
                  <w:vAlign w:val="center"/>
                </w:tcPr>
                <w:p w14:paraId="3E456BE9">
                  <w:pPr>
                    <w:adjustRightInd w:val="0"/>
                    <w:snapToGrid w:val="0"/>
                    <w:jc w:val="center"/>
                    <w:rPr>
                      <w:rFonts w:ascii="Times New Roman" w:hAnsi="Times New Roman" w:cs="Times New Roman"/>
                      <w:szCs w:val="21"/>
                    </w:rPr>
                  </w:pPr>
                  <w:r>
                    <w:rPr>
                      <w:rFonts w:ascii="Times New Roman" w:hAnsi="Times New Roman" w:cs="Times New Roman"/>
                      <w:szCs w:val="21"/>
                    </w:rPr>
                    <w:t>排水</w:t>
                  </w:r>
                </w:p>
              </w:tc>
              <w:tc>
                <w:tcPr>
                  <w:tcW w:w="5470" w:type="dxa"/>
                  <w:gridSpan w:val="2"/>
                  <w:tcBorders>
                    <w:tl2br w:val="nil"/>
                    <w:tr2bl w:val="nil"/>
                  </w:tcBorders>
                  <w:vAlign w:val="center"/>
                </w:tcPr>
                <w:p w14:paraId="5069E113">
                  <w:pPr>
                    <w:adjustRightInd w:val="0"/>
                    <w:snapToGrid w:val="0"/>
                    <w:rPr>
                      <w:rFonts w:ascii="Times New Roman" w:hAnsi="Times New Roman" w:eastAsia="宋体" w:cs="Times New Roman"/>
                      <w:szCs w:val="21"/>
                    </w:rPr>
                  </w:pPr>
                  <w:r>
                    <w:rPr>
                      <w:rFonts w:ascii="Times New Roman" w:hAnsi="Times New Roman" w:eastAsia="宋体" w:cs="Times New Roman"/>
                      <w:szCs w:val="21"/>
                    </w:rPr>
                    <w:t>①雨污分流，雨水通过厂区现有雨水排水系统排入污水管网；</w:t>
                  </w:r>
                </w:p>
                <w:p w14:paraId="573C71B2">
                  <w:pPr>
                    <w:adjustRightInd w:val="0"/>
                    <w:snapToGrid w:val="0"/>
                    <w:rPr>
                      <w:rFonts w:ascii="Times New Roman" w:hAnsi="Times New Roman" w:cs="Times New Roman"/>
                    </w:rPr>
                  </w:pPr>
                  <w:r>
                    <w:rPr>
                      <w:rFonts w:ascii="Times New Roman" w:hAnsi="Times New Roman" w:eastAsia="宋体" w:cs="Times New Roman"/>
                      <w:szCs w:val="21"/>
                    </w:rPr>
                    <w:t>②本项目生活污水经过</w:t>
                  </w:r>
                  <w:r>
                    <w:rPr>
                      <w:rFonts w:hint="eastAsia" w:ascii="Times New Roman" w:hAnsi="Times New Roman" w:cs="Times New Roman"/>
                      <w:szCs w:val="21"/>
                    </w:rPr>
                    <w:t>宝鸡市秦成工贸（集团）有限责任公司现有</w:t>
                  </w:r>
                  <w:r>
                    <w:rPr>
                      <w:rFonts w:ascii="Times New Roman" w:hAnsi="Times New Roman" w:eastAsia="宋体" w:cs="Times New Roman"/>
                      <w:szCs w:val="21"/>
                    </w:rPr>
                    <w:t>化粪池预处理后排入</w:t>
                  </w:r>
                  <w:r>
                    <w:rPr>
                      <w:rFonts w:hint="eastAsia" w:ascii="Times New Roman" w:hAnsi="Times New Roman" w:eastAsia="宋体" w:cs="Times New Roman"/>
                      <w:szCs w:val="21"/>
                    </w:rPr>
                    <w:t>高新污水处理厂</w:t>
                  </w:r>
                  <w:r>
                    <w:rPr>
                      <w:rFonts w:ascii="Times New Roman" w:hAnsi="Times New Roman" w:eastAsia="宋体" w:cs="Times New Roman"/>
                      <w:szCs w:val="21"/>
                    </w:rPr>
                    <w:t>；</w:t>
                  </w:r>
                </w:p>
              </w:tc>
              <w:tc>
                <w:tcPr>
                  <w:tcW w:w="1060" w:type="dxa"/>
                  <w:tcBorders>
                    <w:tl2br w:val="nil"/>
                    <w:tr2bl w:val="nil"/>
                  </w:tcBorders>
                  <w:vAlign w:val="center"/>
                </w:tcPr>
                <w:p w14:paraId="146BEEBC">
                  <w:pPr>
                    <w:pStyle w:val="2"/>
                    <w:ind w:left="0" w:leftChars="0" w:firstLine="0" w:firstLineChars="0"/>
                    <w:rPr>
                      <w:rFonts w:ascii="Times New Roman" w:hAnsi="Times New Roman" w:cs="Times New Roman"/>
                    </w:rPr>
                  </w:pPr>
                  <w:r>
                    <w:rPr>
                      <w:rFonts w:hint="eastAsia" w:ascii="Times New Roman" w:hAnsi="Times New Roman" w:cs="Times New Roman"/>
                    </w:rPr>
                    <w:t>依托现有项目</w:t>
                  </w:r>
                </w:p>
              </w:tc>
            </w:tr>
            <w:tr w14:paraId="0B46B0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5" w:type="dxa"/>
                  <w:vMerge w:val="continue"/>
                  <w:tcBorders>
                    <w:tl2br w:val="nil"/>
                    <w:tr2bl w:val="nil"/>
                  </w:tcBorders>
                  <w:vAlign w:val="center"/>
                </w:tcPr>
                <w:p w14:paraId="33B90310">
                  <w:pPr>
                    <w:adjustRightInd w:val="0"/>
                    <w:snapToGrid w:val="0"/>
                    <w:jc w:val="center"/>
                    <w:rPr>
                      <w:rFonts w:ascii="Times New Roman" w:hAnsi="Times New Roman" w:cs="Times New Roman"/>
                      <w:b/>
                      <w:bCs/>
                      <w:szCs w:val="21"/>
                    </w:rPr>
                  </w:pPr>
                </w:p>
              </w:tc>
              <w:tc>
                <w:tcPr>
                  <w:tcW w:w="720" w:type="dxa"/>
                  <w:vMerge w:val="continue"/>
                  <w:tcBorders>
                    <w:tl2br w:val="nil"/>
                    <w:tr2bl w:val="nil"/>
                  </w:tcBorders>
                  <w:vAlign w:val="center"/>
                </w:tcPr>
                <w:p w14:paraId="09061136">
                  <w:pPr>
                    <w:adjustRightInd w:val="0"/>
                    <w:snapToGrid w:val="0"/>
                    <w:jc w:val="center"/>
                    <w:rPr>
                      <w:rFonts w:ascii="Times New Roman" w:hAnsi="Times New Roman" w:cs="Times New Roman"/>
                      <w:b/>
                      <w:bCs/>
                      <w:szCs w:val="21"/>
                    </w:rPr>
                  </w:pPr>
                </w:p>
              </w:tc>
              <w:tc>
                <w:tcPr>
                  <w:tcW w:w="893" w:type="dxa"/>
                  <w:tcBorders>
                    <w:tl2br w:val="nil"/>
                    <w:tr2bl w:val="nil"/>
                  </w:tcBorders>
                  <w:vAlign w:val="center"/>
                </w:tcPr>
                <w:p w14:paraId="52BF0B9D">
                  <w:pPr>
                    <w:adjustRightInd w:val="0"/>
                    <w:snapToGrid w:val="0"/>
                    <w:jc w:val="center"/>
                    <w:rPr>
                      <w:rFonts w:ascii="Times New Roman" w:hAnsi="Times New Roman" w:cs="Times New Roman"/>
                      <w:szCs w:val="21"/>
                    </w:rPr>
                  </w:pPr>
                  <w:r>
                    <w:rPr>
                      <w:rFonts w:ascii="Times New Roman" w:hAnsi="Times New Roman" w:cs="Times New Roman"/>
                      <w:szCs w:val="21"/>
                    </w:rPr>
                    <w:t>供电</w:t>
                  </w:r>
                </w:p>
              </w:tc>
              <w:tc>
                <w:tcPr>
                  <w:tcW w:w="5470" w:type="dxa"/>
                  <w:gridSpan w:val="2"/>
                  <w:tcBorders>
                    <w:tl2br w:val="nil"/>
                    <w:tr2bl w:val="nil"/>
                  </w:tcBorders>
                  <w:vAlign w:val="center"/>
                </w:tcPr>
                <w:p w14:paraId="5220EAAD">
                  <w:pPr>
                    <w:adjustRightInd w:val="0"/>
                    <w:snapToGrid w:val="0"/>
                    <w:jc w:val="center"/>
                    <w:rPr>
                      <w:rFonts w:ascii="Times New Roman" w:hAnsi="Times New Roman" w:eastAsia="宋体" w:cs="Times New Roman"/>
                      <w:szCs w:val="21"/>
                    </w:rPr>
                  </w:pPr>
                  <w:r>
                    <w:rPr>
                      <w:rFonts w:hint="eastAsia" w:ascii="Times New Roman" w:hAnsi="Times New Roman" w:cs="Times New Roman"/>
                      <w:szCs w:val="21"/>
                    </w:rPr>
                    <w:t>由姜谭经济技术开发区</w:t>
                  </w:r>
                  <w:r>
                    <w:rPr>
                      <w:rFonts w:ascii="Times New Roman" w:hAnsi="Times New Roman" w:eastAsia="宋体" w:cs="Times New Roman"/>
                      <w:szCs w:val="21"/>
                    </w:rPr>
                    <w:t>电网供电</w:t>
                  </w:r>
                </w:p>
              </w:tc>
              <w:tc>
                <w:tcPr>
                  <w:tcW w:w="1060" w:type="dxa"/>
                  <w:tcBorders>
                    <w:tl2br w:val="nil"/>
                    <w:tr2bl w:val="nil"/>
                  </w:tcBorders>
                  <w:vAlign w:val="center"/>
                </w:tcPr>
                <w:p w14:paraId="3495F57B">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14:paraId="205C5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5" w:type="dxa"/>
                  <w:vMerge w:val="continue"/>
                  <w:tcBorders>
                    <w:tl2br w:val="nil"/>
                    <w:tr2bl w:val="nil"/>
                  </w:tcBorders>
                  <w:vAlign w:val="center"/>
                </w:tcPr>
                <w:p w14:paraId="7CD34B5E">
                  <w:pPr>
                    <w:adjustRightInd w:val="0"/>
                    <w:snapToGrid w:val="0"/>
                    <w:jc w:val="center"/>
                    <w:rPr>
                      <w:rFonts w:ascii="Times New Roman" w:hAnsi="Times New Roman" w:cs="Times New Roman"/>
                      <w:b/>
                      <w:bCs/>
                      <w:szCs w:val="21"/>
                    </w:rPr>
                  </w:pPr>
                </w:p>
              </w:tc>
              <w:tc>
                <w:tcPr>
                  <w:tcW w:w="720" w:type="dxa"/>
                  <w:vMerge w:val="continue"/>
                  <w:tcBorders>
                    <w:tl2br w:val="nil"/>
                    <w:tr2bl w:val="nil"/>
                  </w:tcBorders>
                  <w:vAlign w:val="center"/>
                </w:tcPr>
                <w:p w14:paraId="0C001592">
                  <w:pPr>
                    <w:adjustRightInd w:val="0"/>
                    <w:snapToGrid w:val="0"/>
                    <w:jc w:val="center"/>
                    <w:rPr>
                      <w:rFonts w:ascii="Times New Roman" w:hAnsi="Times New Roman" w:cs="Times New Roman"/>
                      <w:b/>
                      <w:bCs/>
                      <w:szCs w:val="21"/>
                    </w:rPr>
                  </w:pPr>
                </w:p>
              </w:tc>
              <w:tc>
                <w:tcPr>
                  <w:tcW w:w="893" w:type="dxa"/>
                  <w:vMerge w:val="restart"/>
                  <w:tcBorders>
                    <w:tl2br w:val="nil"/>
                    <w:tr2bl w:val="nil"/>
                  </w:tcBorders>
                  <w:vAlign w:val="center"/>
                </w:tcPr>
                <w:p w14:paraId="177916E0">
                  <w:pPr>
                    <w:adjustRightInd w:val="0"/>
                    <w:snapToGrid w:val="0"/>
                    <w:jc w:val="center"/>
                    <w:rPr>
                      <w:rFonts w:ascii="Times New Roman" w:hAnsi="Times New Roman" w:cs="Times New Roman"/>
                      <w:szCs w:val="21"/>
                    </w:rPr>
                  </w:pPr>
                  <w:r>
                    <w:rPr>
                      <w:rFonts w:hint="eastAsia" w:ascii="Times New Roman" w:hAnsi="Times New Roman" w:cs="Times New Roman"/>
                      <w:szCs w:val="21"/>
                    </w:rPr>
                    <w:t>环保工程</w:t>
                  </w:r>
                </w:p>
                <w:p w14:paraId="40C29EE0">
                  <w:pPr>
                    <w:adjustRightInd w:val="0"/>
                    <w:snapToGrid w:val="0"/>
                    <w:jc w:val="center"/>
                    <w:rPr>
                      <w:rFonts w:ascii="Times New Roman" w:hAnsi="Times New Roman" w:cs="Times New Roman"/>
                      <w:szCs w:val="21"/>
                    </w:rPr>
                  </w:pPr>
                </w:p>
              </w:tc>
              <w:tc>
                <w:tcPr>
                  <w:tcW w:w="1381" w:type="dxa"/>
                  <w:tcBorders>
                    <w:tl2br w:val="nil"/>
                    <w:tr2bl w:val="nil"/>
                  </w:tcBorders>
                  <w:vAlign w:val="center"/>
                </w:tcPr>
                <w:p w14:paraId="09C8B1CD">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自动喷砂生产线</w:t>
                  </w:r>
                </w:p>
              </w:tc>
              <w:tc>
                <w:tcPr>
                  <w:tcW w:w="4089" w:type="dxa"/>
                  <w:tcBorders>
                    <w:tl2br w:val="nil"/>
                    <w:tr2bl w:val="nil"/>
                  </w:tcBorders>
                  <w:vAlign w:val="center"/>
                </w:tcPr>
                <w:p w14:paraId="4CB8F1BA">
                  <w:pPr>
                    <w:widowControl/>
                    <w:wordWrap w:val="0"/>
                    <w:adjustRightInd w:val="0"/>
                    <w:snapToGrid w:val="0"/>
                    <w:jc w:val="left"/>
                    <w:rPr>
                      <w:rFonts w:ascii="Times New Roman" w:hAnsi="Times New Roman" w:cs="Times New Roman"/>
                    </w:rPr>
                  </w:pPr>
                  <w:r>
                    <w:rPr>
                      <w:rFonts w:hint="eastAsia" w:ascii="Times New Roman" w:hAnsi="Times New Roman" w:cs="Times New Roman"/>
                    </w:rPr>
                    <w:t>经密闭管道连接+1套</w:t>
                  </w:r>
                  <w:r>
                    <w:rPr>
                      <w:rFonts w:ascii="Times New Roman" w:hAnsi="Times New Roman" w:cs="Times New Roman"/>
                    </w:rPr>
                    <w:t>高效脉冲布袋除尘器</w:t>
                  </w:r>
                </w:p>
                <w:p w14:paraId="6E5F18E6">
                  <w:pPr>
                    <w:widowControl/>
                    <w:wordWrap w:val="0"/>
                    <w:adjustRightInd w:val="0"/>
                    <w:snapToGrid w:val="0"/>
                    <w:jc w:val="left"/>
                    <w:rPr>
                      <w:rFonts w:ascii="Times New Roman" w:hAnsi="Times New Roman" w:cs="Times New Roman"/>
                    </w:rPr>
                  </w:pPr>
                  <w:r>
                    <w:rPr>
                      <w:rFonts w:ascii="Times New Roman" w:hAnsi="Times New Roman" w:cs="Times New Roman"/>
                    </w:rPr>
                    <w:t>TA00</w:t>
                  </w:r>
                  <w:r>
                    <w:rPr>
                      <w:rFonts w:hint="eastAsia" w:ascii="Times New Roman" w:hAnsi="Times New Roman" w:cs="Times New Roman"/>
                    </w:rPr>
                    <w:t>2</w:t>
                  </w:r>
                  <w:r>
                    <w:rPr>
                      <w:rFonts w:ascii="Times New Roman" w:hAnsi="Times New Roman" w:cs="Times New Roman"/>
                    </w:rPr>
                    <w:t>+15m高排气筒DA00</w:t>
                  </w:r>
                  <w:r>
                    <w:rPr>
                      <w:rFonts w:hint="eastAsia" w:ascii="Times New Roman" w:hAnsi="Times New Roman" w:cs="Times New Roman"/>
                    </w:rPr>
                    <w:t>2</w:t>
                  </w:r>
                </w:p>
              </w:tc>
              <w:tc>
                <w:tcPr>
                  <w:tcW w:w="1060" w:type="dxa"/>
                  <w:tcBorders>
                    <w:tl2br w:val="nil"/>
                    <w:tr2bl w:val="nil"/>
                  </w:tcBorders>
                  <w:vAlign w:val="center"/>
                </w:tcPr>
                <w:p w14:paraId="02702376">
                  <w:pPr>
                    <w:widowControl/>
                    <w:wordWrap w:val="0"/>
                    <w:adjustRightInd w:val="0"/>
                    <w:snapToGrid w:val="0"/>
                    <w:jc w:val="center"/>
                    <w:rPr>
                      <w:rFonts w:ascii="Times New Roman" w:hAnsi="Times New Roman" w:cs="Times New Roman"/>
                    </w:rPr>
                  </w:pPr>
                  <w:r>
                    <w:rPr>
                      <w:rFonts w:ascii="Times New Roman" w:hAnsi="Times New Roman" w:cs="Times New Roman"/>
                    </w:rPr>
                    <w:t>依托原有</w:t>
                  </w:r>
                  <w:r>
                    <w:rPr>
                      <w:rFonts w:hint="eastAsia"/>
                    </w:rPr>
                    <w:t>抛丸和振动分离废气治理设施：</w:t>
                  </w:r>
                  <w:r>
                    <w:rPr>
                      <w:rFonts w:ascii="Times New Roman" w:hAnsi="Times New Roman" w:cs="Times New Roman"/>
                    </w:rPr>
                    <w:t>高效脉冲布袋除尘器TA00</w:t>
                  </w:r>
                  <w:r>
                    <w:rPr>
                      <w:rFonts w:hint="eastAsia" w:ascii="Times New Roman" w:hAnsi="Times New Roman" w:cs="Times New Roman"/>
                    </w:rPr>
                    <w:t>2</w:t>
                  </w:r>
                  <w:r>
                    <w:rPr>
                      <w:rFonts w:ascii="Times New Roman" w:hAnsi="Times New Roman" w:cs="Times New Roman"/>
                    </w:rPr>
                    <w:t>+15m高排气筒DA00</w:t>
                  </w:r>
                  <w:r>
                    <w:rPr>
                      <w:rFonts w:hint="eastAsia" w:ascii="Times New Roman" w:hAnsi="Times New Roman" w:cs="Times New Roman"/>
                    </w:rPr>
                    <w:t>2</w:t>
                  </w:r>
                </w:p>
              </w:tc>
            </w:tr>
            <w:tr w14:paraId="1E1F04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5" w:type="dxa"/>
                  <w:vMerge w:val="continue"/>
                  <w:tcBorders>
                    <w:tl2br w:val="nil"/>
                    <w:tr2bl w:val="nil"/>
                  </w:tcBorders>
                  <w:vAlign w:val="center"/>
                </w:tcPr>
                <w:p w14:paraId="589D8FF1">
                  <w:pPr>
                    <w:adjustRightInd w:val="0"/>
                    <w:snapToGrid w:val="0"/>
                    <w:jc w:val="center"/>
                    <w:rPr>
                      <w:rFonts w:ascii="Times New Roman" w:hAnsi="Times New Roman" w:cs="Times New Roman"/>
                      <w:b/>
                      <w:bCs/>
                      <w:szCs w:val="21"/>
                    </w:rPr>
                  </w:pPr>
                </w:p>
              </w:tc>
              <w:tc>
                <w:tcPr>
                  <w:tcW w:w="720" w:type="dxa"/>
                  <w:vMerge w:val="continue"/>
                  <w:tcBorders>
                    <w:tl2br w:val="nil"/>
                    <w:tr2bl w:val="nil"/>
                  </w:tcBorders>
                  <w:vAlign w:val="center"/>
                </w:tcPr>
                <w:p w14:paraId="334D215B">
                  <w:pPr>
                    <w:adjustRightInd w:val="0"/>
                    <w:snapToGrid w:val="0"/>
                    <w:jc w:val="center"/>
                    <w:rPr>
                      <w:rFonts w:ascii="Times New Roman" w:hAnsi="Times New Roman" w:cs="Times New Roman"/>
                      <w:b/>
                      <w:bCs/>
                      <w:szCs w:val="21"/>
                    </w:rPr>
                  </w:pPr>
                </w:p>
              </w:tc>
              <w:tc>
                <w:tcPr>
                  <w:tcW w:w="893" w:type="dxa"/>
                  <w:vMerge w:val="continue"/>
                  <w:tcBorders>
                    <w:tl2br w:val="nil"/>
                    <w:tr2bl w:val="nil"/>
                  </w:tcBorders>
                  <w:vAlign w:val="center"/>
                </w:tcPr>
                <w:p w14:paraId="76912852">
                  <w:pPr>
                    <w:adjustRightInd w:val="0"/>
                    <w:snapToGrid w:val="0"/>
                    <w:jc w:val="center"/>
                    <w:rPr>
                      <w:rFonts w:ascii="Times New Roman" w:hAnsi="Times New Roman" w:cs="Times New Roman"/>
                      <w:szCs w:val="21"/>
                    </w:rPr>
                  </w:pPr>
                </w:p>
              </w:tc>
              <w:tc>
                <w:tcPr>
                  <w:tcW w:w="1381" w:type="dxa"/>
                  <w:tcBorders>
                    <w:tl2br w:val="nil"/>
                    <w:tr2bl w:val="nil"/>
                  </w:tcBorders>
                  <w:vAlign w:val="center"/>
                </w:tcPr>
                <w:p w14:paraId="04471D3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自动喷漆烘干工生产线</w:t>
                  </w:r>
                </w:p>
              </w:tc>
              <w:tc>
                <w:tcPr>
                  <w:tcW w:w="4089" w:type="dxa"/>
                  <w:tcBorders>
                    <w:tl2br w:val="nil"/>
                    <w:tr2bl w:val="nil"/>
                  </w:tcBorders>
                  <w:vAlign w:val="center"/>
                </w:tcPr>
                <w:p w14:paraId="73342979">
                  <w:pPr>
                    <w:adjustRightInd w:val="0"/>
                    <w:snapToGrid w:val="0"/>
                    <w:jc w:val="left"/>
                    <w:rPr>
                      <w:rFonts w:ascii="Times New Roman" w:hAnsi="Times New Roman" w:cs="Times New Roman"/>
                    </w:rPr>
                  </w:pPr>
                  <w:r>
                    <w:rPr>
                      <w:rFonts w:hint="eastAsia" w:ascii="Times New Roman" w:hAnsi="Times New Roman" w:cs="Times New Roman"/>
                    </w:rPr>
                    <w:t>干式过滤箱</w:t>
                  </w:r>
                  <w:r>
                    <w:rPr>
                      <w:rFonts w:ascii="Times New Roman" w:hAnsi="Times New Roman" w:cs="Times New Roman"/>
                    </w:rPr>
                    <w:t>+</w:t>
                  </w:r>
                  <w:r>
                    <w:rPr>
                      <w:rFonts w:hint="eastAsia" w:ascii="Times New Roman" w:hAnsi="Times New Roman" w:cs="Times New Roman"/>
                    </w:rPr>
                    <w:t>二级</w:t>
                  </w:r>
                  <w:r>
                    <w:rPr>
                      <w:rFonts w:ascii="Times New Roman" w:hAnsi="Times New Roman" w:cs="Times New Roman"/>
                    </w:rPr>
                    <w:t>活性炭吸附TA00</w:t>
                  </w:r>
                  <w:r>
                    <w:rPr>
                      <w:rFonts w:hint="eastAsia" w:ascii="Times New Roman" w:hAnsi="Times New Roman" w:cs="Times New Roman"/>
                    </w:rPr>
                    <w:t>4</w:t>
                  </w:r>
                  <w:r>
                    <w:rPr>
                      <w:rFonts w:ascii="Times New Roman" w:hAnsi="Times New Roman" w:cs="Times New Roman"/>
                    </w:rPr>
                    <w:t>+</w:t>
                  </w:r>
                </w:p>
                <w:p w14:paraId="53B0B1EC">
                  <w:pPr>
                    <w:adjustRightInd w:val="0"/>
                    <w:snapToGrid w:val="0"/>
                    <w:jc w:val="left"/>
                    <w:rPr>
                      <w:rFonts w:ascii="Times New Roman" w:hAnsi="Times New Roman" w:cs="Times New Roman"/>
                    </w:rPr>
                  </w:pPr>
                  <w:r>
                    <w:rPr>
                      <w:rFonts w:ascii="Times New Roman" w:hAnsi="Times New Roman" w:cs="Times New Roman"/>
                    </w:rPr>
                    <w:t>15m高排气筒DA003</w:t>
                  </w:r>
                </w:p>
              </w:tc>
              <w:tc>
                <w:tcPr>
                  <w:tcW w:w="1060" w:type="dxa"/>
                  <w:tcBorders>
                    <w:tl2br w:val="nil"/>
                    <w:tr2bl w:val="nil"/>
                  </w:tcBorders>
                  <w:vAlign w:val="center"/>
                </w:tcPr>
                <w:p w14:paraId="2E97EF1A">
                  <w:pPr>
                    <w:pStyle w:val="8"/>
                    <w:rPr>
                      <w:rFonts w:hint="eastAsia" w:ascii="Times New Roman" w:hAnsi="Times New Roman" w:cs="Times New Roman" w:eastAsiaTheme="minorEastAsia"/>
                      <w:lang w:eastAsia="zh-CN"/>
                    </w:rPr>
                  </w:pPr>
                  <w:r>
                    <w:rPr>
                      <w:rFonts w:hint="eastAsia" w:ascii="Times New Roman" w:hAnsi="Times New Roman" w:cs="Times New Roman"/>
                    </w:rPr>
                    <w:t>干式过滤箱</w:t>
                  </w:r>
                  <w:r>
                    <w:rPr>
                      <w:rFonts w:ascii="Times New Roman" w:hAnsi="Times New Roman" w:cs="Times New Roman"/>
                    </w:rPr>
                    <w:t>+</w:t>
                  </w:r>
                  <w:r>
                    <w:rPr>
                      <w:rFonts w:hint="eastAsia" w:ascii="Times New Roman" w:hAnsi="Times New Roman" w:cs="Times New Roman"/>
                    </w:rPr>
                    <w:t>二级</w:t>
                  </w:r>
                  <w:r>
                    <w:rPr>
                      <w:rFonts w:ascii="Times New Roman" w:hAnsi="Times New Roman" w:cs="Times New Roman"/>
                    </w:rPr>
                    <w:t>活性炭吸附新建</w:t>
                  </w:r>
                  <w:r>
                    <w:rPr>
                      <w:rFonts w:hint="eastAsia" w:ascii="Times New Roman" w:hAnsi="Times New Roman" w:cs="Times New Roman"/>
                      <w:lang w:eastAsia="zh-CN"/>
                    </w:rPr>
                    <w:t>，</w:t>
                  </w:r>
                  <w:r>
                    <w:rPr>
                      <w:rFonts w:ascii="Times New Roman" w:hAnsi="Times New Roman" w:cs="Times New Roman"/>
                    </w:rPr>
                    <w:t>排气筒DA003</w:t>
                  </w:r>
                  <w:r>
                    <w:rPr>
                      <w:rFonts w:hint="eastAsia" w:ascii="Times New Roman" w:hAnsi="Times New Roman" w:cs="Times New Roman"/>
                      <w:lang w:eastAsia="zh-CN"/>
                    </w:rPr>
                    <w:t>依托原有</w:t>
                  </w:r>
                </w:p>
              </w:tc>
            </w:tr>
            <w:tr w14:paraId="6F3CB6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5" w:type="dxa"/>
                  <w:vMerge w:val="continue"/>
                  <w:tcBorders>
                    <w:tl2br w:val="nil"/>
                    <w:tr2bl w:val="nil"/>
                  </w:tcBorders>
                  <w:vAlign w:val="center"/>
                </w:tcPr>
                <w:p w14:paraId="593788AB">
                  <w:pPr>
                    <w:adjustRightInd w:val="0"/>
                    <w:snapToGrid w:val="0"/>
                    <w:jc w:val="center"/>
                    <w:rPr>
                      <w:rFonts w:ascii="Times New Roman" w:hAnsi="Times New Roman" w:cs="Times New Roman"/>
                      <w:szCs w:val="21"/>
                    </w:rPr>
                  </w:pPr>
                </w:p>
              </w:tc>
              <w:tc>
                <w:tcPr>
                  <w:tcW w:w="720" w:type="dxa"/>
                  <w:vMerge w:val="continue"/>
                  <w:tcBorders>
                    <w:tl2br w:val="nil"/>
                    <w:tr2bl w:val="nil"/>
                  </w:tcBorders>
                  <w:vAlign w:val="center"/>
                </w:tcPr>
                <w:p w14:paraId="7A813E66">
                  <w:pPr>
                    <w:adjustRightInd w:val="0"/>
                    <w:snapToGrid w:val="0"/>
                    <w:jc w:val="center"/>
                    <w:rPr>
                      <w:rFonts w:ascii="Times New Roman" w:hAnsi="Times New Roman" w:cs="Times New Roman"/>
                      <w:szCs w:val="21"/>
                    </w:rPr>
                  </w:pPr>
                </w:p>
              </w:tc>
              <w:tc>
                <w:tcPr>
                  <w:tcW w:w="893" w:type="dxa"/>
                  <w:vMerge w:val="continue"/>
                  <w:tcBorders>
                    <w:tl2br w:val="nil"/>
                    <w:tr2bl w:val="nil"/>
                  </w:tcBorders>
                  <w:vAlign w:val="center"/>
                </w:tcPr>
                <w:p w14:paraId="0FCB72B0">
                  <w:pPr>
                    <w:adjustRightInd w:val="0"/>
                    <w:snapToGrid w:val="0"/>
                    <w:jc w:val="center"/>
                    <w:rPr>
                      <w:rFonts w:ascii="Times New Roman" w:hAnsi="Times New Roman" w:cs="Times New Roman"/>
                      <w:szCs w:val="21"/>
                    </w:rPr>
                  </w:pPr>
                </w:p>
              </w:tc>
              <w:tc>
                <w:tcPr>
                  <w:tcW w:w="1381" w:type="dxa"/>
                  <w:tcBorders>
                    <w:tl2br w:val="nil"/>
                    <w:tr2bl w:val="nil"/>
                  </w:tcBorders>
                  <w:shd w:val="clear" w:color="auto" w:fill="auto"/>
                  <w:vAlign w:val="center"/>
                </w:tcPr>
                <w:p w14:paraId="5BCAB687">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生活污水</w:t>
                  </w:r>
                </w:p>
              </w:tc>
              <w:tc>
                <w:tcPr>
                  <w:tcW w:w="4089" w:type="dxa"/>
                  <w:tcBorders>
                    <w:tl2br w:val="nil"/>
                    <w:tr2bl w:val="nil"/>
                  </w:tcBorders>
                  <w:shd w:val="clear" w:color="auto" w:fill="auto"/>
                  <w:vAlign w:val="center"/>
                </w:tcPr>
                <w:p w14:paraId="7754AAC4">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经</w:t>
                  </w:r>
                  <w:r>
                    <w:rPr>
                      <w:rFonts w:hint="eastAsia" w:ascii="Times New Roman" w:hAnsi="Times New Roman" w:cs="Times New Roman"/>
                      <w:szCs w:val="21"/>
                    </w:rPr>
                    <w:t>宝鸡市秦成工贸（集团）有限责任公司现有</w:t>
                  </w:r>
                  <w:r>
                    <w:rPr>
                      <w:rFonts w:ascii="Times New Roman" w:hAnsi="Times New Roman" w:eastAsia="宋体" w:cs="Times New Roman"/>
                      <w:szCs w:val="21"/>
                    </w:rPr>
                    <w:t>化粪池处理后</w:t>
                  </w:r>
                  <w:r>
                    <w:rPr>
                      <w:rFonts w:hint="eastAsia" w:ascii="Times New Roman" w:hAnsi="Times New Roman" w:eastAsia="宋体" w:cs="Times New Roman"/>
                      <w:szCs w:val="21"/>
                    </w:rPr>
                    <w:t>经</w:t>
                  </w:r>
                  <w:r>
                    <w:rPr>
                      <w:rFonts w:ascii="Times New Roman" w:hAnsi="Times New Roman" w:eastAsia="宋体" w:cs="Times New Roman"/>
                      <w:szCs w:val="21"/>
                    </w:rPr>
                    <w:t>市政污水管网排入</w:t>
                  </w:r>
                  <w:r>
                    <w:rPr>
                      <w:rFonts w:hint="eastAsia" w:ascii="Times New Roman" w:hAnsi="Times New Roman" w:eastAsia="宋体" w:cs="Times New Roman"/>
                      <w:szCs w:val="21"/>
                    </w:rPr>
                    <w:t>高新污水处理厂</w:t>
                  </w:r>
                </w:p>
              </w:tc>
              <w:tc>
                <w:tcPr>
                  <w:tcW w:w="1060" w:type="dxa"/>
                  <w:tcBorders>
                    <w:tl2br w:val="nil"/>
                    <w:tr2bl w:val="nil"/>
                  </w:tcBorders>
                  <w:vAlign w:val="center"/>
                </w:tcPr>
                <w:p w14:paraId="3F0567B3">
                  <w:pPr>
                    <w:adjustRightInd w:val="0"/>
                    <w:snapToGrid w:val="0"/>
                    <w:jc w:val="center"/>
                    <w:rPr>
                      <w:rFonts w:ascii="Times New Roman" w:hAnsi="Times New Roman" w:eastAsia="宋体" w:cs="Times New Roman"/>
                      <w:szCs w:val="21"/>
                    </w:rPr>
                  </w:pPr>
                  <w:r>
                    <w:rPr>
                      <w:rFonts w:hint="eastAsia" w:ascii="Times New Roman" w:hAnsi="Times New Roman" w:cs="Times New Roman"/>
                    </w:rPr>
                    <w:t>依托现有项目</w:t>
                  </w:r>
                </w:p>
              </w:tc>
            </w:tr>
            <w:tr w14:paraId="7CF565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5" w:type="dxa"/>
                  <w:vMerge w:val="continue"/>
                  <w:tcBorders>
                    <w:tl2br w:val="nil"/>
                    <w:tr2bl w:val="nil"/>
                  </w:tcBorders>
                  <w:vAlign w:val="center"/>
                </w:tcPr>
                <w:p w14:paraId="2C529CDB">
                  <w:pPr>
                    <w:adjustRightInd w:val="0"/>
                    <w:snapToGrid w:val="0"/>
                    <w:jc w:val="center"/>
                    <w:rPr>
                      <w:rFonts w:ascii="Times New Roman" w:hAnsi="Times New Roman" w:cs="Times New Roman"/>
                      <w:szCs w:val="21"/>
                    </w:rPr>
                  </w:pPr>
                </w:p>
              </w:tc>
              <w:tc>
                <w:tcPr>
                  <w:tcW w:w="720" w:type="dxa"/>
                  <w:vMerge w:val="continue"/>
                  <w:tcBorders>
                    <w:tl2br w:val="nil"/>
                    <w:tr2bl w:val="nil"/>
                  </w:tcBorders>
                  <w:vAlign w:val="center"/>
                </w:tcPr>
                <w:p w14:paraId="1DBD0AFE">
                  <w:pPr>
                    <w:adjustRightInd w:val="0"/>
                    <w:snapToGrid w:val="0"/>
                    <w:jc w:val="center"/>
                    <w:rPr>
                      <w:rFonts w:ascii="Times New Roman" w:hAnsi="Times New Roman" w:cs="Times New Roman"/>
                      <w:szCs w:val="21"/>
                    </w:rPr>
                  </w:pPr>
                </w:p>
              </w:tc>
              <w:tc>
                <w:tcPr>
                  <w:tcW w:w="893" w:type="dxa"/>
                  <w:vMerge w:val="continue"/>
                  <w:tcBorders>
                    <w:tl2br w:val="nil"/>
                    <w:tr2bl w:val="nil"/>
                  </w:tcBorders>
                  <w:vAlign w:val="center"/>
                </w:tcPr>
                <w:p w14:paraId="51FB005F">
                  <w:pPr>
                    <w:adjustRightInd w:val="0"/>
                    <w:snapToGrid w:val="0"/>
                    <w:jc w:val="center"/>
                    <w:rPr>
                      <w:rFonts w:ascii="Times New Roman" w:hAnsi="Times New Roman" w:cs="Times New Roman"/>
                      <w:szCs w:val="21"/>
                    </w:rPr>
                  </w:pPr>
                </w:p>
              </w:tc>
              <w:tc>
                <w:tcPr>
                  <w:tcW w:w="1381" w:type="dxa"/>
                  <w:tcBorders>
                    <w:tl2br w:val="nil"/>
                    <w:tr2bl w:val="nil"/>
                  </w:tcBorders>
                  <w:vAlign w:val="center"/>
                </w:tcPr>
                <w:p w14:paraId="365AD06A">
                  <w:pPr>
                    <w:adjustRightInd w:val="0"/>
                    <w:snapToGrid w:val="0"/>
                    <w:jc w:val="center"/>
                    <w:rPr>
                      <w:rFonts w:ascii="Times New Roman" w:hAnsi="Times New Roman" w:cs="Times New Roman"/>
                      <w:szCs w:val="21"/>
                    </w:rPr>
                  </w:pPr>
                  <w:r>
                    <w:rPr>
                      <w:rFonts w:ascii="Times New Roman" w:hAnsi="Times New Roman" w:cs="Times New Roman"/>
                      <w:szCs w:val="21"/>
                    </w:rPr>
                    <w:t>设备噪声</w:t>
                  </w:r>
                </w:p>
              </w:tc>
              <w:tc>
                <w:tcPr>
                  <w:tcW w:w="4089" w:type="dxa"/>
                  <w:tcBorders>
                    <w:tl2br w:val="nil"/>
                    <w:tr2bl w:val="nil"/>
                  </w:tcBorders>
                  <w:vAlign w:val="center"/>
                </w:tcPr>
                <w:p w14:paraId="36D3D040">
                  <w:pPr>
                    <w:adjustRightInd w:val="0"/>
                    <w:snapToGrid w:val="0"/>
                    <w:jc w:val="left"/>
                    <w:rPr>
                      <w:rFonts w:ascii="Times New Roman" w:hAnsi="Times New Roman" w:cs="Times New Roman"/>
                      <w:szCs w:val="21"/>
                    </w:rPr>
                  </w:pPr>
                  <w:r>
                    <w:rPr>
                      <w:rFonts w:ascii="Times New Roman" w:hAnsi="Times New Roman" w:cs="Times New Roman"/>
                      <w:szCs w:val="21"/>
                    </w:rPr>
                    <w:t>①基础减</w:t>
                  </w:r>
                  <w:r>
                    <w:rPr>
                      <w:rFonts w:hint="eastAsia" w:ascii="Times New Roman" w:hAnsi="Times New Roman" w:cs="Times New Roman"/>
                      <w:szCs w:val="21"/>
                      <w:lang w:eastAsia="zh-CN"/>
                    </w:rPr>
                    <w:t>振</w:t>
                  </w:r>
                  <w:r>
                    <w:rPr>
                      <w:rFonts w:ascii="Times New Roman" w:hAnsi="Times New Roman" w:cs="Times New Roman"/>
                      <w:szCs w:val="21"/>
                    </w:rPr>
                    <w:t>、厂房隔声</w:t>
                  </w:r>
                </w:p>
                <w:p w14:paraId="51131B18">
                  <w:pPr>
                    <w:adjustRightInd w:val="0"/>
                    <w:snapToGrid w:val="0"/>
                    <w:jc w:val="left"/>
                    <w:rPr>
                      <w:rFonts w:ascii="Times New Roman" w:hAnsi="Times New Roman" w:cs="Times New Roman"/>
                      <w:szCs w:val="21"/>
                    </w:rPr>
                  </w:pPr>
                  <w:r>
                    <w:rPr>
                      <w:rFonts w:ascii="Times New Roman" w:hAnsi="Times New Roman" w:cs="Times New Roman"/>
                      <w:szCs w:val="21"/>
                    </w:rPr>
                    <w:t>②风机</w:t>
                  </w:r>
                  <w:r>
                    <w:rPr>
                      <w:rFonts w:hint="eastAsia" w:ascii="Times New Roman" w:hAnsi="Times New Roman" w:cs="Times New Roman"/>
                      <w:szCs w:val="21"/>
                    </w:rPr>
                    <w:t>安装</w:t>
                  </w:r>
                  <w:r>
                    <w:rPr>
                      <w:rFonts w:ascii="Times New Roman" w:hAnsi="Times New Roman" w:cs="Times New Roman"/>
                      <w:szCs w:val="21"/>
                    </w:rPr>
                    <w:t>隔声罩</w:t>
                  </w:r>
                </w:p>
              </w:tc>
              <w:tc>
                <w:tcPr>
                  <w:tcW w:w="1060" w:type="dxa"/>
                  <w:tcBorders>
                    <w:tl2br w:val="nil"/>
                    <w:tr2bl w:val="nil"/>
                  </w:tcBorders>
                  <w:vAlign w:val="center"/>
                </w:tcPr>
                <w:p w14:paraId="0440EF24">
                  <w:pPr>
                    <w:adjustRightInd w:val="0"/>
                    <w:snapToGrid w:val="0"/>
                    <w:jc w:val="center"/>
                    <w:rPr>
                      <w:rFonts w:ascii="Times New Roman" w:hAnsi="Times New Roman" w:cs="Times New Roman"/>
                      <w:szCs w:val="21"/>
                    </w:rPr>
                  </w:pPr>
                  <w:r>
                    <w:rPr>
                      <w:rFonts w:hint="eastAsia" w:ascii="Times New Roman" w:hAnsi="Times New Roman" w:cs="Times New Roman"/>
                      <w:szCs w:val="21"/>
                    </w:rPr>
                    <w:t>新建</w:t>
                  </w:r>
                </w:p>
              </w:tc>
            </w:tr>
            <w:tr w14:paraId="63285C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5" w:type="dxa"/>
                  <w:vMerge w:val="continue"/>
                  <w:tcBorders>
                    <w:tl2br w:val="nil"/>
                    <w:tr2bl w:val="nil"/>
                  </w:tcBorders>
                  <w:vAlign w:val="center"/>
                </w:tcPr>
                <w:p w14:paraId="545CB612">
                  <w:pPr>
                    <w:adjustRightInd w:val="0"/>
                    <w:snapToGrid w:val="0"/>
                    <w:jc w:val="center"/>
                    <w:rPr>
                      <w:rFonts w:ascii="Times New Roman" w:hAnsi="Times New Roman" w:cs="Times New Roman"/>
                      <w:szCs w:val="21"/>
                    </w:rPr>
                  </w:pPr>
                </w:p>
              </w:tc>
              <w:tc>
                <w:tcPr>
                  <w:tcW w:w="720" w:type="dxa"/>
                  <w:vMerge w:val="continue"/>
                  <w:tcBorders>
                    <w:tl2br w:val="nil"/>
                    <w:tr2bl w:val="nil"/>
                  </w:tcBorders>
                  <w:vAlign w:val="center"/>
                </w:tcPr>
                <w:p w14:paraId="7F06EFD2">
                  <w:pPr>
                    <w:adjustRightInd w:val="0"/>
                    <w:snapToGrid w:val="0"/>
                    <w:jc w:val="center"/>
                    <w:rPr>
                      <w:rFonts w:ascii="Times New Roman" w:hAnsi="Times New Roman" w:cs="Times New Roman"/>
                      <w:szCs w:val="21"/>
                    </w:rPr>
                  </w:pPr>
                </w:p>
              </w:tc>
              <w:tc>
                <w:tcPr>
                  <w:tcW w:w="893" w:type="dxa"/>
                  <w:vMerge w:val="continue"/>
                  <w:tcBorders>
                    <w:tl2br w:val="nil"/>
                    <w:tr2bl w:val="nil"/>
                  </w:tcBorders>
                  <w:vAlign w:val="center"/>
                </w:tcPr>
                <w:p w14:paraId="63D98FA8">
                  <w:pPr>
                    <w:adjustRightInd w:val="0"/>
                    <w:snapToGrid w:val="0"/>
                    <w:jc w:val="center"/>
                    <w:rPr>
                      <w:rFonts w:ascii="Times New Roman" w:hAnsi="Times New Roman" w:cs="Times New Roman"/>
                      <w:szCs w:val="21"/>
                    </w:rPr>
                  </w:pPr>
                </w:p>
              </w:tc>
              <w:tc>
                <w:tcPr>
                  <w:tcW w:w="1381" w:type="dxa"/>
                  <w:tcBorders>
                    <w:tl2br w:val="nil"/>
                    <w:tr2bl w:val="nil"/>
                  </w:tcBorders>
                  <w:vAlign w:val="center"/>
                </w:tcPr>
                <w:p w14:paraId="131E0B61">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生活垃圾</w:t>
                  </w:r>
                </w:p>
              </w:tc>
              <w:tc>
                <w:tcPr>
                  <w:tcW w:w="4089" w:type="dxa"/>
                  <w:tcBorders>
                    <w:tl2br w:val="nil"/>
                    <w:tr2bl w:val="nil"/>
                  </w:tcBorders>
                  <w:vAlign w:val="center"/>
                </w:tcPr>
                <w:p w14:paraId="4009C3A3">
                  <w:pPr>
                    <w:adjustRightInd w:val="0"/>
                    <w:snapToGrid w:val="0"/>
                    <w:jc w:val="left"/>
                    <w:rPr>
                      <w:rFonts w:ascii="Times New Roman" w:hAnsi="Times New Roman" w:eastAsia="宋体" w:cs="Times New Roman"/>
                      <w:szCs w:val="21"/>
                    </w:rPr>
                  </w:pPr>
                  <w:r>
                    <w:rPr>
                      <w:rFonts w:ascii="Times New Roman" w:hAnsi="Times New Roman" w:cs="Times New Roman"/>
                    </w:rPr>
                    <w:t>设置垃圾桶，生活垃圾定期交环卫部门处置；</w:t>
                  </w:r>
                </w:p>
              </w:tc>
              <w:tc>
                <w:tcPr>
                  <w:tcW w:w="1060" w:type="dxa"/>
                  <w:vMerge w:val="restart"/>
                  <w:tcBorders>
                    <w:tl2br w:val="nil"/>
                    <w:tr2bl w:val="nil"/>
                  </w:tcBorders>
                  <w:vAlign w:val="center"/>
                </w:tcPr>
                <w:p w14:paraId="0F53A182">
                  <w:pPr>
                    <w:adjustRightInd w:val="0"/>
                    <w:snapToGrid w:val="0"/>
                    <w:jc w:val="center"/>
                    <w:rPr>
                      <w:rFonts w:ascii="Times New Roman" w:hAnsi="Times New Roman" w:cs="Times New Roman"/>
                    </w:rPr>
                  </w:pPr>
                  <w:r>
                    <w:rPr>
                      <w:rFonts w:hint="eastAsia" w:ascii="Times New Roman" w:hAnsi="Times New Roman" w:cs="Times New Roman"/>
                    </w:rPr>
                    <w:t>依托现有项目</w:t>
                  </w:r>
                </w:p>
              </w:tc>
            </w:tr>
            <w:tr w14:paraId="3DFF40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525" w:type="dxa"/>
                  <w:vMerge w:val="continue"/>
                  <w:tcBorders>
                    <w:tl2br w:val="nil"/>
                    <w:tr2bl w:val="nil"/>
                  </w:tcBorders>
                  <w:vAlign w:val="center"/>
                </w:tcPr>
                <w:p w14:paraId="3496562A">
                  <w:pPr>
                    <w:adjustRightInd w:val="0"/>
                    <w:snapToGrid w:val="0"/>
                    <w:jc w:val="center"/>
                    <w:rPr>
                      <w:rFonts w:ascii="Times New Roman" w:hAnsi="Times New Roman" w:cs="Times New Roman"/>
                      <w:szCs w:val="21"/>
                    </w:rPr>
                  </w:pPr>
                </w:p>
              </w:tc>
              <w:tc>
                <w:tcPr>
                  <w:tcW w:w="720" w:type="dxa"/>
                  <w:vMerge w:val="continue"/>
                  <w:tcBorders>
                    <w:tl2br w:val="nil"/>
                    <w:tr2bl w:val="nil"/>
                  </w:tcBorders>
                  <w:vAlign w:val="center"/>
                </w:tcPr>
                <w:p w14:paraId="23A906CE">
                  <w:pPr>
                    <w:adjustRightInd w:val="0"/>
                    <w:snapToGrid w:val="0"/>
                    <w:jc w:val="center"/>
                    <w:rPr>
                      <w:rFonts w:ascii="Times New Roman" w:hAnsi="Times New Roman" w:cs="Times New Roman"/>
                      <w:szCs w:val="21"/>
                    </w:rPr>
                  </w:pPr>
                </w:p>
              </w:tc>
              <w:tc>
                <w:tcPr>
                  <w:tcW w:w="893" w:type="dxa"/>
                  <w:vMerge w:val="continue"/>
                  <w:tcBorders>
                    <w:tl2br w:val="nil"/>
                    <w:tr2bl w:val="nil"/>
                  </w:tcBorders>
                  <w:vAlign w:val="center"/>
                </w:tcPr>
                <w:p w14:paraId="373809F6">
                  <w:pPr>
                    <w:adjustRightInd w:val="0"/>
                    <w:snapToGrid w:val="0"/>
                    <w:jc w:val="center"/>
                    <w:rPr>
                      <w:rFonts w:ascii="Times New Roman" w:hAnsi="Times New Roman" w:cs="Times New Roman"/>
                      <w:szCs w:val="21"/>
                    </w:rPr>
                  </w:pPr>
                </w:p>
              </w:tc>
              <w:tc>
                <w:tcPr>
                  <w:tcW w:w="1381" w:type="dxa"/>
                  <w:tcBorders>
                    <w:tl2br w:val="nil"/>
                    <w:tr2bl w:val="nil"/>
                  </w:tcBorders>
                  <w:vAlign w:val="center"/>
                </w:tcPr>
                <w:p w14:paraId="119787C4">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一般固废</w:t>
                  </w:r>
                </w:p>
              </w:tc>
              <w:tc>
                <w:tcPr>
                  <w:tcW w:w="4089" w:type="dxa"/>
                  <w:tcBorders>
                    <w:tl2br w:val="nil"/>
                    <w:tr2bl w:val="nil"/>
                  </w:tcBorders>
                  <w:vAlign w:val="center"/>
                </w:tcPr>
                <w:p w14:paraId="6FC499D9">
                  <w:pPr>
                    <w:adjustRightInd w:val="0"/>
                    <w:snapToGrid w:val="0"/>
                    <w:jc w:val="left"/>
                    <w:rPr>
                      <w:rFonts w:ascii="Times New Roman" w:hAnsi="Times New Roman" w:cs="Times New Roman"/>
                    </w:rPr>
                  </w:pPr>
                  <w:r>
                    <w:rPr>
                      <w:rFonts w:hint="eastAsia" w:ascii="Times New Roman" w:hAnsi="Times New Roman" w:cs="Times New Roman"/>
                    </w:rPr>
                    <w:t>一般固废暂存间</w:t>
                  </w:r>
                  <w:r>
                    <w:rPr>
                      <w:rFonts w:hint="eastAsia"/>
                    </w:rPr>
                    <w:t>位于</w:t>
                  </w:r>
                  <w:r>
                    <w:rPr>
                      <w:rFonts w:hint="eastAsia" w:ascii="Times New Roman" w:hAnsi="Times New Roman" w:eastAsia="宋体" w:cs="Times New Roman"/>
                      <w:szCs w:val="21"/>
                    </w:rPr>
                    <w:t>车间东</w:t>
                  </w:r>
                  <w:r>
                    <w:rPr>
                      <w:rFonts w:ascii="Times New Roman" w:hAnsi="Times New Roman" w:eastAsia="宋体" w:cs="Times New Roman"/>
                      <w:szCs w:val="21"/>
                    </w:rPr>
                    <w:t>侧，占地面积</w:t>
                  </w:r>
                  <w:r>
                    <w:rPr>
                      <w:rFonts w:hint="eastAsia" w:ascii="Times New Roman" w:hAnsi="Times New Roman" w:eastAsia="宋体" w:cs="Times New Roman"/>
                      <w:szCs w:val="21"/>
                    </w:rPr>
                    <w:t>3</w:t>
                  </w:r>
                  <w:r>
                    <w:rPr>
                      <w:rFonts w:ascii="Times New Roman" w:hAnsi="Times New Roman" w:eastAsia="宋体" w:cs="Times New Roman"/>
                      <w:szCs w:val="21"/>
                    </w:rPr>
                    <w:t>0m</w:t>
                  </w:r>
                  <w:r>
                    <w:rPr>
                      <w:rFonts w:ascii="Times New Roman" w:hAnsi="Times New Roman" w:eastAsia="宋体" w:cs="Times New Roman"/>
                      <w:szCs w:val="21"/>
                      <w:vertAlign w:val="superscript"/>
                    </w:rPr>
                    <w:t>2</w:t>
                  </w:r>
                  <w:r>
                    <w:rPr>
                      <w:rFonts w:hint="eastAsia" w:ascii="Times New Roman" w:hAnsi="Times New Roman" w:cs="Times New Roman"/>
                    </w:rPr>
                    <w:t>。</w:t>
                  </w:r>
                  <w:r>
                    <w:rPr>
                      <w:rFonts w:ascii="Times New Roman" w:hAnsi="Times New Roman" w:cs="Times New Roman"/>
                    </w:rPr>
                    <w:t>废包装</w:t>
                  </w:r>
                  <w:r>
                    <w:rPr>
                      <w:rFonts w:hint="eastAsia" w:ascii="Times New Roman" w:hAnsi="Times New Roman" w:cs="Times New Roman"/>
                    </w:rPr>
                    <w:t>材料</w:t>
                  </w:r>
                  <w:r>
                    <w:rPr>
                      <w:rFonts w:ascii="Times New Roman" w:hAnsi="Times New Roman" w:cs="Times New Roman"/>
                    </w:rPr>
                    <w:t>收集后暂存于一般固废暂存间定期外售</w:t>
                  </w:r>
                  <w:r>
                    <w:rPr>
                      <w:rFonts w:hint="eastAsia" w:ascii="Times New Roman" w:hAnsi="Times New Roman" w:cs="Times New Roman"/>
                    </w:rPr>
                    <w:t>综合处置</w:t>
                  </w:r>
                  <w:r>
                    <w:rPr>
                      <w:rFonts w:ascii="Times New Roman" w:hAnsi="Times New Roman" w:cs="Times New Roman"/>
                    </w:rPr>
                    <w:t>。</w:t>
                  </w:r>
                </w:p>
              </w:tc>
              <w:tc>
                <w:tcPr>
                  <w:tcW w:w="1060" w:type="dxa"/>
                  <w:vMerge w:val="continue"/>
                  <w:tcBorders>
                    <w:tl2br w:val="nil"/>
                    <w:tr2bl w:val="nil"/>
                  </w:tcBorders>
                  <w:vAlign w:val="center"/>
                </w:tcPr>
                <w:p w14:paraId="75E10265">
                  <w:pPr>
                    <w:adjustRightInd w:val="0"/>
                    <w:snapToGrid w:val="0"/>
                    <w:jc w:val="center"/>
                    <w:rPr>
                      <w:rFonts w:ascii="Times New Roman" w:hAnsi="Times New Roman" w:cs="Times New Roman"/>
                    </w:rPr>
                  </w:pPr>
                </w:p>
              </w:tc>
            </w:tr>
            <w:tr w14:paraId="0526E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5" w:type="dxa"/>
                  <w:vMerge w:val="continue"/>
                  <w:tcBorders>
                    <w:tl2br w:val="nil"/>
                    <w:tr2bl w:val="nil"/>
                  </w:tcBorders>
                  <w:vAlign w:val="center"/>
                </w:tcPr>
                <w:p w14:paraId="50BBCC92">
                  <w:pPr>
                    <w:adjustRightInd w:val="0"/>
                    <w:snapToGrid w:val="0"/>
                    <w:jc w:val="center"/>
                    <w:rPr>
                      <w:rFonts w:ascii="Times New Roman" w:hAnsi="Times New Roman" w:cs="Times New Roman"/>
                      <w:szCs w:val="21"/>
                    </w:rPr>
                  </w:pPr>
                </w:p>
              </w:tc>
              <w:tc>
                <w:tcPr>
                  <w:tcW w:w="720" w:type="dxa"/>
                  <w:vMerge w:val="continue"/>
                  <w:tcBorders>
                    <w:tl2br w:val="nil"/>
                    <w:tr2bl w:val="nil"/>
                  </w:tcBorders>
                  <w:vAlign w:val="center"/>
                </w:tcPr>
                <w:p w14:paraId="09E2FDF7">
                  <w:pPr>
                    <w:adjustRightInd w:val="0"/>
                    <w:snapToGrid w:val="0"/>
                    <w:jc w:val="center"/>
                    <w:rPr>
                      <w:rFonts w:ascii="Times New Roman" w:hAnsi="Times New Roman" w:cs="Times New Roman"/>
                      <w:szCs w:val="21"/>
                    </w:rPr>
                  </w:pPr>
                </w:p>
              </w:tc>
              <w:tc>
                <w:tcPr>
                  <w:tcW w:w="893" w:type="dxa"/>
                  <w:vMerge w:val="continue"/>
                  <w:tcBorders>
                    <w:tl2br w:val="nil"/>
                    <w:tr2bl w:val="nil"/>
                  </w:tcBorders>
                  <w:vAlign w:val="center"/>
                </w:tcPr>
                <w:p w14:paraId="2B4A7D29">
                  <w:pPr>
                    <w:adjustRightInd w:val="0"/>
                    <w:snapToGrid w:val="0"/>
                    <w:jc w:val="center"/>
                    <w:rPr>
                      <w:rFonts w:ascii="Times New Roman" w:hAnsi="Times New Roman" w:cs="Times New Roman"/>
                      <w:szCs w:val="21"/>
                    </w:rPr>
                  </w:pPr>
                </w:p>
              </w:tc>
              <w:tc>
                <w:tcPr>
                  <w:tcW w:w="1381" w:type="dxa"/>
                  <w:tcBorders>
                    <w:tl2br w:val="nil"/>
                    <w:tr2bl w:val="nil"/>
                  </w:tcBorders>
                  <w:vAlign w:val="center"/>
                </w:tcPr>
                <w:p w14:paraId="78469AB8">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危险废物</w:t>
                  </w:r>
                </w:p>
              </w:tc>
              <w:tc>
                <w:tcPr>
                  <w:tcW w:w="4089" w:type="dxa"/>
                  <w:tcBorders>
                    <w:tl2br w:val="nil"/>
                    <w:tr2bl w:val="nil"/>
                  </w:tcBorders>
                  <w:vAlign w:val="center"/>
                </w:tcPr>
                <w:p w14:paraId="2C0A9375">
                  <w:pPr>
                    <w:adjustRightInd w:val="0"/>
                    <w:snapToGrid w:val="0"/>
                    <w:jc w:val="left"/>
                    <w:rPr>
                      <w:rFonts w:ascii="Times New Roman" w:hAnsi="Times New Roman" w:eastAsia="宋体" w:cs="Times New Roman"/>
                      <w:szCs w:val="21"/>
                    </w:rPr>
                  </w:pPr>
                  <w:r>
                    <w:rPr>
                      <w:rFonts w:hint="eastAsia" w:ascii="Times New Roman" w:hAnsi="Times New Roman" w:eastAsia="宋体" w:cs="Times New Roman"/>
                      <w:szCs w:val="21"/>
                    </w:rPr>
                    <w:t>车间内东侧</w:t>
                  </w:r>
                  <w:r>
                    <w:rPr>
                      <w:rFonts w:ascii="Times New Roman" w:hAnsi="Times New Roman" w:eastAsia="宋体" w:cs="Times New Roman"/>
                      <w:szCs w:val="21"/>
                    </w:rPr>
                    <w:t>设置危废贮存库1座，占地面积</w:t>
                  </w:r>
                  <w:r>
                    <w:rPr>
                      <w:rFonts w:hint="eastAsia" w:ascii="Times New Roman" w:hAnsi="Times New Roman" w:eastAsia="宋体" w:cs="Times New Roman"/>
                      <w:szCs w:val="21"/>
                    </w:rPr>
                    <w:t>10</w:t>
                  </w:r>
                  <w:r>
                    <w:rPr>
                      <w:rFonts w:ascii="Times New Roman" w:hAnsi="Times New Roman" w:eastAsia="宋体" w:cs="Times New Roman"/>
                      <w:szCs w:val="21"/>
                    </w:rPr>
                    <w:t>m</w:t>
                  </w:r>
                  <w:r>
                    <w:rPr>
                      <w:rFonts w:ascii="Times New Roman" w:hAnsi="Times New Roman" w:eastAsia="宋体" w:cs="Times New Roman"/>
                      <w:szCs w:val="21"/>
                      <w:vertAlign w:val="superscript"/>
                    </w:rPr>
                    <w:t>2</w:t>
                  </w:r>
                  <w:r>
                    <w:rPr>
                      <w:rFonts w:ascii="Times New Roman" w:hAnsi="Times New Roman" w:eastAsia="宋体" w:cs="Times New Roman"/>
                      <w:szCs w:val="21"/>
                    </w:rPr>
                    <w:t>，废活性炭、废过滤棉</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漆渣、</w:t>
                  </w:r>
                  <w:r>
                    <w:rPr>
                      <w:rFonts w:hint="eastAsia" w:ascii="Times New Roman" w:hAnsi="Times New Roman" w:cs="Times New Roman"/>
                    </w:rPr>
                    <w:t>废水性漆桶</w:t>
                  </w:r>
                  <w:r>
                    <w:rPr>
                      <w:rFonts w:ascii="Times New Roman" w:hAnsi="Times New Roman" w:eastAsia="宋体" w:cs="Times New Roman"/>
                      <w:szCs w:val="21"/>
                    </w:rPr>
                    <w:t>分类收集后暂存于危废贮存库，定期交有资质单位处置。</w:t>
                  </w:r>
                </w:p>
              </w:tc>
              <w:tc>
                <w:tcPr>
                  <w:tcW w:w="1060" w:type="dxa"/>
                  <w:vMerge w:val="continue"/>
                  <w:tcBorders>
                    <w:tl2br w:val="nil"/>
                    <w:tr2bl w:val="nil"/>
                  </w:tcBorders>
                  <w:vAlign w:val="center"/>
                </w:tcPr>
                <w:p w14:paraId="3E7B992D">
                  <w:pPr>
                    <w:adjustRightInd w:val="0"/>
                    <w:snapToGrid w:val="0"/>
                    <w:jc w:val="center"/>
                    <w:rPr>
                      <w:rFonts w:ascii="Times New Roman" w:hAnsi="Times New Roman" w:eastAsia="宋体" w:cs="Times New Roman"/>
                      <w:szCs w:val="21"/>
                    </w:rPr>
                  </w:pPr>
                </w:p>
              </w:tc>
            </w:tr>
          </w:tbl>
          <w:p w14:paraId="7F7512DB">
            <w:pPr>
              <w:pStyle w:val="39"/>
              <w:tabs>
                <w:tab w:val="left" w:pos="316"/>
              </w:tabs>
              <w:autoSpaceDE w:val="0"/>
              <w:autoSpaceDN w:val="0"/>
              <w:adjustRightInd w:val="0"/>
              <w:snapToGrid w:val="0"/>
              <w:spacing w:line="360" w:lineRule="auto"/>
              <w:ind w:firstLine="482" w:firstLineChars="200"/>
              <w:jc w:val="left"/>
              <w:rPr>
                <w:rFonts w:ascii="Times New Roman" w:hAnsi="Times New Roman" w:cs="Times New Roman" w:eastAsiaTheme="minorEastAsia"/>
                <w:b/>
                <w:sz w:val="24"/>
              </w:rPr>
            </w:pPr>
            <w:r>
              <w:rPr>
                <w:rFonts w:ascii="Times New Roman" w:hAnsi="Times New Roman" w:cs="Times New Roman" w:eastAsiaTheme="minorEastAsia"/>
                <w:b/>
                <w:sz w:val="24"/>
                <w:lang w:val="en-US"/>
              </w:rPr>
              <w:t>3、</w:t>
            </w:r>
            <w:r>
              <w:rPr>
                <w:rFonts w:ascii="Times New Roman" w:hAnsi="Times New Roman" w:cs="Times New Roman" w:eastAsiaTheme="minorEastAsia"/>
                <w:b/>
                <w:sz w:val="24"/>
              </w:rPr>
              <w:t>主要产品及产能</w:t>
            </w:r>
          </w:p>
          <w:p w14:paraId="3EFF352A">
            <w:pPr>
              <w:pStyle w:val="39"/>
              <w:autoSpaceDE w:val="0"/>
              <w:autoSpaceDN w:val="0"/>
              <w:adjustRightInd w:val="0"/>
              <w:snapToGrid w:val="0"/>
              <w:spacing w:line="360" w:lineRule="auto"/>
              <w:ind w:right="123" w:firstLine="480" w:firstLineChars="200"/>
              <w:rPr>
                <w:rFonts w:ascii="Times New Roman" w:hAnsi="Times New Roman" w:cs="Times New Roman" w:eastAsiaTheme="minorEastAsia"/>
                <w:bCs/>
                <w:sz w:val="24"/>
              </w:rPr>
            </w:pPr>
            <w:r>
              <w:rPr>
                <w:rFonts w:ascii="Times New Roman" w:hAnsi="Times New Roman" w:cs="Times New Roman" w:eastAsiaTheme="minorEastAsia"/>
                <w:sz w:val="24"/>
              </w:rPr>
              <w:t>本项目</w:t>
            </w:r>
            <w:r>
              <w:rPr>
                <w:rFonts w:hint="eastAsia" w:ascii="Times New Roman" w:hAnsi="Times New Roman" w:cs="Times New Roman" w:eastAsiaTheme="minorEastAsia"/>
                <w:sz w:val="24"/>
                <w:lang w:val="en-US"/>
              </w:rPr>
              <w:t>建成后，</w:t>
            </w:r>
            <w:r>
              <w:rPr>
                <w:rFonts w:ascii="Times New Roman" w:hAnsi="Times New Roman" w:cs="Times New Roman" w:eastAsiaTheme="minorEastAsia"/>
                <w:sz w:val="24"/>
                <w:lang w:val="en-US"/>
              </w:rPr>
              <w:t>产能详见下表。</w:t>
            </w:r>
          </w:p>
          <w:p w14:paraId="3E921954">
            <w:pPr>
              <w:pStyle w:val="39"/>
              <w:autoSpaceDE w:val="0"/>
              <w:autoSpaceDN w:val="0"/>
              <w:adjustRightInd w:val="0"/>
              <w:snapToGrid w:val="0"/>
              <w:jc w:val="center"/>
              <w:rPr>
                <w:rFonts w:ascii="Times New Roman" w:hAnsi="Times New Roman" w:cs="Times New Roman" w:eastAsiaTheme="minorEastAsia"/>
                <w:b/>
                <w:bCs/>
                <w:szCs w:val="21"/>
                <w:lang w:val="en-US"/>
              </w:rPr>
            </w:pPr>
            <w:r>
              <w:rPr>
                <w:rFonts w:ascii="Times New Roman" w:hAnsi="Times New Roman" w:cs="Times New Roman" w:eastAsiaTheme="minorEastAsia"/>
                <w:b/>
                <w:bCs/>
                <w:szCs w:val="21"/>
              </w:rPr>
              <w:t>表</w:t>
            </w:r>
            <w:r>
              <w:rPr>
                <w:rFonts w:ascii="Times New Roman" w:hAnsi="Times New Roman" w:cs="Times New Roman" w:eastAsiaTheme="minorEastAsia"/>
                <w:b/>
                <w:bCs/>
                <w:szCs w:val="21"/>
                <w:lang w:val="en-US"/>
              </w:rPr>
              <w:t xml:space="preserve">2-3 </w:t>
            </w:r>
            <w:r>
              <w:rPr>
                <w:rFonts w:hint="eastAsia" w:ascii="Times New Roman" w:hAnsi="Times New Roman" w:cs="Times New Roman" w:eastAsiaTheme="minorEastAsia"/>
                <w:b/>
                <w:bCs/>
                <w:szCs w:val="21"/>
                <w:lang w:val="en-US"/>
              </w:rPr>
              <w:t xml:space="preserve"> </w:t>
            </w:r>
            <w:commentRangeStart w:id="7"/>
            <w:r>
              <w:rPr>
                <w:rFonts w:hint="eastAsia" w:ascii="Times New Roman" w:hAnsi="Times New Roman" w:cs="Times New Roman" w:eastAsiaTheme="minorEastAsia"/>
                <w:b/>
                <w:bCs/>
                <w:szCs w:val="21"/>
                <w:lang w:val="en-US"/>
              </w:rPr>
              <w:t xml:space="preserve"> </w:t>
            </w:r>
            <w:r>
              <w:rPr>
                <w:rFonts w:ascii="Times New Roman" w:hAnsi="Times New Roman" w:cs="Times New Roman" w:eastAsiaTheme="minorEastAsia"/>
                <w:b/>
                <w:bCs/>
                <w:szCs w:val="21"/>
                <w:lang w:val="en-US"/>
              </w:rPr>
              <w:t xml:space="preserve"> 产品方案一览表</w:t>
            </w:r>
            <w:commentRangeEnd w:id="7"/>
            <w:r>
              <w:commentReference w:id="7"/>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363"/>
              <w:gridCol w:w="2593"/>
              <w:gridCol w:w="1537"/>
              <w:gridCol w:w="1357"/>
              <w:gridCol w:w="1140"/>
            </w:tblGrid>
            <w:tr w14:paraId="614B8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411" w:type="pct"/>
                  <w:tcBorders>
                    <w:tl2br w:val="nil"/>
                    <w:tr2bl w:val="nil"/>
                  </w:tcBorders>
                  <w:vAlign w:val="center"/>
                </w:tcPr>
                <w:p w14:paraId="5F838B71">
                  <w:pPr>
                    <w:adjustRightInd w:val="0"/>
                    <w:snapToGrid w:val="0"/>
                    <w:jc w:val="center"/>
                    <w:rPr>
                      <w:rFonts w:ascii="Times New Roman" w:hAnsi="Times New Roman" w:cs="Times New Roman"/>
                      <w:b/>
                      <w:bCs/>
                      <w:color w:val="FF0000"/>
                      <w:szCs w:val="21"/>
                    </w:rPr>
                  </w:pPr>
                  <w:r>
                    <w:rPr>
                      <w:rFonts w:ascii="Times New Roman" w:hAnsi="Times New Roman" w:cs="Times New Roman"/>
                      <w:b/>
                      <w:bCs/>
                      <w:color w:val="FF0000"/>
                      <w:szCs w:val="21"/>
                    </w:rPr>
                    <w:t>序号</w:t>
                  </w:r>
                </w:p>
              </w:tc>
              <w:tc>
                <w:tcPr>
                  <w:tcW w:w="782" w:type="pct"/>
                  <w:tcBorders>
                    <w:tl2br w:val="nil"/>
                    <w:tr2bl w:val="nil"/>
                  </w:tcBorders>
                  <w:vAlign w:val="center"/>
                </w:tcPr>
                <w:p w14:paraId="2B615D9A">
                  <w:pPr>
                    <w:adjustRightInd w:val="0"/>
                    <w:snapToGrid w:val="0"/>
                    <w:jc w:val="center"/>
                    <w:rPr>
                      <w:rFonts w:ascii="Times New Roman" w:hAnsi="Times New Roman" w:cs="Times New Roman"/>
                      <w:b/>
                      <w:bCs/>
                      <w:color w:val="FF0000"/>
                      <w:szCs w:val="21"/>
                    </w:rPr>
                  </w:pPr>
                  <w:r>
                    <w:rPr>
                      <w:rFonts w:ascii="Times New Roman" w:hAnsi="Times New Roman" w:cs="Times New Roman"/>
                      <w:b/>
                      <w:bCs/>
                      <w:color w:val="FF0000"/>
                      <w:szCs w:val="21"/>
                    </w:rPr>
                    <w:t>产品名称</w:t>
                  </w:r>
                </w:p>
              </w:tc>
              <w:tc>
                <w:tcPr>
                  <w:tcW w:w="1488" w:type="pct"/>
                  <w:tcBorders>
                    <w:tl2br w:val="nil"/>
                    <w:tr2bl w:val="nil"/>
                  </w:tcBorders>
                  <w:vAlign w:val="center"/>
                </w:tcPr>
                <w:p w14:paraId="0C15CE7C">
                  <w:pPr>
                    <w:adjustRightInd w:val="0"/>
                    <w:snapToGrid w:val="0"/>
                    <w:jc w:val="center"/>
                    <w:rPr>
                      <w:rFonts w:ascii="Times New Roman" w:hAnsi="Times New Roman" w:cs="Times New Roman"/>
                      <w:b/>
                      <w:bCs/>
                      <w:color w:val="FF0000"/>
                      <w:szCs w:val="21"/>
                    </w:rPr>
                  </w:pPr>
                  <w:r>
                    <w:rPr>
                      <w:rFonts w:ascii="Times New Roman" w:hAnsi="Times New Roman" w:cs="Times New Roman"/>
                      <w:b/>
                      <w:bCs/>
                      <w:color w:val="FF0000"/>
                      <w:szCs w:val="21"/>
                    </w:rPr>
                    <w:t>产品</w:t>
                  </w:r>
                  <w:r>
                    <w:rPr>
                      <w:rFonts w:hint="eastAsia" w:ascii="Times New Roman" w:hAnsi="Times New Roman" w:cs="Times New Roman"/>
                      <w:b/>
                      <w:bCs/>
                      <w:color w:val="FF0000"/>
                      <w:szCs w:val="21"/>
                    </w:rPr>
                    <w:t>规格</w:t>
                  </w:r>
                </w:p>
              </w:tc>
              <w:tc>
                <w:tcPr>
                  <w:tcW w:w="882" w:type="pct"/>
                  <w:tcBorders>
                    <w:tl2br w:val="nil"/>
                    <w:tr2bl w:val="nil"/>
                  </w:tcBorders>
                  <w:vAlign w:val="center"/>
                </w:tcPr>
                <w:p w14:paraId="3B110C9B">
                  <w:pPr>
                    <w:adjustRightInd w:val="0"/>
                    <w:snapToGrid w:val="0"/>
                    <w:jc w:val="center"/>
                    <w:rPr>
                      <w:rFonts w:ascii="Times New Roman" w:hAnsi="Times New Roman" w:cs="Times New Roman"/>
                      <w:b/>
                      <w:bCs/>
                      <w:color w:val="FF0000"/>
                      <w:szCs w:val="21"/>
                    </w:rPr>
                  </w:pPr>
                  <w:r>
                    <w:rPr>
                      <w:rFonts w:hint="eastAsia" w:ascii="Times New Roman" w:hAnsi="Times New Roman" w:cs="Times New Roman"/>
                      <w:b/>
                      <w:bCs/>
                      <w:color w:val="FF0000"/>
                      <w:szCs w:val="21"/>
                      <w:lang w:val="en-US" w:eastAsia="zh-CN"/>
                    </w:rPr>
                    <w:t>扩建前产量</w:t>
                  </w:r>
                </w:p>
              </w:tc>
              <w:tc>
                <w:tcPr>
                  <w:tcW w:w="779" w:type="pct"/>
                  <w:tcBorders>
                    <w:tl2br w:val="nil"/>
                    <w:tr2bl w:val="nil"/>
                  </w:tcBorders>
                  <w:vAlign w:val="center"/>
                </w:tcPr>
                <w:p w14:paraId="0A5A4BC8">
                  <w:pPr>
                    <w:adjustRightInd w:val="0"/>
                    <w:snapToGrid w:val="0"/>
                    <w:jc w:val="center"/>
                    <w:rPr>
                      <w:rFonts w:ascii="Times New Roman" w:hAnsi="Times New Roman" w:cs="Times New Roman"/>
                      <w:b/>
                      <w:bCs/>
                      <w:color w:val="FF0000"/>
                      <w:szCs w:val="21"/>
                    </w:rPr>
                  </w:pPr>
                  <w:r>
                    <w:rPr>
                      <w:rFonts w:hint="eastAsia" w:ascii="Times New Roman" w:hAnsi="Times New Roman" w:cs="Times New Roman"/>
                      <w:b/>
                      <w:bCs/>
                      <w:color w:val="FF0000"/>
                      <w:szCs w:val="21"/>
                    </w:rPr>
                    <w:t>扩建后</w:t>
                  </w:r>
                  <w:r>
                    <w:rPr>
                      <w:rFonts w:ascii="Times New Roman" w:hAnsi="Times New Roman" w:cs="Times New Roman"/>
                      <w:b/>
                      <w:bCs/>
                      <w:color w:val="FF0000"/>
                      <w:szCs w:val="21"/>
                    </w:rPr>
                    <w:t>产量</w:t>
                  </w:r>
                </w:p>
              </w:tc>
              <w:tc>
                <w:tcPr>
                  <w:tcW w:w="654" w:type="pct"/>
                  <w:tcBorders>
                    <w:tl2br w:val="nil"/>
                    <w:tr2bl w:val="nil"/>
                  </w:tcBorders>
                  <w:vAlign w:val="center"/>
                </w:tcPr>
                <w:p w14:paraId="28727CD7">
                  <w:pPr>
                    <w:adjustRightInd w:val="0"/>
                    <w:snapToGrid w:val="0"/>
                    <w:jc w:val="center"/>
                    <w:rPr>
                      <w:rFonts w:hint="eastAsia" w:ascii="Times New Roman" w:hAnsi="Times New Roman" w:cs="Times New Roman" w:eastAsiaTheme="minorEastAsia"/>
                      <w:b/>
                      <w:bCs/>
                      <w:color w:val="FF0000"/>
                      <w:szCs w:val="21"/>
                      <w:lang w:eastAsia="zh-CN"/>
                    </w:rPr>
                  </w:pPr>
                  <w:r>
                    <w:rPr>
                      <w:rFonts w:hint="eastAsia" w:ascii="Times New Roman" w:hAnsi="Times New Roman" w:cs="Times New Roman"/>
                      <w:b/>
                      <w:bCs/>
                      <w:color w:val="FF0000"/>
                      <w:szCs w:val="21"/>
                      <w:lang w:eastAsia="zh-CN"/>
                    </w:rPr>
                    <w:t>变化量</w:t>
                  </w:r>
                </w:p>
              </w:tc>
            </w:tr>
            <w:tr w14:paraId="09BAD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411" w:type="pct"/>
                  <w:tcBorders>
                    <w:tl2br w:val="nil"/>
                    <w:tr2bl w:val="nil"/>
                  </w:tcBorders>
                  <w:vAlign w:val="center"/>
                </w:tcPr>
                <w:p w14:paraId="7776A7E8">
                  <w:pPr>
                    <w:jc w:val="center"/>
                    <w:rPr>
                      <w:rStyle w:val="40"/>
                      <w:rFonts w:ascii="Times New Roman" w:hAnsi="Times New Roman" w:eastAsia="宋体" w:cs="Times New Roman"/>
                      <w:color w:val="FF0000"/>
                    </w:rPr>
                  </w:pPr>
                  <w:r>
                    <w:rPr>
                      <w:rStyle w:val="40"/>
                      <w:rFonts w:ascii="Times New Roman" w:hAnsi="Times New Roman" w:eastAsia="宋体" w:cs="Times New Roman"/>
                      <w:color w:val="FF0000"/>
                    </w:rPr>
                    <w:t>1</w:t>
                  </w:r>
                </w:p>
              </w:tc>
              <w:tc>
                <w:tcPr>
                  <w:tcW w:w="782" w:type="pct"/>
                  <w:tcBorders>
                    <w:tl2br w:val="nil"/>
                    <w:tr2bl w:val="nil"/>
                  </w:tcBorders>
                  <w:vAlign w:val="center"/>
                </w:tcPr>
                <w:p w14:paraId="2C63C14F">
                  <w:pPr>
                    <w:jc w:val="center"/>
                    <w:rPr>
                      <w:rStyle w:val="40"/>
                      <w:rFonts w:ascii="Times New Roman" w:hAnsi="Times New Roman" w:eastAsia="宋体" w:cs="Times New Roman"/>
                      <w:color w:val="FF0000"/>
                    </w:rPr>
                  </w:pPr>
                  <w:r>
                    <w:rPr>
                      <w:rFonts w:hint="eastAsia" w:ascii="Times New Roman" w:hAnsi="Times New Roman" w:eastAsia="宋体"/>
                      <w:color w:val="FF0000"/>
                      <w:szCs w:val="21"/>
                    </w:rPr>
                    <w:t>渗锌钢零件</w:t>
                  </w:r>
                </w:p>
              </w:tc>
              <w:tc>
                <w:tcPr>
                  <w:tcW w:w="1488" w:type="pct"/>
                  <w:tcBorders>
                    <w:tl2br w:val="nil"/>
                    <w:tr2bl w:val="nil"/>
                  </w:tcBorders>
                  <w:vAlign w:val="center"/>
                </w:tcPr>
                <w:p w14:paraId="7C0032CC">
                  <w:pPr>
                    <w:pStyle w:val="39"/>
                    <w:tabs>
                      <w:tab w:val="left" w:pos="418"/>
                    </w:tabs>
                    <w:autoSpaceDE w:val="0"/>
                    <w:autoSpaceDN w:val="0"/>
                    <w:adjustRightInd w:val="0"/>
                    <w:snapToGrid w:val="0"/>
                    <w:jc w:val="left"/>
                    <w:rPr>
                      <w:rStyle w:val="40"/>
                      <w:rFonts w:ascii="Times New Roman" w:hAnsi="Times New Roman" w:eastAsia="宋体" w:cs="Times New Roman"/>
                      <w:color w:val="FF0000"/>
                      <w:lang w:val="en-US"/>
                    </w:rPr>
                  </w:pPr>
                  <w:r>
                    <w:rPr>
                      <w:rFonts w:hint="eastAsia" w:ascii="Times New Roman" w:hAnsi="Times New Roman" w:eastAsia="宋体" w:cs="Times New Roman"/>
                      <w:color w:val="FF0000"/>
                      <w:szCs w:val="21"/>
                      <w:lang w:val="en-US" w:bidi="ar-SA"/>
                    </w:rPr>
                    <w:t>非标件，主要用于轨道交通</w:t>
                  </w:r>
                </w:p>
              </w:tc>
              <w:tc>
                <w:tcPr>
                  <w:tcW w:w="882" w:type="pct"/>
                  <w:tcBorders>
                    <w:tl2br w:val="nil"/>
                    <w:tr2bl w:val="nil"/>
                  </w:tcBorders>
                  <w:vAlign w:val="center"/>
                </w:tcPr>
                <w:p w14:paraId="2E3DDBDB">
                  <w:pPr>
                    <w:pStyle w:val="39"/>
                    <w:tabs>
                      <w:tab w:val="left" w:pos="418"/>
                    </w:tabs>
                    <w:autoSpaceDE w:val="0"/>
                    <w:autoSpaceDN w:val="0"/>
                    <w:adjustRightInd w:val="0"/>
                    <w:snapToGrid w:val="0"/>
                    <w:jc w:val="center"/>
                    <w:rPr>
                      <w:rFonts w:hint="eastAsia" w:ascii="Times New Roman" w:hAnsi="Times New Roman" w:eastAsia="宋体" w:cs="Times New Roman"/>
                      <w:color w:val="FF0000"/>
                      <w:szCs w:val="21"/>
                      <w:lang w:val="en-US" w:bidi="ar-SA"/>
                    </w:rPr>
                  </w:pPr>
                  <w:r>
                    <w:rPr>
                      <w:rFonts w:hint="eastAsia" w:ascii="Times New Roman" w:hAnsi="Times New Roman" w:eastAsia="宋体" w:cs="Times New Roman"/>
                      <w:color w:val="FF0000"/>
                      <w:szCs w:val="21"/>
                      <w:lang w:val="en-US" w:bidi="ar-SA"/>
                    </w:rPr>
                    <w:t>1500t/a</w:t>
                  </w:r>
                </w:p>
              </w:tc>
              <w:tc>
                <w:tcPr>
                  <w:tcW w:w="779" w:type="pct"/>
                  <w:tcBorders>
                    <w:tl2br w:val="nil"/>
                    <w:tr2bl w:val="nil"/>
                  </w:tcBorders>
                  <w:vAlign w:val="center"/>
                </w:tcPr>
                <w:p w14:paraId="2635AE98">
                  <w:pPr>
                    <w:pStyle w:val="39"/>
                    <w:tabs>
                      <w:tab w:val="left" w:pos="418"/>
                    </w:tabs>
                    <w:autoSpaceDE w:val="0"/>
                    <w:autoSpaceDN w:val="0"/>
                    <w:adjustRightInd w:val="0"/>
                    <w:snapToGrid w:val="0"/>
                    <w:jc w:val="center"/>
                    <w:rPr>
                      <w:rFonts w:hint="eastAsia" w:ascii="Times New Roman" w:hAnsi="Times New Roman" w:eastAsia="宋体" w:cs="Times New Roman"/>
                      <w:color w:val="FF0000"/>
                      <w:szCs w:val="21"/>
                      <w:lang w:val="en-US" w:bidi="ar-SA"/>
                    </w:rPr>
                  </w:pPr>
                  <w:r>
                    <w:rPr>
                      <w:rFonts w:hint="eastAsia" w:ascii="Times New Roman" w:hAnsi="Times New Roman" w:eastAsia="宋体" w:cs="Times New Roman"/>
                      <w:color w:val="FF0000"/>
                      <w:szCs w:val="21"/>
                      <w:lang w:val="en-US" w:bidi="ar-SA"/>
                    </w:rPr>
                    <w:t>1500t/a</w:t>
                  </w:r>
                </w:p>
              </w:tc>
              <w:tc>
                <w:tcPr>
                  <w:tcW w:w="654" w:type="pct"/>
                  <w:tcBorders>
                    <w:tl2br w:val="nil"/>
                    <w:tr2bl w:val="nil"/>
                  </w:tcBorders>
                  <w:vAlign w:val="center"/>
                </w:tcPr>
                <w:p w14:paraId="05B37384">
                  <w:pPr>
                    <w:pStyle w:val="39"/>
                    <w:tabs>
                      <w:tab w:val="left" w:pos="418"/>
                    </w:tabs>
                    <w:autoSpaceDE w:val="0"/>
                    <w:autoSpaceDN w:val="0"/>
                    <w:adjustRightInd w:val="0"/>
                    <w:snapToGrid w:val="0"/>
                    <w:jc w:val="center"/>
                    <w:rPr>
                      <w:rFonts w:hint="eastAsia" w:ascii="Times New Roman" w:hAnsi="Times New Roman" w:eastAsia="宋体" w:cs="Times New Roman"/>
                      <w:color w:val="FF0000"/>
                      <w:szCs w:val="21"/>
                      <w:lang w:val="en-US" w:bidi="ar-SA"/>
                    </w:rPr>
                  </w:pPr>
                  <w:r>
                    <w:rPr>
                      <w:rFonts w:hint="eastAsia" w:ascii="Times New Roman" w:hAnsi="Times New Roman" w:eastAsia="宋体" w:cs="Times New Roman"/>
                      <w:color w:val="FF0000"/>
                      <w:szCs w:val="21"/>
                      <w:lang w:val="en-US" w:bidi="ar-SA"/>
                    </w:rPr>
                    <w:t>0t/a</w:t>
                  </w:r>
                </w:p>
              </w:tc>
            </w:tr>
            <w:tr w14:paraId="21CA2B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1" w:type="pct"/>
                  <w:tcBorders>
                    <w:tl2br w:val="nil"/>
                    <w:tr2bl w:val="nil"/>
                  </w:tcBorders>
                  <w:vAlign w:val="center"/>
                </w:tcPr>
                <w:p w14:paraId="30A965EB">
                  <w:pPr>
                    <w:jc w:val="center"/>
                    <w:rPr>
                      <w:rStyle w:val="40"/>
                      <w:rFonts w:ascii="Times New Roman" w:hAnsi="Times New Roman" w:eastAsia="宋体" w:cs="Times New Roman"/>
                      <w:color w:val="FF0000"/>
                    </w:rPr>
                  </w:pPr>
                  <w:r>
                    <w:rPr>
                      <w:rStyle w:val="40"/>
                      <w:rFonts w:hint="eastAsia" w:ascii="Times New Roman" w:hAnsi="Times New Roman" w:eastAsia="宋体" w:cs="Times New Roman"/>
                      <w:color w:val="FF0000"/>
                    </w:rPr>
                    <w:t>2</w:t>
                  </w:r>
                </w:p>
              </w:tc>
              <w:tc>
                <w:tcPr>
                  <w:tcW w:w="782" w:type="pct"/>
                  <w:tcBorders>
                    <w:tl2br w:val="nil"/>
                    <w:tr2bl w:val="nil"/>
                  </w:tcBorders>
                  <w:vAlign w:val="center"/>
                </w:tcPr>
                <w:p w14:paraId="326724A1">
                  <w:pPr>
                    <w:jc w:val="center"/>
                    <w:rPr>
                      <w:rFonts w:ascii="Times New Roman" w:hAnsi="Times New Roman" w:eastAsia="宋体"/>
                      <w:color w:val="FF0000"/>
                      <w:szCs w:val="21"/>
                    </w:rPr>
                  </w:pPr>
                  <w:r>
                    <w:rPr>
                      <w:rFonts w:hint="eastAsia" w:ascii="Times New Roman" w:hAnsi="Times New Roman" w:eastAsia="宋体"/>
                      <w:color w:val="FF0000"/>
                      <w:szCs w:val="21"/>
                    </w:rPr>
                    <w:t>自动喷漆钢零件</w:t>
                  </w:r>
                </w:p>
              </w:tc>
              <w:tc>
                <w:tcPr>
                  <w:tcW w:w="1488" w:type="pct"/>
                  <w:tcBorders>
                    <w:tl2br w:val="nil"/>
                    <w:tr2bl w:val="nil"/>
                  </w:tcBorders>
                  <w:vAlign w:val="center"/>
                </w:tcPr>
                <w:p w14:paraId="727E2660">
                  <w:pPr>
                    <w:pStyle w:val="39"/>
                    <w:tabs>
                      <w:tab w:val="left" w:pos="418"/>
                    </w:tabs>
                    <w:autoSpaceDE w:val="0"/>
                    <w:autoSpaceDN w:val="0"/>
                    <w:adjustRightInd w:val="0"/>
                    <w:snapToGrid w:val="0"/>
                    <w:jc w:val="left"/>
                    <w:rPr>
                      <w:rFonts w:ascii="Times New Roman" w:hAnsi="Times New Roman" w:cs="Times New Roman"/>
                      <w:color w:val="FF0000"/>
                      <w:szCs w:val="21"/>
                      <w:lang w:val="en-US" w:bidi="ar-SA"/>
                    </w:rPr>
                  </w:pPr>
                  <w:r>
                    <w:rPr>
                      <w:rFonts w:hint="eastAsia" w:ascii="Times New Roman" w:hAnsi="Times New Roman" w:eastAsia="宋体" w:cs="Times New Roman"/>
                      <w:color w:val="FF0000"/>
                      <w:szCs w:val="21"/>
                      <w:lang w:val="en-US" w:bidi="ar-SA"/>
                    </w:rPr>
                    <w:t>非标件</w:t>
                  </w:r>
                  <w:r>
                    <w:rPr>
                      <w:rFonts w:hint="eastAsia"/>
                      <w:color w:val="FF0000"/>
                      <w:szCs w:val="21"/>
                    </w:rPr>
                    <w:t>，</w:t>
                  </w:r>
                  <w:r>
                    <w:rPr>
                      <w:rFonts w:hint="eastAsia" w:ascii="Times New Roman" w:hAnsi="Times New Roman" w:eastAsia="宋体" w:cstheme="minorBidi"/>
                      <w:color w:val="FF0000"/>
                      <w:szCs w:val="21"/>
                      <w:lang w:val="en-US" w:bidi="ar-SA"/>
                    </w:rPr>
                    <w:t>铁路零部件</w:t>
                  </w:r>
                </w:p>
              </w:tc>
              <w:tc>
                <w:tcPr>
                  <w:tcW w:w="882" w:type="pct"/>
                  <w:tcBorders>
                    <w:tl2br w:val="nil"/>
                    <w:tr2bl w:val="nil"/>
                  </w:tcBorders>
                  <w:vAlign w:val="center"/>
                </w:tcPr>
                <w:p w14:paraId="2F8C8BFB">
                  <w:pPr>
                    <w:pStyle w:val="39"/>
                    <w:tabs>
                      <w:tab w:val="left" w:pos="418"/>
                    </w:tabs>
                    <w:autoSpaceDE w:val="0"/>
                    <w:autoSpaceDN w:val="0"/>
                    <w:adjustRightInd w:val="0"/>
                    <w:snapToGrid w:val="0"/>
                    <w:jc w:val="center"/>
                    <w:rPr>
                      <w:rFonts w:hint="eastAsia" w:ascii="Times New Roman" w:hAnsi="Times New Roman" w:eastAsia="宋体" w:cs="Times New Roman"/>
                      <w:color w:val="FF0000"/>
                      <w:szCs w:val="21"/>
                      <w:lang w:val="en-US" w:eastAsia="zh-CN" w:bidi="ar-SA"/>
                    </w:rPr>
                  </w:pPr>
                  <w:r>
                    <w:rPr>
                      <w:rFonts w:hint="eastAsia" w:ascii="Times New Roman" w:hAnsi="Times New Roman" w:eastAsia="宋体" w:cs="Times New Roman"/>
                      <w:color w:val="FF0000"/>
                      <w:szCs w:val="21"/>
                      <w:lang w:val="en-US" w:eastAsia="zh-CN" w:bidi="ar-SA"/>
                    </w:rPr>
                    <w:t>0</w:t>
                  </w:r>
                  <w:r>
                    <w:rPr>
                      <w:rFonts w:hint="eastAsia" w:ascii="Times New Roman" w:hAnsi="Times New Roman" w:eastAsia="宋体" w:cs="Times New Roman"/>
                      <w:color w:val="FF0000"/>
                      <w:szCs w:val="21"/>
                      <w:lang w:val="en-US" w:bidi="ar-SA"/>
                    </w:rPr>
                    <w:t>t/a</w:t>
                  </w:r>
                </w:p>
              </w:tc>
              <w:tc>
                <w:tcPr>
                  <w:tcW w:w="779" w:type="pct"/>
                  <w:tcBorders>
                    <w:tl2br w:val="nil"/>
                    <w:tr2bl w:val="nil"/>
                  </w:tcBorders>
                  <w:vAlign w:val="center"/>
                </w:tcPr>
                <w:p w14:paraId="2E2C7F55">
                  <w:pPr>
                    <w:pStyle w:val="39"/>
                    <w:tabs>
                      <w:tab w:val="left" w:pos="418"/>
                    </w:tabs>
                    <w:autoSpaceDE w:val="0"/>
                    <w:autoSpaceDN w:val="0"/>
                    <w:adjustRightInd w:val="0"/>
                    <w:snapToGrid w:val="0"/>
                    <w:jc w:val="center"/>
                    <w:rPr>
                      <w:rFonts w:hint="eastAsia" w:ascii="Times New Roman" w:hAnsi="Times New Roman" w:eastAsia="宋体" w:cs="Times New Roman"/>
                      <w:color w:val="FF0000"/>
                      <w:szCs w:val="21"/>
                      <w:lang w:val="en-US" w:bidi="ar-SA"/>
                    </w:rPr>
                  </w:pPr>
                  <w:r>
                    <w:rPr>
                      <w:rFonts w:hint="eastAsia" w:ascii="Times New Roman" w:hAnsi="Times New Roman" w:eastAsia="宋体" w:cs="Times New Roman"/>
                      <w:color w:val="FF0000"/>
                      <w:szCs w:val="21"/>
                      <w:lang w:val="en-US" w:bidi="ar-SA"/>
                    </w:rPr>
                    <w:t>1000t/a</w:t>
                  </w:r>
                </w:p>
              </w:tc>
              <w:tc>
                <w:tcPr>
                  <w:tcW w:w="654" w:type="pct"/>
                  <w:tcBorders>
                    <w:tl2br w:val="nil"/>
                    <w:tr2bl w:val="nil"/>
                  </w:tcBorders>
                  <w:vAlign w:val="center"/>
                </w:tcPr>
                <w:p w14:paraId="6D69B7D9">
                  <w:pPr>
                    <w:pStyle w:val="39"/>
                    <w:tabs>
                      <w:tab w:val="left" w:pos="418"/>
                    </w:tabs>
                    <w:autoSpaceDE w:val="0"/>
                    <w:autoSpaceDN w:val="0"/>
                    <w:adjustRightInd w:val="0"/>
                    <w:snapToGrid w:val="0"/>
                    <w:jc w:val="center"/>
                    <w:rPr>
                      <w:rFonts w:hint="eastAsia" w:ascii="Times New Roman" w:hAnsi="Times New Roman" w:eastAsia="宋体" w:cs="Times New Roman"/>
                      <w:color w:val="FF0000"/>
                      <w:szCs w:val="21"/>
                      <w:lang w:val="en-US" w:bidi="ar-SA"/>
                    </w:rPr>
                  </w:pPr>
                  <w:r>
                    <w:rPr>
                      <w:rFonts w:hint="eastAsia" w:ascii="Times New Roman" w:hAnsi="Times New Roman" w:eastAsia="宋体" w:cs="Times New Roman"/>
                      <w:color w:val="FF0000"/>
                      <w:szCs w:val="21"/>
                      <w:lang w:val="en-US" w:bidi="ar-SA"/>
                    </w:rPr>
                    <w:t>1000t/a</w:t>
                  </w:r>
                </w:p>
              </w:tc>
            </w:tr>
          </w:tbl>
          <w:p w14:paraId="6BA21A2D">
            <w:pPr>
              <w:adjustRightInd w:val="0"/>
              <w:snapToGrid w:val="0"/>
              <w:spacing w:line="360" w:lineRule="auto"/>
              <w:ind w:firstLine="480" w:firstLineChars="200"/>
              <w:rPr>
                <w:rFonts w:hint="default" w:ascii="Times New Roman" w:hAnsi="Times New Roman" w:cs="Times New Roman"/>
                <w:color w:val="FF0000"/>
                <w:sz w:val="24"/>
                <w:lang w:val="en-US" w:eastAsia="zh-CN"/>
              </w:rPr>
            </w:pPr>
            <w:r>
              <w:rPr>
                <w:rFonts w:hint="eastAsia" w:ascii="Times New Roman" w:hAnsi="Times New Roman" w:cs="Times New Roman"/>
                <w:sz w:val="24"/>
              </w:rPr>
              <w:t>备注：</w:t>
            </w:r>
            <w:r>
              <w:rPr>
                <w:rFonts w:ascii="Times New Roman" w:hAnsi="Times New Roman" w:cs="Times New Roman"/>
                <w:sz w:val="24"/>
              </w:rPr>
              <w:t>因新增客户订单的特殊要求，建设单位决定在不改</w:t>
            </w:r>
            <w:r>
              <w:rPr>
                <w:rFonts w:hint="eastAsia"/>
                <w:sz w:val="24"/>
              </w:rPr>
              <w:t>变当前在建项目的基础上扩建（新增）一条“</w:t>
            </w:r>
            <w:r>
              <w:rPr>
                <w:rFonts w:hint="eastAsia" w:ascii="Times New Roman" w:hAnsi="Times New Roman" w:cs="Times New Roman"/>
                <w:sz w:val="24"/>
              </w:rPr>
              <w:t>全自动喷砂+喷漆烘干一体生产线</w:t>
            </w:r>
            <w:r>
              <w:rPr>
                <w:rFonts w:hint="eastAsia"/>
                <w:sz w:val="24"/>
              </w:rPr>
              <w:t>”，</w:t>
            </w:r>
            <w:r>
              <w:rPr>
                <w:rFonts w:hint="eastAsia" w:ascii="Times New Roman" w:hAnsi="Times New Roman" w:cs="Times New Roman"/>
                <w:color w:val="FF0000"/>
                <w:sz w:val="24"/>
              </w:rPr>
              <w:t>主要服务于新增外来订单钢零件的表面涂装加工，原料为订单内已完成渗锌处理的钢零件</w:t>
            </w:r>
            <w:r>
              <w:rPr>
                <w:rFonts w:hint="eastAsia" w:ascii="Times New Roman" w:hAnsi="Times New Roman" w:cs="Times New Roman"/>
                <w:color w:val="FF0000"/>
                <w:sz w:val="24"/>
                <w:lang w:eastAsia="zh-CN"/>
              </w:rPr>
              <w:t>，</w:t>
            </w:r>
            <w:r>
              <w:rPr>
                <w:rFonts w:hint="eastAsia" w:ascii="Times New Roman" w:hAnsi="Times New Roman" w:cs="Times New Roman"/>
                <w:color w:val="FF0000"/>
                <w:sz w:val="24"/>
              </w:rPr>
              <w:t>不对在建项目</w:t>
            </w:r>
            <w:r>
              <w:rPr>
                <w:rFonts w:hint="eastAsia" w:ascii="Times New Roman" w:hAnsi="Times New Roman" w:cs="Times New Roman"/>
                <w:color w:val="FF0000"/>
                <w:sz w:val="24"/>
                <w:lang w:val="en-US" w:eastAsia="zh-CN"/>
              </w:rPr>
              <w:t>原料</w:t>
            </w:r>
            <w:r>
              <w:rPr>
                <w:rFonts w:hint="eastAsia" w:ascii="Times New Roman" w:hAnsi="Times New Roman" w:cs="Times New Roman"/>
                <w:color w:val="FF0000"/>
                <w:sz w:val="24"/>
              </w:rPr>
              <w:t>进行加工。渗锌钢零件</w:t>
            </w:r>
            <w:r>
              <w:rPr>
                <w:rFonts w:hint="eastAsia" w:ascii="Times New Roman" w:hAnsi="Times New Roman" w:cs="Times New Roman"/>
                <w:color w:val="FF0000"/>
                <w:sz w:val="24"/>
                <w:lang w:val="en-US" w:eastAsia="zh-CN"/>
              </w:rPr>
              <w:t>与</w:t>
            </w:r>
            <w:r>
              <w:rPr>
                <w:rFonts w:hint="eastAsia" w:ascii="Times New Roman" w:hAnsi="Times New Roman" w:cs="Times New Roman"/>
                <w:color w:val="FF0000"/>
                <w:sz w:val="24"/>
              </w:rPr>
              <w:t>自动喷漆钢零件</w:t>
            </w:r>
            <w:r>
              <w:rPr>
                <w:rFonts w:hint="eastAsia" w:ascii="Times New Roman" w:hAnsi="Times New Roman" w:cs="Times New Roman"/>
                <w:color w:val="FF0000"/>
                <w:sz w:val="24"/>
                <w:lang w:val="en-US" w:eastAsia="zh-CN"/>
              </w:rPr>
              <w:t>主要区别在于喷漆工艺，</w:t>
            </w:r>
            <w:r>
              <w:rPr>
                <w:rFonts w:hint="eastAsia" w:ascii="Times New Roman" w:hAnsi="Times New Roman" w:cs="Times New Roman"/>
                <w:color w:val="FF0000"/>
                <w:sz w:val="24"/>
              </w:rPr>
              <w:t>渗锌钢零件</w:t>
            </w:r>
            <w:r>
              <w:rPr>
                <w:rFonts w:hint="eastAsia" w:ascii="Times New Roman" w:hAnsi="Times New Roman" w:cs="Times New Roman"/>
                <w:color w:val="FF0000"/>
                <w:sz w:val="24"/>
                <w:lang w:val="en-US" w:eastAsia="zh-CN"/>
              </w:rPr>
              <w:t>为人工喷漆，</w:t>
            </w:r>
            <w:r>
              <w:rPr>
                <w:rFonts w:hint="eastAsia" w:ascii="Times New Roman" w:hAnsi="Times New Roman" w:cs="Times New Roman"/>
                <w:color w:val="FF0000"/>
                <w:sz w:val="24"/>
              </w:rPr>
              <w:t>自动喷漆钢零件</w:t>
            </w:r>
            <w:r>
              <w:rPr>
                <w:rFonts w:hint="eastAsia" w:ascii="Times New Roman" w:hAnsi="Times New Roman" w:cs="Times New Roman"/>
                <w:color w:val="FF0000"/>
                <w:sz w:val="24"/>
                <w:lang w:val="en-US" w:eastAsia="zh-CN"/>
              </w:rPr>
              <w:t>为自动喷漆。</w:t>
            </w:r>
          </w:p>
          <w:p w14:paraId="23A01503">
            <w:pPr>
              <w:pStyle w:val="39"/>
              <w:autoSpaceDE w:val="0"/>
              <w:autoSpaceDN w:val="0"/>
              <w:adjustRightInd w:val="0"/>
              <w:snapToGrid w:val="0"/>
              <w:jc w:val="center"/>
              <w:rPr>
                <w:rFonts w:ascii="Times New Roman" w:hAnsi="Times New Roman" w:cs="Times New Roman" w:eastAsiaTheme="minorEastAsia"/>
                <w:b/>
                <w:bCs/>
                <w:szCs w:val="21"/>
                <w:lang w:val="en-US"/>
              </w:rPr>
            </w:pPr>
            <w:r>
              <w:rPr>
                <w:rFonts w:ascii="Times New Roman" w:hAnsi="Times New Roman" w:cs="Times New Roman" w:eastAsiaTheme="minorEastAsia"/>
                <w:b/>
                <w:bCs/>
                <w:szCs w:val="21"/>
              </w:rPr>
              <w:t>表</w:t>
            </w:r>
            <w:r>
              <w:rPr>
                <w:rFonts w:ascii="Times New Roman" w:hAnsi="Times New Roman" w:cs="Times New Roman" w:eastAsiaTheme="minorEastAsia"/>
                <w:b/>
                <w:bCs/>
                <w:szCs w:val="21"/>
                <w:lang w:val="en-US"/>
              </w:rPr>
              <w:t>2-</w:t>
            </w:r>
            <w:r>
              <w:rPr>
                <w:rFonts w:hint="eastAsia" w:ascii="Times New Roman" w:hAnsi="Times New Roman" w:cs="Times New Roman" w:eastAsiaTheme="minorEastAsia"/>
                <w:b/>
                <w:bCs/>
                <w:szCs w:val="21"/>
                <w:lang w:val="en-US"/>
              </w:rPr>
              <w:t>4</w:t>
            </w:r>
            <w:r>
              <w:rPr>
                <w:rFonts w:ascii="Times New Roman" w:hAnsi="Times New Roman" w:cs="Times New Roman" w:eastAsiaTheme="minorEastAsia"/>
                <w:b/>
                <w:bCs/>
                <w:szCs w:val="21"/>
                <w:lang w:val="en-US"/>
              </w:rPr>
              <w:t xml:space="preserve">  产品</w:t>
            </w:r>
            <w:r>
              <w:rPr>
                <w:rFonts w:hint="eastAsia" w:ascii="Times New Roman" w:hAnsi="Times New Roman" w:cs="Times New Roman" w:eastAsiaTheme="minorEastAsia"/>
                <w:b/>
                <w:bCs/>
                <w:szCs w:val="21"/>
                <w:lang w:val="en-US"/>
              </w:rPr>
              <w:t>质量标准</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1954"/>
              <w:gridCol w:w="5884"/>
            </w:tblGrid>
            <w:tr w14:paraId="7CED09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tcBorders>
                    <w:tl2br w:val="nil"/>
                    <w:tr2bl w:val="nil"/>
                  </w:tcBorders>
                  <w:vAlign w:val="center"/>
                </w:tcPr>
                <w:p w14:paraId="19095DC3">
                  <w:pPr>
                    <w:adjustRightInd w:val="0"/>
                    <w:snapToGrid w:val="0"/>
                    <w:jc w:val="center"/>
                    <w:rPr>
                      <w:rFonts w:ascii="Times New Roman" w:hAnsi="Times New Roman" w:cs="Times New Roman"/>
                      <w:b/>
                      <w:bCs/>
                      <w:szCs w:val="21"/>
                    </w:rPr>
                  </w:pPr>
                  <w:r>
                    <w:rPr>
                      <w:rFonts w:ascii="Times New Roman" w:hAnsi="Times New Roman" w:cs="Times New Roman"/>
                      <w:b/>
                      <w:bCs/>
                      <w:szCs w:val="21"/>
                    </w:rPr>
                    <w:t>序号</w:t>
                  </w:r>
                </w:p>
              </w:tc>
              <w:tc>
                <w:tcPr>
                  <w:tcW w:w="1122" w:type="pct"/>
                  <w:tcBorders>
                    <w:tl2br w:val="nil"/>
                    <w:tr2bl w:val="nil"/>
                  </w:tcBorders>
                  <w:vAlign w:val="center"/>
                </w:tcPr>
                <w:p w14:paraId="60FB3717">
                  <w:pPr>
                    <w:adjustRightInd w:val="0"/>
                    <w:snapToGrid w:val="0"/>
                    <w:jc w:val="center"/>
                    <w:rPr>
                      <w:rFonts w:ascii="Times New Roman" w:hAnsi="Times New Roman" w:cs="Times New Roman"/>
                      <w:b/>
                      <w:bCs/>
                      <w:szCs w:val="21"/>
                    </w:rPr>
                  </w:pPr>
                  <w:r>
                    <w:rPr>
                      <w:rFonts w:hint="eastAsia" w:ascii="Times New Roman" w:hAnsi="Times New Roman" w:cs="Times New Roman"/>
                      <w:b/>
                      <w:bCs/>
                      <w:szCs w:val="21"/>
                    </w:rPr>
                    <w:t>参数</w:t>
                  </w:r>
                </w:p>
              </w:tc>
              <w:tc>
                <w:tcPr>
                  <w:tcW w:w="3379" w:type="pct"/>
                  <w:tcBorders>
                    <w:tl2br w:val="nil"/>
                    <w:tr2bl w:val="nil"/>
                  </w:tcBorders>
                  <w:vAlign w:val="center"/>
                </w:tcPr>
                <w:p w14:paraId="6F3F0E1E">
                  <w:pPr>
                    <w:adjustRightInd w:val="0"/>
                    <w:snapToGrid w:val="0"/>
                    <w:jc w:val="center"/>
                    <w:rPr>
                      <w:rFonts w:ascii="Times New Roman" w:hAnsi="Times New Roman" w:cs="Times New Roman"/>
                      <w:b/>
                      <w:bCs/>
                      <w:szCs w:val="21"/>
                    </w:rPr>
                  </w:pPr>
                  <w:r>
                    <w:rPr>
                      <w:rFonts w:hint="eastAsia" w:ascii="Times New Roman" w:hAnsi="Times New Roman" w:cs="Times New Roman"/>
                      <w:b/>
                      <w:bCs/>
                      <w:szCs w:val="21"/>
                    </w:rPr>
                    <w:t>标注</w:t>
                  </w:r>
                </w:p>
              </w:tc>
            </w:tr>
            <w:tr w14:paraId="7EC6D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98" w:type="pct"/>
                  <w:tcBorders>
                    <w:tl2br w:val="nil"/>
                    <w:tr2bl w:val="nil"/>
                  </w:tcBorders>
                  <w:vAlign w:val="center"/>
                </w:tcPr>
                <w:p w14:paraId="19784019">
                  <w:pPr>
                    <w:jc w:val="center"/>
                    <w:rPr>
                      <w:rStyle w:val="40"/>
                      <w:rFonts w:ascii="Times New Roman" w:hAnsi="Times New Roman" w:eastAsia="宋体" w:cs="Times New Roman"/>
                    </w:rPr>
                  </w:pPr>
                  <w:r>
                    <w:rPr>
                      <w:rStyle w:val="40"/>
                      <w:rFonts w:ascii="Times New Roman" w:hAnsi="Times New Roman" w:eastAsia="宋体" w:cs="Times New Roman"/>
                    </w:rPr>
                    <w:t>1</w:t>
                  </w:r>
                </w:p>
              </w:tc>
              <w:tc>
                <w:tcPr>
                  <w:tcW w:w="1122" w:type="pct"/>
                  <w:tcBorders>
                    <w:tl2br w:val="nil"/>
                    <w:tr2bl w:val="nil"/>
                  </w:tcBorders>
                  <w:vAlign w:val="center"/>
                </w:tcPr>
                <w:p w14:paraId="68AB7D0C">
                  <w:pPr>
                    <w:jc w:val="center"/>
                    <w:rPr>
                      <w:rStyle w:val="40"/>
                      <w:rFonts w:ascii="Times New Roman" w:hAnsi="Times New Roman" w:eastAsia="宋体" w:cs="Times New Roman"/>
                    </w:rPr>
                  </w:pPr>
                  <w:r>
                    <w:rPr>
                      <w:rFonts w:hint="eastAsia" w:ascii="Times New Roman" w:hAnsi="Times New Roman" w:eastAsia="宋体"/>
                      <w:szCs w:val="21"/>
                    </w:rPr>
                    <w:t>外观</w:t>
                  </w:r>
                </w:p>
              </w:tc>
              <w:tc>
                <w:tcPr>
                  <w:tcW w:w="3379" w:type="pct"/>
                  <w:tcBorders>
                    <w:tl2br w:val="nil"/>
                    <w:tr2bl w:val="nil"/>
                  </w:tcBorders>
                  <w:vAlign w:val="center"/>
                </w:tcPr>
                <w:p w14:paraId="7C0FDAFF">
                  <w:pPr>
                    <w:pStyle w:val="39"/>
                    <w:tabs>
                      <w:tab w:val="left" w:pos="418"/>
                    </w:tabs>
                    <w:autoSpaceDE w:val="0"/>
                    <w:autoSpaceDN w:val="0"/>
                    <w:adjustRightInd w:val="0"/>
                    <w:snapToGrid w:val="0"/>
                    <w:jc w:val="left"/>
                    <w:rPr>
                      <w:rStyle w:val="40"/>
                      <w:rFonts w:ascii="Times New Roman" w:hAnsi="Times New Roman" w:eastAsia="宋体" w:cs="Times New Roman"/>
                      <w:lang w:val="en-US"/>
                    </w:rPr>
                  </w:pPr>
                  <w:r>
                    <w:rPr>
                      <w:rStyle w:val="40"/>
                      <w:rFonts w:hint="eastAsia" w:ascii="Times New Roman" w:hAnsi="Times New Roman" w:eastAsia="宋体" w:cs="Times New Roman"/>
                      <w:lang w:val="en-US"/>
                    </w:rPr>
                    <w:t>①经目测渗锌层表面平整、均匀，允许有轻微的擦伤</w:t>
                  </w:r>
                </w:p>
                <w:p w14:paraId="506C5EBD">
                  <w:pPr>
                    <w:pStyle w:val="39"/>
                    <w:tabs>
                      <w:tab w:val="left" w:pos="418"/>
                    </w:tabs>
                    <w:autoSpaceDE w:val="0"/>
                    <w:autoSpaceDN w:val="0"/>
                    <w:adjustRightInd w:val="0"/>
                    <w:snapToGrid w:val="0"/>
                    <w:jc w:val="left"/>
                    <w:rPr>
                      <w:rStyle w:val="40"/>
                      <w:rFonts w:ascii="Times New Roman" w:hAnsi="Times New Roman" w:eastAsia="宋体" w:cs="Times New Roman"/>
                      <w:lang w:val="en-US"/>
                    </w:rPr>
                  </w:pPr>
                  <w:r>
                    <w:rPr>
                      <w:rStyle w:val="40"/>
                      <w:rFonts w:hint="eastAsia" w:ascii="Times New Roman" w:hAnsi="Times New Roman" w:eastAsia="宋体" w:cs="Times New Roman"/>
                      <w:lang w:val="en-US"/>
                    </w:rPr>
                    <w:t>②渗锌层呈灰色或银灰色</w:t>
                  </w:r>
                </w:p>
              </w:tc>
            </w:tr>
            <w:tr w14:paraId="20507E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98" w:type="pct"/>
                  <w:tcBorders>
                    <w:tl2br w:val="nil"/>
                    <w:tr2bl w:val="nil"/>
                  </w:tcBorders>
                  <w:vAlign w:val="center"/>
                </w:tcPr>
                <w:p w14:paraId="2475B763">
                  <w:pPr>
                    <w:jc w:val="center"/>
                    <w:rPr>
                      <w:rStyle w:val="40"/>
                      <w:rFonts w:ascii="Times New Roman" w:hAnsi="Times New Roman" w:eastAsia="宋体" w:cs="Times New Roman"/>
                    </w:rPr>
                  </w:pPr>
                  <w:r>
                    <w:rPr>
                      <w:rStyle w:val="40"/>
                      <w:rFonts w:hint="eastAsia" w:ascii="Times New Roman" w:hAnsi="Times New Roman" w:eastAsia="宋体" w:cs="Times New Roman"/>
                    </w:rPr>
                    <w:t>2</w:t>
                  </w:r>
                </w:p>
              </w:tc>
              <w:tc>
                <w:tcPr>
                  <w:tcW w:w="1122" w:type="pct"/>
                  <w:tcBorders>
                    <w:tl2br w:val="nil"/>
                    <w:tr2bl w:val="nil"/>
                  </w:tcBorders>
                  <w:vAlign w:val="center"/>
                </w:tcPr>
                <w:p w14:paraId="118F7728">
                  <w:pPr>
                    <w:jc w:val="center"/>
                    <w:rPr>
                      <w:rFonts w:ascii="Times New Roman" w:hAnsi="Times New Roman" w:eastAsia="宋体"/>
                      <w:szCs w:val="21"/>
                    </w:rPr>
                  </w:pPr>
                  <w:r>
                    <w:rPr>
                      <w:rFonts w:hint="eastAsia" w:ascii="Times New Roman" w:hAnsi="Times New Roman" w:eastAsia="宋体"/>
                      <w:szCs w:val="21"/>
                    </w:rPr>
                    <w:t>附着强度</w:t>
                  </w:r>
                </w:p>
              </w:tc>
              <w:tc>
                <w:tcPr>
                  <w:tcW w:w="3379" w:type="pct"/>
                  <w:tcBorders>
                    <w:tl2br w:val="nil"/>
                    <w:tr2bl w:val="nil"/>
                  </w:tcBorders>
                  <w:vAlign w:val="center"/>
                </w:tcPr>
                <w:p w14:paraId="732AFD6A">
                  <w:pPr>
                    <w:pStyle w:val="39"/>
                    <w:tabs>
                      <w:tab w:val="left" w:pos="418"/>
                    </w:tabs>
                    <w:autoSpaceDE w:val="0"/>
                    <w:autoSpaceDN w:val="0"/>
                    <w:adjustRightInd w:val="0"/>
                    <w:snapToGrid w:val="0"/>
                    <w:jc w:val="left"/>
                    <w:rPr>
                      <w:rFonts w:ascii="Times New Roman" w:hAnsi="Times New Roman" w:eastAsia="宋体" w:cs="Times New Roman"/>
                      <w:szCs w:val="21"/>
                      <w:lang w:val="en-US" w:bidi="ar-SA"/>
                    </w:rPr>
                  </w:pPr>
                  <w:r>
                    <w:rPr>
                      <w:rFonts w:hint="eastAsia" w:ascii="Times New Roman" w:hAnsi="Times New Roman" w:eastAsia="宋体" w:cs="Times New Roman"/>
                      <w:szCs w:val="21"/>
                      <w:lang w:val="en-US" w:bidi="ar-SA"/>
                    </w:rPr>
                    <w:t>渗锌层与基体应结合良好。不得脱皮、脱落，并能承受制件规范条件下的操作</w:t>
                  </w:r>
                </w:p>
              </w:tc>
            </w:tr>
            <w:tr w14:paraId="4EB63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98" w:type="pct"/>
                  <w:tcBorders>
                    <w:tl2br w:val="nil"/>
                    <w:tr2bl w:val="nil"/>
                  </w:tcBorders>
                  <w:vAlign w:val="center"/>
                </w:tcPr>
                <w:p w14:paraId="581E19B7">
                  <w:pPr>
                    <w:jc w:val="center"/>
                    <w:rPr>
                      <w:rStyle w:val="40"/>
                      <w:rFonts w:ascii="Times New Roman" w:hAnsi="Times New Roman" w:eastAsia="宋体" w:cs="Times New Roman"/>
                    </w:rPr>
                  </w:pPr>
                  <w:r>
                    <w:rPr>
                      <w:rStyle w:val="40"/>
                      <w:rFonts w:hint="eastAsia" w:ascii="Times New Roman" w:hAnsi="Times New Roman" w:eastAsia="宋体" w:cs="Times New Roman"/>
                    </w:rPr>
                    <w:t>3</w:t>
                  </w:r>
                </w:p>
              </w:tc>
              <w:tc>
                <w:tcPr>
                  <w:tcW w:w="1122" w:type="pct"/>
                  <w:tcBorders>
                    <w:tl2br w:val="nil"/>
                    <w:tr2bl w:val="nil"/>
                  </w:tcBorders>
                  <w:vAlign w:val="center"/>
                </w:tcPr>
                <w:p w14:paraId="04E69C19">
                  <w:pPr>
                    <w:jc w:val="center"/>
                    <w:rPr>
                      <w:rFonts w:ascii="Times New Roman" w:hAnsi="Times New Roman" w:eastAsia="宋体"/>
                      <w:szCs w:val="21"/>
                    </w:rPr>
                  </w:pPr>
                  <w:r>
                    <w:rPr>
                      <w:rFonts w:hint="eastAsia" w:ascii="Times New Roman" w:hAnsi="Times New Roman" w:eastAsia="宋体"/>
                      <w:szCs w:val="21"/>
                    </w:rPr>
                    <w:t>厚度</w:t>
                  </w:r>
                </w:p>
              </w:tc>
              <w:tc>
                <w:tcPr>
                  <w:tcW w:w="3379" w:type="pct"/>
                  <w:tcBorders>
                    <w:tl2br w:val="nil"/>
                    <w:tr2bl w:val="nil"/>
                  </w:tcBorders>
                  <w:vAlign w:val="center"/>
                </w:tcPr>
                <w:p w14:paraId="32869AB3">
                  <w:pPr>
                    <w:pStyle w:val="39"/>
                    <w:tabs>
                      <w:tab w:val="left" w:pos="418"/>
                    </w:tabs>
                    <w:autoSpaceDE w:val="0"/>
                    <w:autoSpaceDN w:val="0"/>
                    <w:adjustRightInd w:val="0"/>
                    <w:snapToGrid w:val="0"/>
                    <w:jc w:val="left"/>
                    <w:rPr>
                      <w:rFonts w:ascii="Times New Roman" w:hAnsi="Times New Roman" w:eastAsia="宋体" w:cs="Times New Roman"/>
                      <w:szCs w:val="21"/>
                      <w:lang w:val="en-US" w:bidi="ar-SA"/>
                    </w:rPr>
                  </w:pPr>
                  <w:r>
                    <w:rPr>
                      <w:rFonts w:hint="eastAsia" w:ascii="Times New Roman" w:hAnsi="Times New Roman" w:eastAsia="宋体" w:cs="Times New Roman"/>
                      <w:szCs w:val="21"/>
                      <w:lang w:val="en-US" w:bidi="ar-SA"/>
                    </w:rPr>
                    <w:t>厚度均匀，同一工件的厚度偏差不应大于该工件平均厚度的10%</w:t>
                  </w:r>
                </w:p>
              </w:tc>
            </w:tr>
          </w:tbl>
          <w:p w14:paraId="01D6F7BC">
            <w:pPr>
              <w:pStyle w:val="39"/>
              <w:tabs>
                <w:tab w:val="left" w:pos="418"/>
              </w:tabs>
              <w:autoSpaceDE w:val="0"/>
              <w:autoSpaceDN w:val="0"/>
              <w:adjustRightInd w:val="0"/>
              <w:snapToGrid w:val="0"/>
              <w:spacing w:line="360" w:lineRule="auto"/>
              <w:ind w:firstLine="482" w:firstLineChars="200"/>
              <w:jc w:val="left"/>
              <w:rPr>
                <w:rFonts w:ascii="Times New Roman" w:hAnsi="Times New Roman" w:cs="Times New Roman" w:eastAsiaTheme="minorEastAsia"/>
                <w:b/>
                <w:sz w:val="24"/>
                <w:lang w:val="en-US"/>
              </w:rPr>
            </w:pPr>
            <w:r>
              <w:rPr>
                <w:rFonts w:ascii="Times New Roman" w:hAnsi="Times New Roman" w:cs="Times New Roman" w:eastAsiaTheme="minorEastAsia"/>
                <w:b/>
                <w:sz w:val="24"/>
                <w:lang w:val="en-US"/>
              </w:rPr>
              <w:t>4、主要设备清单</w:t>
            </w:r>
          </w:p>
          <w:p w14:paraId="1CB3D355">
            <w:pPr>
              <w:pStyle w:val="39"/>
              <w:autoSpaceDE w:val="0"/>
              <w:autoSpaceDN w:val="0"/>
              <w:adjustRightInd w:val="0"/>
              <w:snapToGrid w:val="0"/>
              <w:spacing w:line="360" w:lineRule="auto"/>
              <w:ind w:right="123" w:firstLine="468" w:firstLineChars="200"/>
              <w:rPr>
                <w:rFonts w:ascii="Times New Roman" w:hAnsi="Times New Roman" w:cs="Times New Roman"/>
                <w:sz w:val="24"/>
                <w:lang w:val="en-US"/>
              </w:rPr>
            </w:pPr>
            <w:r>
              <w:rPr>
                <w:rFonts w:ascii="Times New Roman" w:hAnsi="Times New Roman" w:cs="Times New Roman" w:eastAsiaTheme="minorEastAsia"/>
                <w:spacing w:val="-3"/>
                <w:sz w:val="24"/>
                <w:lang w:val="en-US"/>
              </w:rPr>
              <w:t>本项目设备清单如下表所示。</w:t>
            </w:r>
          </w:p>
          <w:p w14:paraId="00A6072A">
            <w:pPr>
              <w:pStyle w:val="2"/>
              <w:ind w:left="830" w:hanging="410"/>
              <w:jc w:val="center"/>
              <w:rPr>
                <w:rFonts w:ascii="Times New Roman" w:hAnsi="Times New Roman" w:cs="Times New Roman"/>
                <w:szCs w:val="21"/>
              </w:rPr>
            </w:pPr>
            <w:r>
              <w:rPr>
                <w:rFonts w:ascii="Times New Roman" w:hAnsi="Times New Roman" w:cs="Times New Roman"/>
                <w:b/>
                <w:bCs/>
                <w:spacing w:val="-3"/>
                <w:lang w:bidi="zh-CN"/>
              </w:rPr>
              <w:t>表2-</w:t>
            </w:r>
            <w:r>
              <w:rPr>
                <w:rFonts w:hint="eastAsia" w:ascii="Times New Roman" w:hAnsi="Times New Roman" w:cs="Times New Roman"/>
                <w:b/>
                <w:bCs/>
                <w:spacing w:val="-3"/>
                <w:lang w:bidi="zh-CN"/>
              </w:rPr>
              <w:t>5</w:t>
            </w:r>
            <w:r>
              <w:rPr>
                <w:rFonts w:ascii="Times New Roman" w:hAnsi="Times New Roman" w:cs="Times New Roman"/>
                <w:b/>
                <w:bCs/>
                <w:spacing w:val="-3"/>
                <w:lang w:bidi="zh-CN"/>
              </w:rPr>
              <w:t xml:space="preserve"> </w:t>
            </w:r>
            <w:r>
              <w:rPr>
                <w:rFonts w:hint="eastAsia" w:ascii="Times New Roman" w:hAnsi="Times New Roman" w:cs="Times New Roman"/>
                <w:b/>
                <w:bCs/>
                <w:spacing w:val="-3"/>
                <w:lang w:bidi="zh-CN"/>
              </w:rPr>
              <w:t xml:space="preserve">  </w:t>
            </w:r>
            <w:r>
              <w:rPr>
                <w:rFonts w:ascii="Times New Roman" w:hAnsi="Times New Roman" w:cs="Times New Roman"/>
                <w:b/>
                <w:bCs/>
                <w:spacing w:val="-3"/>
                <w:lang w:bidi="zh-CN"/>
              </w:rPr>
              <w:t xml:space="preserve"> 本项目设备清单一览表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778"/>
              <w:gridCol w:w="1396"/>
              <w:gridCol w:w="819"/>
              <w:gridCol w:w="819"/>
              <w:gridCol w:w="820"/>
              <w:gridCol w:w="2619"/>
            </w:tblGrid>
            <w:tr w14:paraId="21D85C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315" w:type="pct"/>
                  <w:tcBorders>
                    <w:tl2br w:val="nil"/>
                    <w:tr2bl w:val="nil"/>
                  </w:tcBorders>
                  <w:shd w:val="clear" w:color="auto" w:fill="auto"/>
                  <w:noWrap/>
                  <w:vAlign w:val="center"/>
                </w:tcPr>
                <w:p w14:paraId="4C764865">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序号</w:t>
                  </w:r>
                </w:p>
              </w:tc>
              <w:tc>
                <w:tcPr>
                  <w:tcW w:w="1016" w:type="pct"/>
                  <w:tcBorders>
                    <w:tl2br w:val="nil"/>
                    <w:tr2bl w:val="nil"/>
                  </w:tcBorders>
                  <w:shd w:val="clear" w:color="auto" w:fill="auto"/>
                  <w:noWrap/>
                  <w:vAlign w:val="center"/>
                </w:tcPr>
                <w:p w14:paraId="47D282E5">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设备名称</w:t>
                  </w:r>
                </w:p>
              </w:tc>
              <w:tc>
                <w:tcPr>
                  <w:tcW w:w="1098" w:type="pct"/>
                  <w:tcBorders>
                    <w:tl2br w:val="nil"/>
                    <w:tr2bl w:val="nil"/>
                  </w:tcBorders>
                  <w:shd w:val="clear" w:color="auto" w:fill="auto"/>
                  <w:noWrap/>
                  <w:vAlign w:val="center"/>
                </w:tcPr>
                <w:p w14:paraId="2385B569">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参数</w:t>
                  </w:r>
                </w:p>
              </w:tc>
              <w:tc>
                <w:tcPr>
                  <w:tcW w:w="419" w:type="pct"/>
                  <w:tcBorders>
                    <w:tl2br w:val="nil"/>
                    <w:tr2bl w:val="nil"/>
                  </w:tcBorders>
                  <w:shd w:val="clear" w:color="auto" w:fill="auto"/>
                  <w:noWrap/>
                  <w:vAlign w:val="center"/>
                </w:tcPr>
                <w:p w14:paraId="357BDAE1">
                  <w:pPr>
                    <w:adjustRightInd w:val="0"/>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扩建前</w:t>
                  </w:r>
                  <w:r>
                    <w:rPr>
                      <w:rFonts w:ascii="Times New Roman" w:hAnsi="Times New Roman" w:eastAsia="宋体" w:cs="Times New Roman"/>
                      <w:b/>
                      <w:bCs/>
                      <w:szCs w:val="21"/>
                    </w:rPr>
                    <w:t>数量</w:t>
                  </w:r>
                </w:p>
              </w:tc>
              <w:tc>
                <w:tcPr>
                  <w:tcW w:w="473" w:type="pct"/>
                  <w:tcBorders>
                    <w:tl2br w:val="nil"/>
                    <w:tr2bl w:val="nil"/>
                  </w:tcBorders>
                  <w:shd w:val="clear" w:color="auto" w:fill="auto"/>
                  <w:noWrap/>
                  <w:vAlign w:val="center"/>
                </w:tcPr>
                <w:p w14:paraId="3BA1D02D">
                  <w:pPr>
                    <w:adjustRightInd w:val="0"/>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本项目数量</w:t>
                  </w:r>
                </w:p>
              </w:tc>
              <w:tc>
                <w:tcPr>
                  <w:tcW w:w="551" w:type="pct"/>
                  <w:tcBorders>
                    <w:tl2br w:val="nil"/>
                    <w:tr2bl w:val="nil"/>
                  </w:tcBorders>
                  <w:shd w:val="clear" w:color="auto" w:fill="auto"/>
                  <w:noWrap/>
                  <w:vAlign w:val="center"/>
                </w:tcPr>
                <w:p w14:paraId="64DC27EC">
                  <w:pPr>
                    <w:adjustRightInd w:val="0"/>
                    <w:snapToGrid w:val="0"/>
                    <w:rPr>
                      <w:rFonts w:ascii="Times New Roman" w:hAnsi="Times New Roman" w:eastAsia="宋体" w:cs="Times New Roman"/>
                      <w:b/>
                      <w:bCs/>
                      <w:szCs w:val="21"/>
                    </w:rPr>
                  </w:pPr>
                  <w:r>
                    <w:rPr>
                      <w:rFonts w:hint="eastAsia" w:ascii="Times New Roman" w:hAnsi="Times New Roman" w:eastAsia="宋体" w:cs="Times New Roman"/>
                      <w:b/>
                      <w:bCs/>
                      <w:szCs w:val="21"/>
                    </w:rPr>
                    <w:t>扩建后数量</w:t>
                  </w:r>
                </w:p>
              </w:tc>
              <w:tc>
                <w:tcPr>
                  <w:tcW w:w="1125" w:type="pct"/>
                  <w:tcBorders>
                    <w:tl2br w:val="nil"/>
                    <w:tr2bl w:val="nil"/>
                  </w:tcBorders>
                  <w:shd w:val="clear" w:color="auto" w:fill="auto"/>
                  <w:noWrap/>
                  <w:vAlign w:val="center"/>
                </w:tcPr>
                <w:p w14:paraId="54014525">
                  <w:pPr>
                    <w:adjustRightInd w:val="0"/>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用途</w:t>
                  </w:r>
                </w:p>
              </w:tc>
            </w:tr>
            <w:tr w14:paraId="413D11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15" w:type="pct"/>
                  <w:tcBorders>
                    <w:tl2br w:val="nil"/>
                    <w:tr2bl w:val="nil"/>
                  </w:tcBorders>
                  <w:shd w:val="clear" w:color="auto" w:fill="auto"/>
                  <w:noWrap/>
                  <w:vAlign w:val="center"/>
                </w:tcPr>
                <w:p w14:paraId="1FB47241">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6" w:type="pct"/>
                  <w:tcBorders>
                    <w:tl2br w:val="nil"/>
                    <w:tr2bl w:val="nil"/>
                  </w:tcBorders>
                  <w:shd w:val="clear" w:color="auto" w:fill="auto"/>
                  <w:noWrap/>
                  <w:vAlign w:val="center"/>
                </w:tcPr>
                <w:p w14:paraId="7563E37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网带式烧结炉</w:t>
                  </w:r>
                </w:p>
              </w:tc>
              <w:tc>
                <w:tcPr>
                  <w:tcW w:w="1098" w:type="pct"/>
                  <w:tcBorders>
                    <w:tl2br w:val="nil"/>
                    <w:tr2bl w:val="nil"/>
                  </w:tcBorders>
                  <w:shd w:val="clear" w:color="auto" w:fill="auto"/>
                  <w:noWrap/>
                  <w:vAlign w:val="center"/>
                </w:tcPr>
                <w:p w14:paraId="13D5FB2A">
                  <w:pPr>
                    <w:pStyle w:val="2"/>
                    <w:adjustRightInd w:val="0"/>
                    <w:snapToGrid w:val="0"/>
                    <w:ind w:left="0" w:leftChars="0" w:firstLine="0" w:firstLineChars="0"/>
                    <w:jc w:val="center"/>
                    <w:rPr>
                      <w:rFonts w:ascii="Times New Roman" w:hAnsi="Times New Roman" w:eastAsia="宋体" w:cs="Times New Roman"/>
                      <w:szCs w:val="21"/>
                    </w:rPr>
                  </w:pPr>
                  <w:r>
                    <w:rPr>
                      <w:rFonts w:hint="eastAsia" w:ascii="Times New Roman" w:hAnsi="Times New Roman" w:eastAsia="宋体" w:cs="Times New Roman"/>
                      <w:szCs w:val="21"/>
                    </w:rPr>
                    <w:t>XYD-600D</w:t>
                  </w:r>
                </w:p>
                <w:p w14:paraId="0CBD7D52">
                  <w:pPr>
                    <w:pStyle w:val="2"/>
                    <w:adjustRightInd w:val="0"/>
                    <w:snapToGrid w:val="0"/>
                    <w:ind w:left="0" w:leftChars="0" w:firstLine="0" w:firstLineChars="0"/>
                    <w:jc w:val="center"/>
                    <w:rPr>
                      <w:rFonts w:ascii="Times New Roman" w:hAnsi="Times New Roman" w:eastAsia="宋体" w:cs="Times New Roman"/>
                      <w:szCs w:val="21"/>
                    </w:rPr>
                  </w:pPr>
                  <w:r>
                    <w:rPr>
                      <w:rFonts w:hint="eastAsia" w:ascii="Times New Roman" w:hAnsi="Times New Roman" w:eastAsia="宋体" w:cs="Times New Roman"/>
                      <w:bCs/>
                      <w:szCs w:val="21"/>
                    </w:rPr>
                    <w:t>电加热</w:t>
                  </w:r>
                </w:p>
              </w:tc>
              <w:tc>
                <w:tcPr>
                  <w:tcW w:w="419" w:type="pct"/>
                  <w:tcBorders>
                    <w:tl2br w:val="nil"/>
                    <w:tr2bl w:val="nil"/>
                  </w:tcBorders>
                  <w:shd w:val="clear" w:color="auto" w:fill="auto"/>
                  <w:noWrap/>
                  <w:vAlign w:val="center"/>
                </w:tcPr>
                <w:p w14:paraId="5A85D18A">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台</w:t>
                  </w:r>
                </w:p>
              </w:tc>
              <w:tc>
                <w:tcPr>
                  <w:tcW w:w="473" w:type="pct"/>
                  <w:tcBorders>
                    <w:tl2br w:val="nil"/>
                    <w:tr2bl w:val="nil"/>
                  </w:tcBorders>
                  <w:shd w:val="clear" w:color="auto" w:fill="auto"/>
                  <w:noWrap/>
                  <w:vAlign w:val="center"/>
                </w:tcPr>
                <w:p w14:paraId="3E622851">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551" w:type="pct"/>
                  <w:tcBorders>
                    <w:tl2br w:val="nil"/>
                    <w:tr2bl w:val="nil"/>
                  </w:tcBorders>
                  <w:shd w:val="clear" w:color="auto" w:fill="auto"/>
                  <w:noWrap/>
                  <w:vAlign w:val="center"/>
                </w:tcPr>
                <w:p w14:paraId="3B35227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台</w:t>
                  </w:r>
                </w:p>
              </w:tc>
              <w:tc>
                <w:tcPr>
                  <w:tcW w:w="1125" w:type="pct"/>
                  <w:tcBorders>
                    <w:tl2br w:val="nil"/>
                    <w:tr2bl w:val="nil"/>
                  </w:tcBorders>
                  <w:shd w:val="clear" w:color="auto" w:fill="auto"/>
                  <w:noWrap/>
                  <w:vAlign w:val="center"/>
                </w:tcPr>
                <w:p w14:paraId="6C19E7C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碳化除油</w:t>
                  </w:r>
                </w:p>
              </w:tc>
            </w:tr>
            <w:tr w14:paraId="58DFD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15" w:type="pct"/>
                  <w:tcBorders>
                    <w:tl2br w:val="nil"/>
                    <w:tr2bl w:val="nil"/>
                  </w:tcBorders>
                  <w:shd w:val="clear" w:color="auto" w:fill="auto"/>
                  <w:noWrap/>
                  <w:vAlign w:val="center"/>
                </w:tcPr>
                <w:p w14:paraId="37ECF2B0">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016" w:type="pct"/>
                  <w:tcBorders>
                    <w:tl2br w:val="nil"/>
                    <w:tr2bl w:val="nil"/>
                  </w:tcBorders>
                  <w:shd w:val="clear" w:color="auto" w:fill="auto"/>
                  <w:noWrap/>
                  <w:vAlign w:val="center"/>
                </w:tcPr>
                <w:p w14:paraId="4EBD2395">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履带式</w:t>
                  </w:r>
                  <w:r>
                    <w:rPr>
                      <w:rFonts w:hint="eastAsia" w:ascii="Times New Roman" w:hAnsi="Times New Roman" w:eastAsia="宋体" w:cs="Times New Roman"/>
                      <w:bCs/>
                      <w:szCs w:val="21"/>
                    </w:rPr>
                    <w:t>抛丸机</w:t>
                  </w:r>
                </w:p>
              </w:tc>
              <w:tc>
                <w:tcPr>
                  <w:tcW w:w="1098" w:type="pct"/>
                  <w:tcBorders>
                    <w:tl2br w:val="nil"/>
                    <w:tr2bl w:val="nil"/>
                  </w:tcBorders>
                  <w:shd w:val="clear" w:color="auto" w:fill="auto"/>
                  <w:noWrap/>
                  <w:vAlign w:val="center"/>
                </w:tcPr>
                <w:p w14:paraId="7690DD1F">
                  <w:pPr>
                    <w:pStyle w:val="2"/>
                    <w:adjustRightInd w:val="0"/>
                    <w:snapToGrid w:val="0"/>
                    <w:ind w:left="0" w:leftChars="0" w:firstLine="0" w:firstLineChars="0"/>
                    <w:jc w:val="center"/>
                    <w:rPr>
                      <w:rFonts w:ascii="Times New Roman" w:hAnsi="Times New Roman" w:eastAsia="宋体" w:cs="Times New Roman"/>
                      <w:szCs w:val="21"/>
                    </w:rPr>
                  </w:pPr>
                  <w:r>
                    <w:rPr>
                      <w:rFonts w:hint="eastAsia" w:ascii="Times New Roman" w:hAnsi="Times New Roman" w:eastAsia="宋体" w:cs="Times New Roman"/>
                      <w:szCs w:val="21"/>
                    </w:rPr>
                    <w:t>Q3210</w:t>
                  </w:r>
                </w:p>
              </w:tc>
              <w:tc>
                <w:tcPr>
                  <w:tcW w:w="419" w:type="pct"/>
                  <w:tcBorders>
                    <w:tl2br w:val="nil"/>
                    <w:tr2bl w:val="nil"/>
                  </w:tcBorders>
                  <w:shd w:val="clear" w:color="auto" w:fill="auto"/>
                  <w:noWrap/>
                  <w:vAlign w:val="center"/>
                </w:tcPr>
                <w:p w14:paraId="66881DF5">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台</w:t>
                  </w:r>
                </w:p>
              </w:tc>
              <w:tc>
                <w:tcPr>
                  <w:tcW w:w="473" w:type="pct"/>
                  <w:tcBorders>
                    <w:tl2br w:val="nil"/>
                    <w:tr2bl w:val="nil"/>
                  </w:tcBorders>
                  <w:shd w:val="clear" w:color="auto" w:fill="auto"/>
                  <w:noWrap/>
                  <w:vAlign w:val="center"/>
                </w:tcPr>
                <w:p w14:paraId="2A8FFC10">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551" w:type="pct"/>
                  <w:tcBorders>
                    <w:tl2br w:val="nil"/>
                    <w:tr2bl w:val="nil"/>
                  </w:tcBorders>
                  <w:shd w:val="clear" w:color="auto" w:fill="auto"/>
                  <w:noWrap/>
                  <w:vAlign w:val="center"/>
                </w:tcPr>
                <w:p w14:paraId="5F021F67">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台</w:t>
                  </w:r>
                </w:p>
              </w:tc>
              <w:tc>
                <w:tcPr>
                  <w:tcW w:w="1125" w:type="pct"/>
                  <w:vMerge w:val="restart"/>
                  <w:tcBorders>
                    <w:tl2br w:val="nil"/>
                    <w:tr2bl w:val="nil"/>
                  </w:tcBorders>
                  <w:shd w:val="clear" w:color="auto" w:fill="auto"/>
                  <w:noWrap/>
                  <w:vAlign w:val="center"/>
                </w:tcPr>
                <w:p w14:paraId="555D55EF">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抛丸</w:t>
                  </w:r>
                </w:p>
              </w:tc>
            </w:tr>
            <w:tr w14:paraId="2C48AE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15" w:type="pct"/>
                  <w:tcBorders>
                    <w:tl2br w:val="nil"/>
                    <w:tr2bl w:val="nil"/>
                  </w:tcBorders>
                  <w:shd w:val="clear" w:color="auto" w:fill="auto"/>
                  <w:noWrap/>
                  <w:vAlign w:val="center"/>
                </w:tcPr>
                <w:p w14:paraId="26C4800C">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1016" w:type="pct"/>
                  <w:tcBorders>
                    <w:tl2br w:val="nil"/>
                    <w:tr2bl w:val="nil"/>
                  </w:tcBorders>
                  <w:shd w:val="clear" w:color="auto" w:fill="auto"/>
                  <w:noWrap/>
                  <w:vAlign w:val="center"/>
                </w:tcPr>
                <w:p w14:paraId="137484CB">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吊钩式抛丸机</w:t>
                  </w:r>
                </w:p>
              </w:tc>
              <w:tc>
                <w:tcPr>
                  <w:tcW w:w="1098" w:type="pct"/>
                  <w:tcBorders>
                    <w:tl2br w:val="nil"/>
                    <w:tr2bl w:val="nil"/>
                  </w:tcBorders>
                  <w:shd w:val="clear" w:color="auto" w:fill="auto"/>
                  <w:noWrap/>
                  <w:vAlign w:val="center"/>
                </w:tcPr>
                <w:p w14:paraId="575A0298">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szCs w:val="21"/>
                    </w:rPr>
                    <w:t>Q3730</w:t>
                  </w:r>
                </w:p>
              </w:tc>
              <w:tc>
                <w:tcPr>
                  <w:tcW w:w="419" w:type="pct"/>
                  <w:tcBorders>
                    <w:tl2br w:val="nil"/>
                    <w:tr2bl w:val="nil"/>
                  </w:tcBorders>
                  <w:shd w:val="clear" w:color="auto" w:fill="auto"/>
                  <w:noWrap/>
                  <w:vAlign w:val="center"/>
                </w:tcPr>
                <w:p w14:paraId="6B1CB32D">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2</w:t>
                  </w:r>
                  <w:r>
                    <w:rPr>
                      <w:rFonts w:ascii="Times New Roman" w:hAnsi="Times New Roman" w:eastAsia="宋体" w:cs="Times New Roman"/>
                      <w:bCs/>
                      <w:szCs w:val="21"/>
                    </w:rPr>
                    <w:t>只</w:t>
                  </w:r>
                </w:p>
              </w:tc>
              <w:tc>
                <w:tcPr>
                  <w:tcW w:w="473" w:type="pct"/>
                  <w:tcBorders>
                    <w:tl2br w:val="nil"/>
                    <w:tr2bl w:val="nil"/>
                  </w:tcBorders>
                  <w:shd w:val="clear" w:color="auto" w:fill="auto"/>
                  <w:noWrap/>
                  <w:vAlign w:val="center"/>
                </w:tcPr>
                <w:p w14:paraId="710A71D2">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551" w:type="pct"/>
                  <w:tcBorders>
                    <w:tl2br w:val="nil"/>
                    <w:tr2bl w:val="nil"/>
                  </w:tcBorders>
                  <w:shd w:val="clear" w:color="auto" w:fill="auto"/>
                  <w:noWrap/>
                  <w:vAlign w:val="center"/>
                </w:tcPr>
                <w:p w14:paraId="37F66341">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bCs/>
                      <w:szCs w:val="21"/>
                    </w:rPr>
                    <w:t>2</w:t>
                  </w:r>
                  <w:r>
                    <w:rPr>
                      <w:rFonts w:ascii="Times New Roman" w:hAnsi="Times New Roman" w:eastAsia="宋体" w:cs="Times New Roman"/>
                      <w:bCs/>
                      <w:szCs w:val="21"/>
                    </w:rPr>
                    <w:t>只</w:t>
                  </w:r>
                </w:p>
              </w:tc>
              <w:tc>
                <w:tcPr>
                  <w:tcW w:w="1125" w:type="pct"/>
                  <w:vMerge w:val="continue"/>
                  <w:tcBorders>
                    <w:tl2br w:val="nil"/>
                    <w:tr2bl w:val="nil"/>
                  </w:tcBorders>
                  <w:shd w:val="clear" w:color="auto" w:fill="auto"/>
                  <w:noWrap/>
                  <w:vAlign w:val="center"/>
                </w:tcPr>
                <w:p w14:paraId="069925C7">
                  <w:pPr>
                    <w:adjustRightInd w:val="0"/>
                    <w:snapToGrid w:val="0"/>
                    <w:jc w:val="center"/>
                    <w:rPr>
                      <w:rFonts w:ascii="Times New Roman" w:hAnsi="Times New Roman" w:eastAsia="宋体" w:cs="Times New Roman"/>
                      <w:szCs w:val="21"/>
                    </w:rPr>
                  </w:pPr>
                </w:p>
              </w:tc>
            </w:tr>
            <w:tr w14:paraId="48C656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15" w:type="pct"/>
                  <w:tcBorders>
                    <w:tl2br w:val="nil"/>
                    <w:tr2bl w:val="nil"/>
                  </w:tcBorders>
                  <w:shd w:val="clear" w:color="auto" w:fill="auto"/>
                  <w:noWrap/>
                  <w:vAlign w:val="center"/>
                </w:tcPr>
                <w:p w14:paraId="40AAB40F">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1016" w:type="pct"/>
                  <w:tcBorders>
                    <w:tl2br w:val="nil"/>
                    <w:tr2bl w:val="nil"/>
                  </w:tcBorders>
                  <w:shd w:val="clear" w:color="auto" w:fill="auto"/>
                  <w:noWrap/>
                  <w:vAlign w:val="center"/>
                </w:tcPr>
                <w:p w14:paraId="54AA8C4D">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喷砂机</w:t>
                  </w:r>
                </w:p>
              </w:tc>
              <w:tc>
                <w:tcPr>
                  <w:tcW w:w="1098" w:type="pct"/>
                  <w:tcBorders>
                    <w:tl2br w:val="nil"/>
                    <w:tr2bl w:val="nil"/>
                  </w:tcBorders>
                  <w:shd w:val="clear" w:color="auto" w:fill="auto"/>
                  <w:noWrap/>
                  <w:vAlign w:val="center"/>
                </w:tcPr>
                <w:p w14:paraId="4697B525">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419" w:type="pct"/>
                  <w:tcBorders>
                    <w:tl2br w:val="nil"/>
                    <w:tr2bl w:val="nil"/>
                  </w:tcBorders>
                  <w:shd w:val="clear" w:color="auto" w:fill="auto"/>
                  <w:noWrap/>
                  <w:vAlign w:val="center"/>
                </w:tcPr>
                <w:p w14:paraId="47E20732">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473" w:type="pct"/>
                  <w:tcBorders>
                    <w:tl2br w:val="nil"/>
                    <w:tr2bl w:val="nil"/>
                  </w:tcBorders>
                  <w:shd w:val="clear" w:color="auto" w:fill="auto"/>
                  <w:noWrap/>
                  <w:vAlign w:val="center"/>
                </w:tcPr>
                <w:p w14:paraId="1368B952">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1台</w:t>
                  </w:r>
                </w:p>
              </w:tc>
              <w:tc>
                <w:tcPr>
                  <w:tcW w:w="551" w:type="pct"/>
                  <w:tcBorders>
                    <w:tl2br w:val="nil"/>
                    <w:tr2bl w:val="nil"/>
                  </w:tcBorders>
                  <w:shd w:val="clear" w:color="auto" w:fill="auto"/>
                  <w:noWrap/>
                  <w:vAlign w:val="center"/>
                </w:tcPr>
                <w:p w14:paraId="3C1EF52C">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1台</w:t>
                  </w:r>
                </w:p>
              </w:tc>
              <w:tc>
                <w:tcPr>
                  <w:tcW w:w="1125" w:type="pct"/>
                  <w:tcBorders>
                    <w:tl2br w:val="nil"/>
                    <w:tr2bl w:val="nil"/>
                  </w:tcBorders>
                  <w:shd w:val="clear" w:color="auto" w:fill="auto"/>
                  <w:noWrap/>
                  <w:vAlign w:val="center"/>
                </w:tcPr>
                <w:p w14:paraId="216571B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喷砂</w:t>
                  </w:r>
                </w:p>
              </w:tc>
            </w:tr>
            <w:tr w14:paraId="53178B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15" w:type="pct"/>
                  <w:tcBorders>
                    <w:tl2br w:val="nil"/>
                    <w:tr2bl w:val="nil"/>
                  </w:tcBorders>
                  <w:shd w:val="clear" w:color="auto" w:fill="auto"/>
                  <w:noWrap/>
                  <w:vAlign w:val="center"/>
                </w:tcPr>
                <w:p w14:paraId="1C972A45">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5</w:t>
                  </w:r>
                </w:p>
              </w:tc>
              <w:tc>
                <w:tcPr>
                  <w:tcW w:w="1016" w:type="pct"/>
                  <w:tcBorders>
                    <w:tl2br w:val="nil"/>
                    <w:tr2bl w:val="nil"/>
                  </w:tcBorders>
                  <w:shd w:val="clear" w:color="auto" w:fill="auto"/>
                  <w:noWrap/>
                  <w:vAlign w:val="center"/>
                </w:tcPr>
                <w:p w14:paraId="28FED490">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电加热渗锌炉</w:t>
                  </w:r>
                </w:p>
              </w:tc>
              <w:tc>
                <w:tcPr>
                  <w:tcW w:w="1098" w:type="pct"/>
                  <w:tcBorders>
                    <w:tl2br w:val="nil"/>
                    <w:tr2bl w:val="nil"/>
                  </w:tcBorders>
                  <w:shd w:val="clear" w:color="auto" w:fill="auto"/>
                  <w:noWrap/>
                  <w:vAlign w:val="center"/>
                </w:tcPr>
                <w:p w14:paraId="34CE62C1">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SX25-11-B-D-L</w:t>
                  </w:r>
                  <w:r>
                    <w:rPr>
                      <w:rFonts w:hint="eastAsia" w:ascii="Times New Roman" w:hAnsi="Times New Roman" w:eastAsia="宋体" w:cs="Times New Roman"/>
                      <w:bCs/>
                      <w:szCs w:val="21"/>
                    </w:rPr>
                    <w:t>电加热</w:t>
                  </w:r>
                </w:p>
              </w:tc>
              <w:tc>
                <w:tcPr>
                  <w:tcW w:w="419" w:type="pct"/>
                  <w:tcBorders>
                    <w:tl2br w:val="nil"/>
                    <w:tr2bl w:val="nil"/>
                  </w:tcBorders>
                  <w:shd w:val="clear" w:color="auto" w:fill="auto"/>
                  <w:noWrap/>
                  <w:vAlign w:val="center"/>
                </w:tcPr>
                <w:p w14:paraId="7DEE8CEC">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台</w:t>
                  </w:r>
                </w:p>
              </w:tc>
              <w:tc>
                <w:tcPr>
                  <w:tcW w:w="473" w:type="pct"/>
                  <w:tcBorders>
                    <w:tl2br w:val="nil"/>
                    <w:tr2bl w:val="nil"/>
                  </w:tcBorders>
                  <w:shd w:val="clear" w:color="auto" w:fill="auto"/>
                  <w:noWrap/>
                  <w:vAlign w:val="center"/>
                </w:tcPr>
                <w:p w14:paraId="510EA275">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551" w:type="pct"/>
                  <w:tcBorders>
                    <w:tl2br w:val="nil"/>
                    <w:tr2bl w:val="nil"/>
                  </w:tcBorders>
                  <w:shd w:val="clear" w:color="auto" w:fill="auto"/>
                  <w:noWrap/>
                  <w:vAlign w:val="center"/>
                </w:tcPr>
                <w:p w14:paraId="66526CBB">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台</w:t>
                  </w:r>
                </w:p>
              </w:tc>
              <w:tc>
                <w:tcPr>
                  <w:tcW w:w="1125" w:type="pct"/>
                  <w:tcBorders>
                    <w:tl2br w:val="nil"/>
                    <w:tr2bl w:val="nil"/>
                  </w:tcBorders>
                  <w:shd w:val="clear" w:color="auto" w:fill="auto"/>
                  <w:noWrap/>
                  <w:vAlign w:val="center"/>
                </w:tcPr>
                <w:p w14:paraId="0018075D">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渗锌</w:t>
                  </w:r>
                </w:p>
              </w:tc>
            </w:tr>
            <w:tr w14:paraId="0BA40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15" w:type="pct"/>
                  <w:tcBorders>
                    <w:tl2br w:val="nil"/>
                    <w:tr2bl w:val="nil"/>
                  </w:tcBorders>
                  <w:shd w:val="clear" w:color="auto" w:fill="auto"/>
                  <w:noWrap/>
                  <w:vAlign w:val="center"/>
                </w:tcPr>
                <w:p w14:paraId="28D5B1CF">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6</w:t>
                  </w:r>
                </w:p>
              </w:tc>
              <w:tc>
                <w:tcPr>
                  <w:tcW w:w="1016" w:type="pct"/>
                  <w:tcBorders>
                    <w:tl2br w:val="nil"/>
                    <w:tr2bl w:val="nil"/>
                  </w:tcBorders>
                  <w:shd w:val="clear" w:color="auto" w:fill="auto"/>
                  <w:noWrap/>
                  <w:vAlign w:val="center"/>
                </w:tcPr>
                <w:p w14:paraId="67C2A15E">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振动分离器</w:t>
                  </w:r>
                </w:p>
              </w:tc>
              <w:tc>
                <w:tcPr>
                  <w:tcW w:w="1098" w:type="pct"/>
                  <w:tcBorders>
                    <w:tl2br w:val="nil"/>
                    <w:tr2bl w:val="nil"/>
                  </w:tcBorders>
                  <w:shd w:val="clear" w:color="auto" w:fill="auto"/>
                  <w:noWrap/>
                  <w:vAlign w:val="center"/>
                </w:tcPr>
                <w:p w14:paraId="68397726">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SX25-11</w:t>
                  </w:r>
                </w:p>
              </w:tc>
              <w:tc>
                <w:tcPr>
                  <w:tcW w:w="419" w:type="pct"/>
                  <w:tcBorders>
                    <w:tl2br w:val="nil"/>
                    <w:tr2bl w:val="nil"/>
                  </w:tcBorders>
                  <w:shd w:val="clear" w:color="auto" w:fill="auto"/>
                  <w:noWrap/>
                  <w:vAlign w:val="center"/>
                </w:tcPr>
                <w:p w14:paraId="1BF6B88E">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台</w:t>
                  </w:r>
                </w:p>
              </w:tc>
              <w:tc>
                <w:tcPr>
                  <w:tcW w:w="473" w:type="pct"/>
                  <w:tcBorders>
                    <w:tl2br w:val="nil"/>
                    <w:tr2bl w:val="nil"/>
                  </w:tcBorders>
                  <w:shd w:val="clear" w:color="auto" w:fill="auto"/>
                  <w:noWrap/>
                  <w:vAlign w:val="center"/>
                </w:tcPr>
                <w:p w14:paraId="3632FD93">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551" w:type="pct"/>
                  <w:tcBorders>
                    <w:tl2br w:val="nil"/>
                    <w:tr2bl w:val="nil"/>
                  </w:tcBorders>
                  <w:shd w:val="clear" w:color="auto" w:fill="auto"/>
                  <w:noWrap/>
                  <w:vAlign w:val="center"/>
                </w:tcPr>
                <w:p w14:paraId="27BB9813">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台</w:t>
                  </w:r>
                </w:p>
              </w:tc>
              <w:tc>
                <w:tcPr>
                  <w:tcW w:w="1125" w:type="pct"/>
                  <w:tcBorders>
                    <w:tl2br w:val="nil"/>
                    <w:tr2bl w:val="nil"/>
                  </w:tcBorders>
                  <w:shd w:val="clear" w:color="auto" w:fill="auto"/>
                  <w:noWrap/>
                  <w:vAlign w:val="center"/>
                </w:tcPr>
                <w:p w14:paraId="3D3E0C6A">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锌粉分离</w:t>
                  </w:r>
                </w:p>
              </w:tc>
            </w:tr>
            <w:tr w14:paraId="5E47B4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15" w:type="pct"/>
                  <w:tcBorders>
                    <w:tl2br w:val="nil"/>
                    <w:tr2bl w:val="nil"/>
                  </w:tcBorders>
                  <w:shd w:val="clear" w:color="auto" w:fill="auto"/>
                  <w:noWrap/>
                  <w:vAlign w:val="center"/>
                </w:tcPr>
                <w:p w14:paraId="5A5D7172">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7</w:t>
                  </w:r>
                </w:p>
              </w:tc>
              <w:tc>
                <w:tcPr>
                  <w:tcW w:w="1016" w:type="pct"/>
                  <w:tcBorders>
                    <w:tl2br w:val="nil"/>
                    <w:tr2bl w:val="nil"/>
                  </w:tcBorders>
                  <w:shd w:val="clear" w:color="auto" w:fill="auto"/>
                  <w:noWrap/>
                  <w:vAlign w:val="center"/>
                </w:tcPr>
                <w:p w14:paraId="20A40056">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全自动水洗封闭线</w:t>
                  </w:r>
                </w:p>
              </w:tc>
              <w:tc>
                <w:tcPr>
                  <w:tcW w:w="1098" w:type="pct"/>
                  <w:tcBorders>
                    <w:tl2br w:val="nil"/>
                    <w:tr2bl w:val="nil"/>
                  </w:tcBorders>
                  <w:shd w:val="clear" w:color="auto" w:fill="auto"/>
                  <w:noWrap/>
                  <w:vAlign w:val="center"/>
                </w:tcPr>
                <w:p w14:paraId="10568FC2">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419" w:type="pct"/>
                  <w:tcBorders>
                    <w:tl2br w:val="nil"/>
                    <w:tr2bl w:val="nil"/>
                  </w:tcBorders>
                  <w:shd w:val="clear" w:color="auto" w:fill="auto"/>
                  <w:noWrap/>
                  <w:vAlign w:val="center"/>
                </w:tcPr>
                <w:p w14:paraId="40A8070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hint="eastAsia" w:ascii="Times New Roman" w:hAnsi="Times New Roman" w:eastAsia="宋体" w:cs="Times New Roman"/>
                      <w:bCs/>
                      <w:szCs w:val="21"/>
                    </w:rPr>
                    <w:t>套</w:t>
                  </w:r>
                </w:p>
              </w:tc>
              <w:tc>
                <w:tcPr>
                  <w:tcW w:w="473" w:type="pct"/>
                  <w:tcBorders>
                    <w:tl2br w:val="nil"/>
                    <w:tr2bl w:val="nil"/>
                  </w:tcBorders>
                  <w:shd w:val="clear" w:color="auto" w:fill="auto"/>
                  <w:noWrap/>
                  <w:vAlign w:val="center"/>
                </w:tcPr>
                <w:p w14:paraId="6A9BFAA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551" w:type="pct"/>
                  <w:tcBorders>
                    <w:tl2br w:val="nil"/>
                    <w:tr2bl w:val="nil"/>
                  </w:tcBorders>
                  <w:shd w:val="clear" w:color="auto" w:fill="auto"/>
                  <w:noWrap/>
                  <w:vAlign w:val="center"/>
                </w:tcPr>
                <w:p w14:paraId="715FD47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hint="eastAsia" w:ascii="Times New Roman" w:hAnsi="Times New Roman" w:eastAsia="宋体" w:cs="Times New Roman"/>
                      <w:bCs/>
                      <w:szCs w:val="21"/>
                    </w:rPr>
                    <w:t>套</w:t>
                  </w:r>
                </w:p>
              </w:tc>
              <w:tc>
                <w:tcPr>
                  <w:tcW w:w="1125" w:type="pct"/>
                  <w:tcBorders>
                    <w:tl2br w:val="nil"/>
                    <w:tr2bl w:val="nil"/>
                  </w:tcBorders>
                  <w:shd w:val="clear" w:color="auto" w:fill="auto"/>
                  <w:noWrap/>
                  <w:vAlign w:val="center"/>
                </w:tcPr>
                <w:p w14:paraId="5DA668C3">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水洗封闭</w:t>
                  </w:r>
                </w:p>
              </w:tc>
            </w:tr>
            <w:tr w14:paraId="27B7B3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15" w:type="pct"/>
                  <w:tcBorders>
                    <w:tl2br w:val="nil"/>
                    <w:tr2bl w:val="nil"/>
                  </w:tcBorders>
                  <w:shd w:val="clear" w:color="auto" w:fill="auto"/>
                  <w:noWrap/>
                  <w:vAlign w:val="center"/>
                </w:tcPr>
                <w:p w14:paraId="4E7CE7CE">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8</w:t>
                  </w:r>
                </w:p>
              </w:tc>
              <w:tc>
                <w:tcPr>
                  <w:tcW w:w="1016" w:type="pct"/>
                  <w:tcBorders>
                    <w:tl2br w:val="nil"/>
                    <w:tr2bl w:val="nil"/>
                  </w:tcBorders>
                  <w:shd w:val="clear" w:color="auto" w:fill="auto"/>
                  <w:noWrap/>
                  <w:vAlign w:val="center"/>
                </w:tcPr>
                <w:p w14:paraId="1D6FE38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离心脱水机</w:t>
                  </w:r>
                </w:p>
              </w:tc>
              <w:tc>
                <w:tcPr>
                  <w:tcW w:w="1098" w:type="pct"/>
                  <w:tcBorders>
                    <w:tl2br w:val="nil"/>
                    <w:tr2bl w:val="nil"/>
                  </w:tcBorders>
                  <w:shd w:val="clear" w:color="auto" w:fill="auto"/>
                  <w:noWrap/>
                  <w:vAlign w:val="center"/>
                </w:tcPr>
                <w:p w14:paraId="49FA6227">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419" w:type="pct"/>
                  <w:tcBorders>
                    <w:tl2br w:val="nil"/>
                    <w:tr2bl w:val="nil"/>
                  </w:tcBorders>
                  <w:shd w:val="clear" w:color="auto" w:fill="auto"/>
                  <w:noWrap/>
                  <w:vAlign w:val="center"/>
                </w:tcPr>
                <w:p w14:paraId="4FEEC31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bCs/>
                      <w:szCs w:val="21"/>
                    </w:rPr>
                    <w:t>台</w:t>
                  </w:r>
                </w:p>
              </w:tc>
              <w:tc>
                <w:tcPr>
                  <w:tcW w:w="473" w:type="pct"/>
                  <w:tcBorders>
                    <w:tl2br w:val="nil"/>
                    <w:tr2bl w:val="nil"/>
                  </w:tcBorders>
                  <w:shd w:val="clear" w:color="auto" w:fill="auto"/>
                  <w:noWrap/>
                  <w:vAlign w:val="center"/>
                </w:tcPr>
                <w:p w14:paraId="401A8A9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551" w:type="pct"/>
                  <w:tcBorders>
                    <w:tl2br w:val="nil"/>
                    <w:tr2bl w:val="nil"/>
                  </w:tcBorders>
                  <w:shd w:val="clear" w:color="auto" w:fill="auto"/>
                  <w:noWrap/>
                  <w:vAlign w:val="center"/>
                </w:tcPr>
                <w:p w14:paraId="78B53FA1">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bCs/>
                      <w:szCs w:val="21"/>
                    </w:rPr>
                    <w:t>台</w:t>
                  </w:r>
                </w:p>
              </w:tc>
              <w:tc>
                <w:tcPr>
                  <w:tcW w:w="1125" w:type="pct"/>
                  <w:tcBorders>
                    <w:tl2br w:val="nil"/>
                    <w:tr2bl w:val="nil"/>
                  </w:tcBorders>
                  <w:shd w:val="clear" w:color="auto" w:fill="auto"/>
                  <w:noWrap/>
                  <w:vAlign w:val="center"/>
                </w:tcPr>
                <w:p w14:paraId="06080C3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一次封闭后机械脱水</w:t>
                  </w:r>
                </w:p>
              </w:tc>
            </w:tr>
            <w:tr w14:paraId="432F5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15" w:type="pct"/>
                  <w:tcBorders>
                    <w:tl2br w:val="nil"/>
                    <w:tr2bl w:val="nil"/>
                  </w:tcBorders>
                  <w:shd w:val="clear" w:color="auto" w:fill="auto"/>
                  <w:noWrap/>
                  <w:vAlign w:val="center"/>
                </w:tcPr>
                <w:p w14:paraId="664F26F5">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9</w:t>
                  </w:r>
                </w:p>
              </w:tc>
              <w:tc>
                <w:tcPr>
                  <w:tcW w:w="1016" w:type="pct"/>
                  <w:tcBorders>
                    <w:tl2br w:val="nil"/>
                    <w:tr2bl w:val="nil"/>
                  </w:tcBorders>
                  <w:shd w:val="clear" w:color="auto" w:fill="auto"/>
                  <w:noWrap/>
                  <w:vAlign w:val="center"/>
                </w:tcPr>
                <w:p w14:paraId="4605C7C4">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网带式烘干炉</w:t>
                  </w:r>
                </w:p>
              </w:tc>
              <w:tc>
                <w:tcPr>
                  <w:tcW w:w="1098" w:type="pct"/>
                  <w:tcBorders>
                    <w:tl2br w:val="nil"/>
                    <w:tr2bl w:val="nil"/>
                  </w:tcBorders>
                  <w:shd w:val="clear" w:color="auto" w:fill="auto"/>
                  <w:noWrap/>
                  <w:vAlign w:val="center"/>
                </w:tcPr>
                <w:p w14:paraId="621E2240">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电加热</w:t>
                  </w:r>
                </w:p>
              </w:tc>
              <w:tc>
                <w:tcPr>
                  <w:tcW w:w="419" w:type="pct"/>
                  <w:tcBorders>
                    <w:tl2br w:val="nil"/>
                    <w:tr2bl w:val="nil"/>
                  </w:tcBorders>
                  <w:shd w:val="clear" w:color="auto" w:fill="auto"/>
                  <w:noWrap/>
                  <w:vAlign w:val="center"/>
                </w:tcPr>
                <w:p w14:paraId="65D81B85">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台</w:t>
                  </w:r>
                </w:p>
              </w:tc>
              <w:tc>
                <w:tcPr>
                  <w:tcW w:w="473" w:type="pct"/>
                  <w:tcBorders>
                    <w:tl2br w:val="nil"/>
                    <w:tr2bl w:val="nil"/>
                  </w:tcBorders>
                  <w:shd w:val="clear" w:color="auto" w:fill="auto"/>
                  <w:noWrap/>
                  <w:vAlign w:val="center"/>
                </w:tcPr>
                <w:p w14:paraId="6214032F">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551" w:type="pct"/>
                  <w:tcBorders>
                    <w:tl2br w:val="nil"/>
                    <w:tr2bl w:val="nil"/>
                  </w:tcBorders>
                  <w:shd w:val="clear" w:color="auto" w:fill="auto"/>
                  <w:noWrap/>
                  <w:vAlign w:val="center"/>
                </w:tcPr>
                <w:p w14:paraId="0B0E0371">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台</w:t>
                  </w:r>
                </w:p>
              </w:tc>
              <w:tc>
                <w:tcPr>
                  <w:tcW w:w="1125" w:type="pct"/>
                  <w:tcBorders>
                    <w:tl2br w:val="nil"/>
                    <w:tr2bl w:val="nil"/>
                  </w:tcBorders>
                  <w:shd w:val="clear" w:color="auto" w:fill="auto"/>
                  <w:noWrap/>
                  <w:vAlign w:val="center"/>
                </w:tcPr>
                <w:p w14:paraId="49EA9437">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一次封闭后烘干</w:t>
                  </w:r>
                </w:p>
              </w:tc>
            </w:tr>
            <w:tr w14:paraId="3CB271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15" w:type="pct"/>
                  <w:tcBorders>
                    <w:tl2br w:val="nil"/>
                    <w:tr2bl w:val="nil"/>
                  </w:tcBorders>
                  <w:shd w:val="clear" w:color="auto" w:fill="auto"/>
                  <w:noWrap/>
                  <w:vAlign w:val="center"/>
                </w:tcPr>
                <w:p w14:paraId="47EA0D97">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10</w:t>
                  </w:r>
                </w:p>
              </w:tc>
              <w:tc>
                <w:tcPr>
                  <w:tcW w:w="1016" w:type="pct"/>
                  <w:tcBorders>
                    <w:tl2br w:val="nil"/>
                    <w:tr2bl w:val="nil"/>
                  </w:tcBorders>
                  <w:shd w:val="clear" w:color="auto" w:fill="auto"/>
                  <w:noWrap/>
                  <w:vAlign w:val="center"/>
                </w:tcPr>
                <w:p w14:paraId="534C3364">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干式喷漆房</w:t>
                  </w:r>
                </w:p>
              </w:tc>
              <w:tc>
                <w:tcPr>
                  <w:tcW w:w="1098" w:type="pct"/>
                  <w:tcBorders>
                    <w:tl2br w:val="nil"/>
                    <w:tr2bl w:val="nil"/>
                  </w:tcBorders>
                  <w:shd w:val="clear" w:color="auto" w:fill="auto"/>
                  <w:noWrap/>
                  <w:vAlign w:val="center"/>
                </w:tcPr>
                <w:p w14:paraId="17C12D70">
                  <w:pPr>
                    <w:adjustRightInd w:val="0"/>
                    <w:snapToGrid w:val="0"/>
                    <w:jc w:val="center"/>
                    <w:rPr>
                      <w:rFonts w:ascii="Times New Roman" w:hAnsi="Times New Roman" w:eastAsia="宋体" w:cs="Times New Roman"/>
                      <w:bCs/>
                      <w:szCs w:val="21"/>
                    </w:rPr>
                  </w:pPr>
                  <w:r>
                    <w:rPr>
                      <w:rFonts w:hint="eastAsia" w:ascii="Times New Roman" w:hAnsi="Times New Roman" w:cs="Times New Roman"/>
                      <w:szCs w:val="21"/>
                    </w:rPr>
                    <w:t>4m×7m×3m</w:t>
                  </w:r>
                </w:p>
              </w:tc>
              <w:tc>
                <w:tcPr>
                  <w:tcW w:w="419" w:type="pct"/>
                  <w:tcBorders>
                    <w:tl2br w:val="nil"/>
                    <w:tr2bl w:val="nil"/>
                  </w:tcBorders>
                  <w:shd w:val="clear" w:color="auto" w:fill="auto"/>
                  <w:noWrap/>
                  <w:vAlign w:val="center"/>
                </w:tcPr>
                <w:p w14:paraId="413C2FD5">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1座</w:t>
                  </w:r>
                </w:p>
              </w:tc>
              <w:tc>
                <w:tcPr>
                  <w:tcW w:w="473" w:type="pct"/>
                  <w:tcBorders>
                    <w:tl2br w:val="nil"/>
                    <w:tr2bl w:val="nil"/>
                  </w:tcBorders>
                  <w:shd w:val="clear" w:color="auto" w:fill="auto"/>
                  <w:noWrap/>
                  <w:vAlign w:val="center"/>
                </w:tcPr>
                <w:p w14:paraId="5DD4749E">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551" w:type="pct"/>
                  <w:tcBorders>
                    <w:tl2br w:val="nil"/>
                    <w:tr2bl w:val="nil"/>
                  </w:tcBorders>
                  <w:shd w:val="clear" w:color="auto" w:fill="auto"/>
                  <w:noWrap/>
                  <w:vAlign w:val="center"/>
                </w:tcPr>
                <w:p w14:paraId="52BC4907">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1座</w:t>
                  </w:r>
                </w:p>
              </w:tc>
              <w:tc>
                <w:tcPr>
                  <w:tcW w:w="1125" w:type="pct"/>
                  <w:tcBorders>
                    <w:tl2br w:val="nil"/>
                    <w:tr2bl w:val="nil"/>
                  </w:tcBorders>
                  <w:shd w:val="clear" w:color="auto" w:fill="auto"/>
                  <w:noWrap/>
                  <w:vAlign w:val="center"/>
                </w:tcPr>
                <w:p w14:paraId="2CF7E9A5">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二次封闭喷漆</w:t>
                  </w:r>
                </w:p>
              </w:tc>
            </w:tr>
            <w:tr w14:paraId="58ADC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15" w:type="pct"/>
                  <w:tcBorders>
                    <w:tl2br w:val="nil"/>
                    <w:tr2bl w:val="nil"/>
                  </w:tcBorders>
                  <w:shd w:val="clear" w:color="auto" w:fill="auto"/>
                  <w:noWrap/>
                  <w:vAlign w:val="center"/>
                </w:tcPr>
                <w:p w14:paraId="72739E7C">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11</w:t>
                  </w:r>
                </w:p>
              </w:tc>
              <w:tc>
                <w:tcPr>
                  <w:tcW w:w="1016" w:type="pct"/>
                  <w:tcBorders>
                    <w:tl2br w:val="nil"/>
                    <w:tr2bl w:val="nil"/>
                  </w:tcBorders>
                  <w:shd w:val="clear" w:color="auto" w:fill="auto"/>
                  <w:noWrap/>
                  <w:vAlign w:val="center"/>
                </w:tcPr>
                <w:p w14:paraId="0E3C190E">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固化房</w:t>
                  </w:r>
                </w:p>
              </w:tc>
              <w:tc>
                <w:tcPr>
                  <w:tcW w:w="1098" w:type="pct"/>
                  <w:tcBorders>
                    <w:tl2br w:val="nil"/>
                    <w:tr2bl w:val="nil"/>
                  </w:tcBorders>
                  <w:shd w:val="clear" w:color="auto" w:fill="auto"/>
                  <w:noWrap/>
                  <w:vAlign w:val="center"/>
                </w:tcPr>
                <w:p w14:paraId="06B03A6E">
                  <w:pPr>
                    <w:adjustRightInd w:val="0"/>
                    <w:snapToGrid w:val="0"/>
                    <w:jc w:val="center"/>
                    <w:rPr>
                      <w:rFonts w:ascii="Times New Roman" w:hAnsi="Times New Roman" w:eastAsia="宋体" w:cs="Times New Roman"/>
                      <w:bCs/>
                      <w:szCs w:val="21"/>
                    </w:rPr>
                  </w:pPr>
                  <w:r>
                    <w:rPr>
                      <w:rFonts w:hint="eastAsia" w:ascii="Times New Roman" w:hAnsi="Times New Roman" w:cs="Times New Roman"/>
                      <w:szCs w:val="21"/>
                    </w:rPr>
                    <w:t>2m×5m×3m</w:t>
                  </w:r>
                </w:p>
              </w:tc>
              <w:tc>
                <w:tcPr>
                  <w:tcW w:w="419" w:type="pct"/>
                  <w:tcBorders>
                    <w:tl2br w:val="nil"/>
                    <w:tr2bl w:val="nil"/>
                  </w:tcBorders>
                  <w:shd w:val="clear" w:color="auto" w:fill="auto"/>
                  <w:noWrap/>
                  <w:vAlign w:val="center"/>
                </w:tcPr>
                <w:p w14:paraId="73A3F4B4">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1座</w:t>
                  </w:r>
                </w:p>
              </w:tc>
              <w:tc>
                <w:tcPr>
                  <w:tcW w:w="473" w:type="pct"/>
                  <w:tcBorders>
                    <w:tl2br w:val="nil"/>
                    <w:tr2bl w:val="nil"/>
                  </w:tcBorders>
                  <w:shd w:val="clear" w:color="auto" w:fill="auto"/>
                  <w:noWrap/>
                  <w:vAlign w:val="center"/>
                </w:tcPr>
                <w:p w14:paraId="6FE06FCC">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551" w:type="pct"/>
                  <w:tcBorders>
                    <w:tl2br w:val="nil"/>
                    <w:tr2bl w:val="nil"/>
                  </w:tcBorders>
                  <w:shd w:val="clear" w:color="auto" w:fill="auto"/>
                  <w:noWrap/>
                  <w:vAlign w:val="center"/>
                </w:tcPr>
                <w:p w14:paraId="326A8F1F">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1座</w:t>
                  </w:r>
                </w:p>
              </w:tc>
              <w:tc>
                <w:tcPr>
                  <w:tcW w:w="1125" w:type="pct"/>
                  <w:tcBorders>
                    <w:tl2br w:val="nil"/>
                    <w:tr2bl w:val="nil"/>
                  </w:tcBorders>
                  <w:shd w:val="clear" w:color="auto" w:fill="auto"/>
                  <w:noWrap/>
                  <w:vAlign w:val="center"/>
                </w:tcPr>
                <w:p w14:paraId="366A481A">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喷漆后烘干</w:t>
                  </w:r>
                </w:p>
              </w:tc>
            </w:tr>
            <w:tr w14:paraId="15B33B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5" w:type="pct"/>
                  <w:tcBorders>
                    <w:tl2br w:val="nil"/>
                    <w:tr2bl w:val="nil"/>
                  </w:tcBorders>
                  <w:shd w:val="clear" w:color="auto" w:fill="auto"/>
                  <w:noWrap/>
                  <w:vAlign w:val="center"/>
                </w:tcPr>
                <w:p w14:paraId="457C0FE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12</w:t>
                  </w:r>
                </w:p>
              </w:tc>
              <w:tc>
                <w:tcPr>
                  <w:tcW w:w="1016" w:type="pct"/>
                  <w:tcBorders>
                    <w:tl2br w:val="nil"/>
                    <w:tr2bl w:val="nil"/>
                  </w:tcBorders>
                  <w:shd w:val="clear" w:color="auto" w:fill="auto"/>
                  <w:noWrap/>
                  <w:vAlign w:val="center"/>
                </w:tcPr>
                <w:p w14:paraId="744D7DD9">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干式自动喷漆设备（带烘干）</w:t>
                  </w:r>
                </w:p>
              </w:tc>
              <w:tc>
                <w:tcPr>
                  <w:tcW w:w="1098" w:type="pct"/>
                  <w:tcBorders>
                    <w:tl2br w:val="nil"/>
                    <w:tr2bl w:val="nil"/>
                  </w:tcBorders>
                  <w:shd w:val="clear" w:color="auto" w:fill="auto"/>
                  <w:noWrap/>
                  <w:vAlign w:val="center"/>
                </w:tcPr>
                <w:p w14:paraId="1A6A54B6">
                  <w:pPr>
                    <w:adjustRightInd w:val="0"/>
                    <w:snapToGrid w:val="0"/>
                    <w:jc w:val="center"/>
                    <w:rPr>
                      <w:rFonts w:ascii="Times New Roman" w:hAnsi="Times New Roman" w:cs="Times New Roman"/>
                      <w:szCs w:val="21"/>
                    </w:rPr>
                  </w:pPr>
                  <w:r>
                    <w:rPr>
                      <w:rFonts w:hint="eastAsia" w:ascii="Times New Roman" w:hAnsi="Times New Roman" w:cs="Times New Roman"/>
                      <w:szCs w:val="21"/>
                    </w:rPr>
                    <w:t>23.3*3.3m</w:t>
                  </w:r>
                </w:p>
              </w:tc>
              <w:tc>
                <w:tcPr>
                  <w:tcW w:w="419" w:type="pct"/>
                  <w:tcBorders>
                    <w:tl2br w:val="nil"/>
                    <w:tr2bl w:val="nil"/>
                  </w:tcBorders>
                  <w:shd w:val="clear" w:color="auto" w:fill="auto"/>
                  <w:noWrap/>
                  <w:vAlign w:val="center"/>
                </w:tcPr>
                <w:p w14:paraId="42A2D6D7">
                  <w:pPr>
                    <w:adjustRightInd w:val="0"/>
                    <w:snapToGrid w:val="0"/>
                    <w:jc w:val="center"/>
                    <w:rPr>
                      <w:rFonts w:ascii="Times New Roman" w:hAnsi="Times New Roman" w:eastAsia="宋体" w:cs="Times New Roman"/>
                      <w:bCs/>
                      <w:szCs w:val="21"/>
                    </w:rPr>
                  </w:pPr>
                </w:p>
              </w:tc>
              <w:tc>
                <w:tcPr>
                  <w:tcW w:w="473" w:type="pct"/>
                  <w:tcBorders>
                    <w:tl2br w:val="nil"/>
                    <w:tr2bl w:val="nil"/>
                  </w:tcBorders>
                  <w:shd w:val="clear" w:color="auto" w:fill="auto"/>
                  <w:noWrap/>
                  <w:vAlign w:val="center"/>
                </w:tcPr>
                <w:p w14:paraId="794CBF4F">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1台</w:t>
                  </w:r>
                </w:p>
              </w:tc>
              <w:tc>
                <w:tcPr>
                  <w:tcW w:w="551" w:type="pct"/>
                  <w:tcBorders>
                    <w:tl2br w:val="nil"/>
                    <w:tr2bl w:val="nil"/>
                  </w:tcBorders>
                  <w:shd w:val="clear" w:color="auto" w:fill="auto"/>
                  <w:noWrap/>
                  <w:vAlign w:val="center"/>
                </w:tcPr>
                <w:p w14:paraId="5B387890">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1台</w:t>
                  </w:r>
                </w:p>
              </w:tc>
              <w:tc>
                <w:tcPr>
                  <w:tcW w:w="1125" w:type="pct"/>
                  <w:tcBorders>
                    <w:tl2br w:val="nil"/>
                    <w:tr2bl w:val="nil"/>
                  </w:tcBorders>
                  <w:shd w:val="clear" w:color="auto" w:fill="auto"/>
                  <w:noWrap/>
                  <w:vAlign w:val="center"/>
                </w:tcPr>
                <w:p w14:paraId="275C948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自动喷漆（带烘干）</w:t>
                  </w:r>
                </w:p>
              </w:tc>
            </w:tr>
            <w:tr w14:paraId="3ACF4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15" w:type="pct"/>
                  <w:tcBorders>
                    <w:tl2br w:val="nil"/>
                    <w:tr2bl w:val="nil"/>
                  </w:tcBorders>
                  <w:shd w:val="clear" w:color="auto" w:fill="auto"/>
                  <w:noWrap/>
                  <w:vAlign w:val="center"/>
                </w:tcPr>
                <w:p w14:paraId="45BC99E0">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13</w:t>
                  </w:r>
                </w:p>
              </w:tc>
              <w:tc>
                <w:tcPr>
                  <w:tcW w:w="1016" w:type="pct"/>
                  <w:tcBorders>
                    <w:tl2br w:val="nil"/>
                    <w:tr2bl w:val="nil"/>
                  </w:tcBorders>
                  <w:shd w:val="clear" w:color="auto" w:fill="auto"/>
                  <w:noWrap/>
                  <w:vAlign w:val="center"/>
                </w:tcPr>
                <w:p w14:paraId="0EB9BC9D">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等离子油烟净化器</w:t>
                  </w:r>
                </w:p>
              </w:tc>
              <w:tc>
                <w:tcPr>
                  <w:tcW w:w="1098" w:type="pct"/>
                  <w:tcBorders>
                    <w:tl2br w:val="nil"/>
                    <w:tr2bl w:val="nil"/>
                  </w:tcBorders>
                  <w:shd w:val="clear" w:color="auto" w:fill="auto"/>
                  <w:noWrap/>
                  <w:vAlign w:val="center"/>
                </w:tcPr>
                <w:p w14:paraId="455E9F09">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419" w:type="pct"/>
                  <w:tcBorders>
                    <w:tl2br w:val="nil"/>
                    <w:tr2bl w:val="nil"/>
                  </w:tcBorders>
                  <w:shd w:val="clear" w:color="auto" w:fill="auto"/>
                  <w:noWrap/>
                  <w:vAlign w:val="center"/>
                </w:tcPr>
                <w:p w14:paraId="0E99D67E">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台</w:t>
                  </w:r>
                </w:p>
              </w:tc>
              <w:tc>
                <w:tcPr>
                  <w:tcW w:w="473" w:type="pct"/>
                  <w:tcBorders>
                    <w:tl2br w:val="nil"/>
                    <w:tr2bl w:val="nil"/>
                  </w:tcBorders>
                  <w:shd w:val="clear" w:color="auto" w:fill="auto"/>
                  <w:noWrap/>
                  <w:vAlign w:val="center"/>
                </w:tcPr>
                <w:p w14:paraId="280D724E">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551" w:type="pct"/>
                  <w:tcBorders>
                    <w:tl2br w:val="nil"/>
                    <w:tr2bl w:val="nil"/>
                  </w:tcBorders>
                  <w:shd w:val="clear" w:color="auto" w:fill="auto"/>
                  <w:noWrap/>
                  <w:vAlign w:val="center"/>
                </w:tcPr>
                <w:p w14:paraId="283E67FD">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台</w:t>
                  </w:r>
                </w:p>
              </w:tc>
              <w:tc>
                <w:tcPr>
                  <w:tcW w:w="1125" w:type="pct"/>
                  <w:vMerge w:val="restart"/>
                  <w:tcBorders>
                    <w:tl2br w:val="nil"/>
                    <w:tr2bl w:val="nil"/>
                  </w:tcBorders>
                  <w:shd w:val="clear" w:color="auto" w:fill="auto"/>
                  <w:noWrap/>
                  <w:vAlign w:val="center"/>
                </w:tcPr>
                <w:p w14:paraId="1707DF4F">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碳化除油工序废气处理装置</w:t>
                  </w:r>
                </w:p>
              </w:tc>
            </w:tr>
            <w:tr w14:paraId="384AEC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15" w:type="pct"/>
                  <w:tcBorders>
                    <w:tl2br w:val="nil"/>
                    <w:tr2bl w:val="nil"/>
                  </w:tcBorders>
                  <w:shd w:val="clear" w:color="auto" w:fill="auto"/>
                  <w:noWrap/>
                  <w:vAlign w:val="center"/>
                </w:tcPr>
                <w:p w14:paraId="58AC6A4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14</w:t>
                  </w:r>
                </w:p>
              </w:tc>
              <w:tc>
                <w:tcPr>
                  <w:tcW w:w="1016" w:type="pct"/>
                  <w:tcBorders>
                    <w:tl2br w:val="nil"/>
                    <w:tr2bl w:val="nil"/>
                  </w:tcBorders>
                  <w:shd w:val="clear" w:color="auto" w:fill="auto"/>
                  <w:noWrap/>
                  <w:vAlign w:val="center"/>
                </w:tcPr>
                <w:p w14:paraId="59A04D1B">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风机</w:t>
                  </w:r>
                </w:p>
              </w:tc>
              <w:tc>
                <w:tcPr>
                  <w:tcW w:w="1098" w:type="pct"/>
                  <w:tcBorders>
                    <w:tl2br w:val="nil"/>
                    <w:tr2bl w:val="nil"/>
                  </w:tcBorders>
                  <w:shd w:val="clear" w:color="auto" w:fill="auto"/>
                  <w:noWrap/>
                  <w:vAlign w:val="center"/>
                </w:tcPr>
                <w:p w14:paraId="220A18CB">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419" w:type="pct"/>
                  <w:tcBorders>
                    <w:tl2br w:val="nil"/>
                    <w:tr2bl w:val="nil"/>
                  </w:tcBorders>
                  <w:shd w:val="clear" w:color="auto" w:fill="auto"/>
                  <w:noWrap/>
                  <w:vAlign w:val="center"/>
                </w:tcPr>
                <w:p w14:paraId="4537AAB8">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台</w:t>
                  </w:r>
                </w:p>
              </w:tc>
              <w:tc>
                <w:tcPr>
                  <w:tcW w:w="473" w:type="pct"/>
                  <w:tcBorders>
                    <w:tl2br w:val="nil"/>
                    <w:tr2bl w:val="nil"/>
                  </w:tcBorders>
                  <w:shd w:val="clear" w:color="auto" w:fill="auto"/>
                  <w:noWrap/>
                  <w:vAlign w:val="center"/>
                </w:tcPr>
                <w:p w14:paraId="534B610D">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551" w:type="pct"/>
                  <w:tcBorders>
                    <w:tl2br w:val="nil"/>
                    <w:tr2bl w:val="nil"/>
                  </w:tcBorders>
                  <w:shd w:val="clear" w:color="auto" w:fill="auto"/>
                  <w:noWrap/>
                  <w:vAlign w:val="center"/>
                </w:tcPr>
                <w:p w14:paraId="62DF4CC4">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台</w:t>
                  </w:r>
                </w:p>
              </w:tc>
              <w:tc>
                <w:tcPr>
                  <w:tcW w:w="1125" w:type="pct"/>
                  <w:vMerge w:val="continue"/>
                  <w:tcBorders>
                    <w:tl2br w:val="nil"/>
                    <w:tr2bl w:val="nil"/>
                  </w:tcBorders>
                  <w:shd w:val="clear" w:color="auto" w:fill="auto"/>
                  <w:noWrap/>
                  <w:vAlign w:val="center"/>
                </w:tcPr>
                <w:p w14:paraId="1FAA5F9A">
                  <w:pPr>
                    <w:adjustRightInd w:val="0"/>
                    <w:snapToGrid w:val="0"/>
                    <w:jc w:val="center"/>
                    <w:rPr>
                      <w:rFonts w:ascii="Times New Roman" w:hAnsi="Times New Roman" w:eastAsia="宋体" w:cs="Times New Roman"/>
                      <w:szCs w:val="21"/>
                    </w:rPr>
                  </w:pPr>
                </w:p>
              </w:tc>
            </w:tr>
            <w:tr w14:paraId="5C9178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15" w:type="pct"/>
                  <w:tcBorders>
                    <w:tl2br w:val="nil"/>
                    <w:tr2bl w:val="nil"/>
                  </w:tcBorders>
                  <w:shd w:val="clear" w:color="auto" w:fill="auto"/>
                  <w:noWrap/>
                  <w:vAlign w:val="center"/>
                </w:tcPr>
                <w:p w14:paraId="74365EFA">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15</w:t>
                  </w:r>
                </w:p>
              </w:tc>
              <w:tc>
                <w:tcPr>
                  <w:tcW w:w="1016" w:type="pct"/>
                  <w:tcBorders>
                    <w:tl2br w:val="nil"/>
                    <w:tr2bl w:val="nil"/>
                  </w:tcBorders>
                  <w:shd w:val="clear" w:color="auto" w:fill="auto"/>
                  <w:noWrap/>
                  <w:vAlign w:val="center"/>
                </w:tcPr>
                <w:p w14:paraId="1467157F">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脉冲布袋除尘器</w:t>
                  </w:r>
                </w:p>
              </w:tc>
              <w:tc>
                <w:tcPr>
                  <w:tcW w:w="1098" w:type="pct"/>
                  <w:tcBorders>
                    <w:tl2br w:val="nil"/>
                    <w:tr2bl w:val="nil"/>
                  </w:tcBorders>
                  <w:shd w:val="clear" w:color="auto" w:fill="auto"/>
                  <w:noWrap/>
                  <w:vAlign w:val="center"/>
                </w:tcPr>
                <w:p w14:paraId="2910BD4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419" w:type="pct"/>
                  <w:tcBorders>
                    <w:tl2br w:val="nil"/>
                    <w:tr2bl w:val="nil"/>
                  </w:tcBorders>
                  <w:shd w:val="clear" w:color="auto" w:fill="auto"/>
                  <w:noWrap/>
                  <w:vAlign w:val="center"/>
                </w:tcPr>
                <w:p w14:paraId="146DD86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bCs/>
                      <w:szCs w:val="21"/>
                    </w:rPr>
                    <w:t>台</w:t>
                  </w:r>
                </w:p>
              </w:tc>
              <w:tc>
                <w:tcPr>
                  <w:tcW w:w="473" w:type="pct"/>
                  <w:tcBorders>
                    <w:tl2br w:val="nil"/>
                    <w:tr2bl w:val="nil"/>
                  </w:tcBorders>
                  <w:shd w:val="clear" w:color="auto" w:fill="auto"/>
                  <w:noWrap/>
                  <w:vAlign w:val="center"/>
                </w:tcPr>
                <w:p w14:paraId="271B41D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551" w:type="pct"/>
                  <w:tcBorders>
                    <w:tl2br w:val="nil"/>
                    <w:tr2bl w:val="nil"/>
                  </w:tcBorders>
                  <w:shd w:val="clear" w:color="auto" w:fill="auto"/>
                  <w:noWrap/>
                  <w:vAlign w:val="center"/>
                </w:tcPr>
                <w:p w14:paraId="53C896AA">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bCs/>
                      <w:szCs w:val="21"/>
                    </w:rPr>
                    <w:t>台</w:t>
                  </w:r>
                </w:p>
              </w:tc>
              <w:tc>
                <w:tcPr>
                  <w:tcW w:w="1125" w:type="pct"/>
                  <w:vMerge w:val="restart"/>
                  <w:tcBorders>
                    <w:tl2br w:val="nil"/>
                    <w:tr2bl w:val="nil"/>
                  </w:tcBorders>
                  <w:shd w:val="clear" w:color="auto" w:fill="auto"/>
                  <w:noWrap/>
                  <w:vAlign w:val="center"/>
                </w:tcPr>
                <w:p w14:paraId="4DBC0B3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抛丸工序、分离工序、喷砂工序废气处理装置</w:t>
                  </w:r>
                </w:p>
              </w:tc>
            </w:tr>
            <w:tr w14:paraId="57DA49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15" w:type="pct"/>
                  <w:tcBorders>
                    <w:tl2br w:val="nil"/>
                    <w:tr2bl w:val="nil"/>
                  </w:tcBorders>
                  <w:shd w:val="clear" w:color="auto" w:fill="auto"/>
                  <w:noWrap/>
                  <w:vAlign w:val="center"/>
                </w:tcPr>
                <w:p w14:paraId="7073A706">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16</w:t>
                  </w:r>
                </w:p>
              </w:tc>
              <w:tc>
                <w:tcPr>
                  <w:tcW w:w="1016" w:type="pct"/>
                  <w:tcBorders>
                    <w:tl2br w:val="nil"/>
                    <w:tr2bl w:val="nil"/>
                  </w:tcBorders>
                  <w:shd w:val="clear" w:color="auto" w:fill="auto"/>
                  <w:noWrap/>
                  <w:vAlign w:val="center"/>
                </w:tcPr>
                <w:p w14:paraId="644E7343">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bCs/>
                      <w:szCs w:val="21"/>
                    </w:rPr>
                    <w:t>风机</w:t>
                  </w:r>
                </w:p>
              </w:tc>
              <w:tc>
                <w:tcPr>
                  <w:tcW w:w="1098" w:type="pct"/>
                  <w:tcBorders>
                    <w:tl2br w:val="nil"/>
                    <w:tr2bl w:val="nil"/>
                  </w:tcBorders>
                  <w:shd w:val="clear" w:color="auto" w:fill="auto"/>
                  <w:noWrap/>
                  <w:vAlign w:val="center"/>
                </w:tcPr>
                <w:p w14:paraId="6B96D6AD">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419" w:type="pct"/>
                  <w:tcBorders>
                    <w:tl2br w:val="nil"/>
                    <w:tr2bl w:val="nil"/>
                  </w:tcBorders>
                  <w:shd w:val="clear" w:color="auto" w:fill="auto"/>
                  <w:noWrap/>
                  <w:vAlign w:val="center"/>
                </w:tcPr>
                <w:p w14:paraId="204826F4">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台</w:t>
                  </w:r>
                </w:p>
              </w:tc>
              <w:tc>
                <w:tcPr>
                  <w:tcW w:w="473" w:type="pct"/>
                  <w:tcBorders>
                    <w:tl2br w:val="nil"/>
                    <w:tr2bl w:val="nil"/>
                  </w:tcBorders>
                  <w:shd w:val="clear" w:color="auto" w:fill="auto"/>
                  <w:noWrap/>
                  <w:vAlign w:val="center"/>
                </w:tcPr>
                <w:p w14:paraId="3E277E82">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szCs w:val="21"/>
                    </w:rPr>
                    <w:t>/</w:t>
                  </w:r>
                </w:p>
              </w:tc>
              <w:tc>
                <w:tcPr>
                  <w:tcW w:w="551" w:type="pct"/>
                  <w:tcBorders>
                    <w:tl2br w:val="nil"/>
                    <w:tr2bl w:val="nil"/>
                  </w:tcBorders>
                  <w:shd w:val="clear" w:color="auto" w:fill="auto"/>
                  <w:noWrap/>
                  <w:vAlign w:val="center"/>
                </w:tcPr>
                <w:p w14:paraId="222FA77D">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台</w:t>
                  </w:r>
                </w:p>
              </w:tc>
              <w:tc>
                <w:tcPr>
                  <w:tcW w:w="1125" w:type="pct"/>
                  <w:vMerge w:val="continue"/>
                  <w:tcBorders>
                    <w:tl2br w:val="nil"/>
                    <w:tr2bl w:val="nil"/>
                  </w:tcBorders>
                  <w:shd w:val="clear" w:color="auto" w:fill="auto"/>
                  <w:noWrap/>
                  <w:vAlign w:val="center"/>
                </w:tcPr>
                <w:p w14:paraId="73DEA5CC">
                  <w:pPr>
                    <w:adjustRightInd w:val="0"/>
                    <w:snapToGrid w:val="0"/>
                    <w:jc w:val="center"/>
                    <w:rPr>
                      <w:rFonts w:ascii="Times New Roman" w:hAnsi="Times New Roman" w:eastAsia="宋体" w:cs="Times New Roman"/>
                      <w:szCs w:val="21"/>
                    </w:rPr>
                  </w:pPr>
                </w:p>
              </w:tc>
            </w:tr>
            <w:tr w14:paraId="7808CD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15" w:type="pct"/>
                  <w:tcBorders>
                    <w:tl2br w:val="nil"/>
                    <w:tr2bl w:val="nil"/>
                  </w:tcBorders>
                  <w:shd w:val="clear" w:color="auto" w:fill="auto"/>
                  <w:noWrap/>
                  <w:vAlign w:val="center"/>
                </w:tcPr>
                <w:p w14:paraId="1CA89FE0">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17</w:t>
                  </w:r>
                </w:p>
              </w:tc>
              <w:tc>
                <w:tcPr>
                  <w:tcW w:w="1016" w:type="pct"/>
                  <w:tcBorders>
                    <w:tl2br w:val="nil"/>
                    <w:tr2bl w:val="nil"/>
                  </w:tcBorders>
                  <w:shd w:val="clear" w:color="auto" w:fill="auto"/>
                  <w:noWrap/>
                  <w:vAlign w:val="center"/>
                </w:tcPr>
                <w:p w14:paraId="6705850C">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二级活性炭吸附装置</w:t>
                  </w:r>
                </w:p>
              </w:tc>
              <w:tc>
                <w:tcPr>
                  <w:tcW w:w="1098" w:type="pct"/>
                  <w:tcBorders>
                    <w:tl2br w:val="nil"/>
                    <w:tr2bl w:val="nil"/>
                  </w:tcBorders>
                  <w:shd w:val="clear" w:color="auto" w:fill="auto"/>
                  <w:noWrap/>
                  <w:vAlign w:val="center"/>
                </w:tcPr>
                <w:p w14:paraId="72887A76">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419" w:type="pct"/>
                  <w:tcBorders>
                    <w:tl2br w:val="nil"/>
                    <w:tr2bl w:val="nil"/>
                  </w:tcBorders>
                  <w:shd w:val="clear" w:color="auto" w:fill="auto"/>
                  <w:noWrap/>
                  <w:vAlign w:val="center"/>
                </w:tcPr>
                <w:p w14:paraId="77166395">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1套</w:t>
                  </w:r>
                </w:p>
              </w:tc>
              <w:tc>
                <w:tcPr>
                  <w:tcW w:w="473" w:type="pct"/>
                  <w:tcBorders>
                    <w:tl2br w:val="nil"/>
                    <w:tr2bl w:val="nil"/>
                  </w:tcBorders>
                  <w:shd w:val="clear" w:color="auto" w:fill="auto"/>
                  <w:noWrap/>
                  <w:vAlign w:val="center"/>
                </w:tcPr>
                <w:p w14:paraId="0B29F7A2">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1套</w:t>
                  </w:r>
                </w:p>
              </w:tc>
              <w:tc>
                <w:tcPr>
                  <w:tcW w:w="551" w:type="pct"/>
                  <w:tcBorders>
                    <w:tl2br w:val="nil"/>
                    <w:tr2bl w:val="nil"/>
                  </w:tcBorders>
                  <w:shd w:val="clear" w:color="auto" w:fill="auto"/>
                  <w:noWrap/>
                  <w:vAlign w:val="center"/>
                </w:tcPr>
                <w:p w14:paraId="366E34B5">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2套</w:t>
                  </w:r>
                </w:p>
              </w:tc>
              <w:tc>
                <w:tcPr>
                  <w:tcW w:w="1125" w:type="pct"/>
                  <w:vMerge w:val="restart"/>
                  <w:tcBorders>
                    <w:tl2br w:val="nil"/>
                    <w:tr2bl w:val="nil"/>
                  </w:tcBorders>
                  <w:shd w:val="clear" w:color="auto" w:fill="auto"/>
                  <w:noWrap/>
                  <w:vAlign w:val="center"/>
                </w:tcPr>
                <w:p w14:paraId="6E396CAD">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有机废气处理装置</w:t>
                  </w:r>
                </w:p>
              </w:tc>
            </w:tr>
            <w:tr w14:paraId="759B7E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15" w:type="pct"/>
                  <w:tcBorders>
                    <w:tl2br w:val="nil"/>
                    <w:tr2bl w:val="nil"/>
                  </w:tcBorders>
                  <w:shd w:val="clear" w:color="auto" w:fill="auto"/>
                  <w:noWrap/>
                  <w:vAlign w:val="center"/>
                </w:tcPr>
                <w:p w14:paraId="1120C0C2">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18</w:t>
                  </w:r>
                </w:p>
              </w:tc>
              <w:tc>
                <w:tcPr>
                  <w:tcW w:w="1016" w:type="pct"/>
                  <w:tcBorders>
                    <w:tl2br w:val="nil"/>
                    <w:tr2bl w:val="nil"/>
                  </w:tcBorders>
                  <w:shd w:val="clear" w:color="auto" w:fill="auto"/>
                  <w:noWrap/>
                  <w:vAlign w:val="center"/>
                </w:tcPr>
                <w:p w14:paraId="31DA5AAD">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bCs/>
                      <w:szCs w:val="21"/>
                    </w:rPr>
                    <w:t>风机</w:t>
                  </w:r>
                </w:p>
              </w:tc>
              <w:tc>
                <w:tcPr>
                  <w:tcW w:w="1098" w:type="pct"/>
                  <w:tcBorders>
                    <w:tl2br w:val="nil"/>
                    <w:tr2bl w:val="nil"/>
                  </w:tcBorders>
                  <w:shd w:val="clear" w:color="auto" w:fill="auto"/>
                  <w:noWrap/>
                  <w:vAlign w:val="center"/>
                </w:tcPr>
                <w:p w14:paraId="01C926F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419" w:type="pct"/>
                  <w:tcBorders>
                    <w:tl2br w:val="nil"/>
                    <w:tr2bl w:val="nil"/>
                  </w:tcBorders>
                  <w:shd w:val="clear" w:color="auto" w:fill="auto"/>
                  <w:noWrap/>
                  <w:vAlign w:val="center"/>
                </w:tcPr>
                <w:p w14:paraId="1826942F">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bCs/>
                      <w:szCs w:val="21"/>
                    </w:rPr>
                    <w:t>台</w:t>
                  </w:r>
                </w:p>
              </w:tc>
              <w:tc>
                <w:tcPr>
                  <w:tcW w:w="473" w:type="pct"/>
                  <w:tcBorders>
                    <w:tl2br w:val="nil"/>
                    <w:tr2bl w:val="nil"/>
                  </w:tcBorders>
                  <w:shd w:val="clear" w:color="auto" w:fill="auto"/>
                  <w:noWrap/>
                  <w:vAlign w:val="center"/>
                </w:tcPr>
                <w:p w14:paraId="553F5BDD">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bCs/>
                      <w:szCs w:val="21"/>
                    </w:rPr>
                    <w:t>台</w:t>
                  </w:r>
                </w:p>
              </w:tc>
              <w:tc>
                <w:tcPr>
                  <w:tcW w:w="551" w:type="pct"/>
                  <w:tcBorders>
                    <w:tl2br w:val="nil"/>
                    <w:tr2bl w:val="nil"/>
                  </w:tcBorders>
                  <w:shd w:val="clear" w:color="auto" w:fill="auto"/>
                  <w:noWrap/>
                  <w:vAlign w:val="center"/>
                </w:tcPr>
                <w:p w14:paraId="37CE31D6">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bCs/>
                      <w:szCs w:val="21"/>
                    </w:rPr>
                    <w:t>台</w:t>
                  </w:r>
                </w:p>
              </w:tc>
              <w:tc>
                <w:tcPr>
                  <w:tcW w:w="1125" w:type="pct"/>
                  <w:vMerge w:val="continue"/>
                  <w:tcBorders>
                    <w:tl2br w:val="nil"/>
                    <w:tr2bl w:val="nil"/>
                  </w:tcBorders>
                  <w:shd w:val="clear" w:color="auto" w:fill="auto"/>
                  <w:noWrap/>
                  <w:vAlign w:val="center"/>
                </w:tcPr>
                <w:p w14:paraId="41B3182F">
                  <w:pPr>
                    <w:adjustRightInd w:val="0"/>
                    <w:snapToGrid w:val="0"/>
                    <w:jc w:val="center"/>
                    <w:rPr>
                      <w:rFonts w:ascii="Times New Roman" w:hAnsi="Times New Roman" w:eastAsia="宋体" w:cs="Times New Roman"/>
                      <w:szCs w:val="21"/>
                    </w:rPr>
                  </w:pPr>
                </w:p>
              </w:tc>
            </w:tr>
          </w:tbl>
          <w:p w14:paraId="374424C2">
            <w:pPr>
              <w:adjustRightInd w:val="0"/>
              <w:snapToGrid w:val="0"/>
              <w:spacing w:line="360" w:lineRule="auto"/>
              <w:ind w:firstLine="470" w:firstLineChars="200"/>
              <w:rPr>
                <w:rFonts w:ascii="Times New Roman" w:hAnsi="Times New Roman" w:cs="Times New Roman"/>
                <w:b/>
                <w:bCs/>
                <w:spacing w:val="-3"/>
                <w:sz w:val="24"/>
                <w:lang w:bidi="zh-CN"/>
              </w:rPr>
            </w:pPr>
            <w:commentRangeStart w:id="8"/>
            <w:commentRangeStart w:id="9"/>
            <w:r>
              <w:rPr>
                <w:rFonts w:ascii="Times New Roman" w:hAnsi="Times New Roman" w:cs="Times New Roman"/>
                <w:b/>
                <w:bCs/>
                <w:spacing w:val="-3"/>
                <w:sz w:val="24"/>
                <w:lang w:bidi="zh-CN"/>
              </w:rPr>
              <w:t>5、原辅材料及能源消耗</w:t>
            </w:r>
            <w:commentRangeEnd w:id="8"/>
            <w:r>
              <w:commentReference w:id="8"/>
            </w:r>
            <w:commentRangeEnd w:id="9"/>
            <w:r>
              <w:commentReference w:id="9"/>
            </w:r>
          </w:p>
          <w:p w14:paraId="568877E7">
            <w:pPr>
              <w:pStyle w:val="21"/>
              <w:widowControl w:val="0"/>
              <w:autoSpaceDE w:val="0"/>
              <w:autoSpaceDN w:val="0"/>
              <w:adjustRightInd w:val="0"/>
              <w:snapToGrid w:val="0"/>
              <w:spacing w:beforeAutospacing="0" w:afterAutospacing="0" w:line="360" w:lineRule="auto"/>
              <w:ind w:firstLine="468" w:firstLineChars="200"/>
              <w:rPr>
                <w:rFonts w:hint="default" w:ascii="Times New Roman" w:hAnsi="Times New Roman" w:eastAsiaTheme="minorEastAsia"/>
                <w:spacing w:val="-3"/>
                <w:kern w:val="2"/>
                <w:szCs w:val="24"/>
                <w:lang w:bidi="zh-CN"/>
              </w:rPr>
            </w:pPr>
            <w:r>
              <w:rPr>
                <w:rFonts w:hint="default" w:ascii="Times New Roman" w:hAnsi="Times New Roman" w:eastAsiaTheme="minorEastAsia"/>
                <w:spacing w:val="-3"/>
                <w:kern w:val="2"/>
                <w:szCs w:val="24"/>
                <w:lang w:bidi="zh-CN"/>
              </w:rPr>
              <w:t>本项目主要原料具体用量及规格见下表。</w:t>
            </w:r>
          </w:p>
          <w:p w14:paraId="1A57350D">
            <w:pPr>
              <w:adjustRightInd w:val="0"/>
              <w:snapToGrid w:val="0"/>
              <w:jc w:val="center"/>
              <w:rPr>
                <w:rFonts w:ascii="Times New Roman" w:hAnsi="Times New Roman" w:cs="Times New Roman"/>
                <w:b/>
                <w:spacing w:val="-3"/>
                <w:szCs w:val="21"/>
                <w:lang w:bidi="zh-CN"/>
              </w:rPr>
            </w:pPr>
            <w:r>
              <w:rPr>
                <w:rFonts w:ascii="Times New Roman" w:hAnsi="Times New Roman" w:cs="Times New Roman"/>
                <w:b/>
                <w:szCs w:val="21"/>
                <w:lang w:eastAsia="zh-TW"/>
              </w:rPr>
              <w:t>表</w:t>
            </w:r>
            <w:r>
              <w:rPr>
                <w:rFonts w:ascii="Times New Roman" w:hAnsi="Times New Roman" w:cs="Times New Roman"/>
                <w:b/>
                <w:szCs w:val="21"/>
              </w:rPr>
              <w:t>2-</w:t>
            </w:r>
            <w:r>
              <w:rPr>
                <w:rFonts w:hint="eastAsia" w:ascii="Times New Roman" w:hAnsi="Times New Roman" w:cs="Times New Roman"/>
                <w:b/>
                <w:szCs w:val="21"/>
              </w:rPr>
              <w:t>6</w:t>
            </w:r>
            <w:r>
              <w:rPr>
                <w:rFonts w:ascii="Times New Roman" w:hAnsi="Times New Roman" w:cs="Times New Roman"/>
                <w:b/>
                <w:szCs w:val="21"/>
                <w:lang w:eastAsia="zh-TW"/>
              </w:rPr>
              <w:t xml:space="preserve"> </w:t>
            </w:r>
            <w:r>
              <w:rPr>
                <w:rFonts w:hint="eastAsia" w:ascii="Times New Roman" w:hAnsi="Times New Roman" w:cs="Times New Roman"/>
                <w:b/>
                <w:szCs w:val="21"/>
              </w:rPr>
              <w:t xml:space="preserve"> 扩建项目新增</w:t>
            </w:r>
            <w:r>
              <w:rPr>
                <w:rFonts w:ascii="Times New Roman" w:hAnsi="Times New Roman" w:cs="Times New Roman"/>
                <w:b/>
                <w:szCs w:val="21"/>
                <w:lang w:eastAsia="zh-TW"/>
              </w:rPr>
              <w:t>原辅材料消耗</w:t>
            </w:r>
            <w:r>
              <w:rPr>
                <w:rFonts w:ascii="Times New Roman" w:hAnsi="Times New Roman" w:cs="Times New Roman"/>
                <w:b/>
                <w:szCs w:val="21"/>
              </w:rPr>
              <w:t>一览表</w:t>
            </w:r>
          </w:p>
          <w:tbl>
            <w:tblPr>
              <w:tblStyle w:val="26"/>
              <w:tblpPr w:leftFromText="180" w:rightFromText="180" w:vertAnchor="text" w:horzAnchor="page" w:tblpX="74" w:tblpY="262"/>
              <w:tblOverlap w:val="never"/>
              <w:tblW w:w="865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3"/>
              <w:gridCol w:w="1299"/>
              <w:gridCol w:w="1015"/>
              <w:gridCol w:w="1160"/>
              <w:gridCol w:w="1160"/>
              <w:gridCol w:w="1160"/>
              <w:gridCol w:w="762"/>
              <w:gridCol w:w="1501"/>
            </w:tblGrid>
            <w:tr w14:paraId="677956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93" w:type="dxa"/>
                  <w:tcBorders>
                    <w:tl2br w:val="nil"/>
                    <w:tr2bl w:val="nil"/>
                  </w:tcBorders>
                  <w:shd w:val="clear" w:color="auto" w:fill="auto"/>
                  <w:noWrap/>
                  <w:vAlign w:val="center"/>
                </w:tcPr>
                <w:p w14:paraId="72DC0593">
                  <w:pPr>
                    <w:adjustRightInd w:val="0"/>
                    <w:snapToGrid w:val="0"/>
                    <w:jc w:val="center"/>
                    <w:rPr>
                      <w:rFonts w:ascii="Times New Roman" w:hAnsi="Times New Roman" w:eastAsia="宋体" w:cs="Times New Roman"/>
                      <w:b/>
                      <w:bCs/>
                      <w:szCs w:val="21"/>
                    </w:rPr>
                  </w:pPr>
                  <w:bookmarkStart w:id="23" w:name="_GoBack"/>
                  <w:r>
                    <w:rPr>
                      <w:rFonts w:ascii="Times New Roman" w:hAnsi="Times New Roman" w:eastAsia="宋体" w:cs="Times New Roman"/>
                      <w:b/>
                      <w:bCs/>
                      <w:szCs w:val="21"/>
                    </w:rPr>
                    <w:t>序号</w:t>
                  </w:r>
                </w:p>
              </w:tc>
              <w:tc>
                <w:tcPr>
                  <w:tcW w:w="1299" w:type="dxa"/>
                  <w:tcBorders>
                    <w:tl2br w:val="nil"/>
                    <w:tr2bl w:val="nil"/>
                  </w:tcBorders>
                  <w:shd w:val="clear" w:color="auto" w:fill="auto"/>
                  <w:noWrap/>
                  <w:vAlign w:val="center"/>
                </w:tcPr>
                <w:p w14:paraId="347975BE">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名称</w:t>
                  </w:r>
                </w:p>
              </w:tc>
              <w:tc>
                <w:tcPr>
                  <w:tcW w:w="1015" w:type="dxa"/>
                  <w:tcBorders>
                    <w:tl2br w:val="nil"/>
                    <w:tr2bl w:val="nil"/>
                  </w:tcBorders>
                  <w:shd w:val="clear" w:color="auto" w:fill="auto"/>
                  <w:noWrap/>
                  <w:vAlign w:val="center"/>
                </w:tcPr>
                <w:p w14:paraId="10C17B05">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最大储存量</w:t>
                  </w:r>
                  <w:r>
                    <w:rPr>
                      <w:rFonts w:hint="eastAsia" w:ascii="Times New Roman" w:hAnsi="Times New Roman" w:eastAsia="宋体" w:cs="Times New Roman"/>
                      <w:b/>
                      <w:bCs/>
                      <w:szCs w:val="21"/>
                    </w:rPr>
                    <w:t>（t）</w:t>
                  </w:r>
                </w:p>
              </w:tc>
              <w:tc>
                <w:tcPr>
                  <w:tcW w:w="1160" w:type="dxa"/>
                  <w:tcBorders>
                    <w:tl2br w:val="nil"/>
                    <w:tr2bl w:val="nil"/>
                  </w:tcBorders>
                  <w:shd w:val="clear" w:color="auto" w:fill="auto"/>
                  <w:noWrap/>
                  <w:vAlign w:val="center"/>
                </w:tcPr>
                <w:p w14:paraId="1F0CF73A">
                  <w:pPr>
                    <w:adjustRightInd w:val="0"/>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扩建前</w:t>
                  </w:r>
                  <w:r>
                    <w:rPr>
                      <w:rFonts w:ascii="Times New Roman" w:hAnsi="Times New Roman" w:eastAsia="宋体" w:cs="Times New Roman"/>
                      <w:b/>
                      <w:bCs/>
                      <w:szCs w:val="21"/>
                    </w:rPr>
                    <w:t>数量</w:t>
                  </w:r>
                  <w:r>
                    <w:rPr>
                      <w:rFonts w:hint="eastAsia" w:ascii="Times New Roman" w:hAnsi="Times New Roman" w:eastAsia="宋体" w:cs="Times New Roman"/>
                      <w:b/>
                      <w:bCs/>
                      <w:szCs w:val="21"/>
                    </w:rPr>
                    <w:t>（</w:t>
                  </w:r>
                  <w:r>
                    <w:rPr>
                      <w:rFonts w:ascii="Times New Roman" w:hAnsi="Times New Roman" w:eastAsia="宋体" w:cs="Times New Roman"/>
                      <w:b/>
                      <w:bCs/>
                      <w:szCs w:val="21"/>
                    </w:rPr>
                    <w:t>t/a</w:t>
                  </w:r>
                  <w:r>
                    <w:rPr>
                      <w:rFonts w:hint="eastAsia" w:ascii="Times New Roman" w:hAnsi="Times New Roman" w:eastAsia="宋体" w:cs="Times New Roman"/>
                      <w:b/>
                      <w:bCs/>
                      <w:szCs w:val="21"/>
                    </w:rPr>
                    <w:t>）</w:t>
                  </w:r>
                </w:p>
              </w:tc>
              <w:tc>
                <w:tcPr>
                  <w:tcW w:w="1160" w:type="dxa"/>
                  <w:tcBorders>
                    <w:tl2br w:val="nil"/>
                    <w:tr2bl w:val="nil"/>
                  </w:tcBorders>
                  <w:shd w:val="clear" w:color="auto" w:fill="auto"/>
                  <w:noWrap/>
                  <w:vAlign w:val="center"/>
                </w:tcPr>
                <w:p w14:paraId="0A7566F5">
                  <w:pPr>
                    <w:adjustRightInd w:val="0"/>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本项目数量（</w:t>
                  </w:r>
                  <w:r>
                    <w:rPr>
                      <w:rFonts w:ascii="Times New Roman" w:hAnsi="Times New Roman" w:eastAsia="宋体" w:cs="Times New Roman"/>
                      <w:b/>
                      <w:bCs/>
                      <w:szCs w:val="21"/>
                    </w:rPr>
                    <w:t>t/a</w:t>
                  </w:r>
                  <w:r>
                    <w:rPr>
                      <w:rFonts w:hint="eastAsia" w:ascii="Times New Roman" w:hAnsi="Times New Roman" w:eastAsia="宋体" w:cs="Times New Roman"/>
                      <w:b/>
                      <w:bCs/>
                      <w:szCs w:val="21"/>
                    </w:rPr>
                    <w:t>）</w:t>
                  </w:r>
                </w:p>
              </w:tc>
              <w:tc>
                <w:tcPr>
                  <w:tcW w:w="1160" w:type="dxa"/>
                  <w:tcBorders>
                    <w:tl2br w:val="nil"/>
                    <w:tr2bl w:val="nil"/>
                  </w:tcBorders>
                  <w:shd w:val="clear" w:color="auto" w:fill="auto"/>
                  <w:noWrap/>
                  <w:vAlign w:val="center"/>
                </w:tcPr>
                <w:p w14:paraId="305DA755">
                  <w:pPr>
                    <w:adjustRightInd w:val="0"/>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扩建后数量（</w:t>
                  </w:r>
                  <w:r>
                    <w:rPr>
                      <w:rFonts w:ascii="Times New Roman" w:hAnsi="Times New Roman" w:eastAsia="宋体" w:cs="Times New Roman"/>
                      <w:b/>
                      <w:bCs/>
                      <w:szCs w:val="21"/>
                    </w:rPr>
                    <w:t>t/a</w:t>
                  </w:r>
                  <w:r>
                    <w:rPr>
                      <w:rFonts w:hint="eastAsia" w:ascii="Times New Roman" w:hAnsi="Times New Roman" w:eastAsia="宋体" w:cs="Times New Roman"/>
                      <w:b/>
                      <w:bCs/>
                      <w:szCs w:val="21"/>
                    </w:rPr>
                    <w:t>）</w:t>
                  </w:r>
                </w:p>
              </w:tc>
              <w:tc>
                <w:tcPr>
                  <w:tcW w:w="762" w:type="dxa"/>
                  <w:tcBorders>
                    <w:tl2br w:val="nil"/>
                    <w:tr2bl w:val="nil"/>
                  </w:tcBorders>
                  <w:shd w:val="clear" w:color="auto" w:fill="auto"/>
                  <w:noWrap/>
                  <w:vAlign w:val="center"/>
                </w:tcPr>
                <w:p w14:paraId="21B4A1EC">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来源</w:t>
                  </w:r>
                </w:p>
              </w:tc>
              <w:tc>
                <w:tcPr>
                  <w:tcW w:w="1501" w:type="dxa"/>
                  <w:tcBorders>
                    <w:tl2br w:val="nil"/>
                    <w:tr2bl w:val="nil"/>
                  </w:tcBorders>
                  <w:shd w:val="clear" w:color="auto" w:fill="auto"/>
                  <w:noWrap/>
                  <w:vAlign w:val="center"/>
                </w:tcPr>
                <w:p w14:paraId="642FCFB0">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备注</w:t>
                  </w:r>
                </w:p>
              </w:tc>
            </w:tr>
            <w:tr w14:paraId="29997A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93" w:type="dxa"/>
                  <w:tcBorders>
                    <w:tl2br w:val="nil"/>
                    <w:tr2bl w:val="nil"/>
                  </w:tcBorders>
                  <w:shd w:val="clear" w:color="auto" w:fill="auto"/>
                  <w:noWrap/>
                  <w:vAlign w:val="center"/>
                </w:tcPr>
                <w:p w14:paraId="59D31A9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299" w:type="dxa"/>
                  <w:tcBorders>
                    <w:tl2br w:val="nil"/>
                    <w:tr2bl w:val="nil"/>
                  </w:tcBorders>
                  <w:shd w:val="clear" w:color="auto" w:fill="auto"/>
                  <w:noWrap/>
                  <w:vAlign w:val="center"/>
                </w:tcPr>
                <w:p w14:paraId="379A329D">
                  <w:pPr>
                    <w:jc w:val="center"/>
                    <w:rPr>
                      <w:rFonts w:ascii="Times New Roman" w:hAnsi="Times New Roman" w:eastAsia="宋体" w:cs="Times New Roman"/>
                      <w:szCs w:val="21"/>
                      <w:highlight w:val="cyan"/>
                    </w:rPr>
                  </w:pPr>
                  <w:r>
                    <w:rPr>
                      <w:rFonts w:hint="eastAsia" w:ascii="Times New Roman" w:hAnsi="Times New Roman" w:eastAsia="宋体"/>
                      <w:szCs w:val="21"/>
                      <w:highlight w:val="cyan"/>
                    </w:rPr>
                    <w:t>钢零件</w:t>
                  </w:r>
                  <w:commentRangeStart w:id="10"/>
                  <w:commentRangeStart w:id="11"/>
                  <w:commentRangeStart w:id="12"/>
                  <w:r>
                    <w:commentReference w:id="10"/>
                  </w:r>
                  <w:commentRangeEnd w:id="10"/>
                  <w:commentRangeEnd w:id="11"/>
                  <w:r>
                    <w:commentReference w:id="11"/>
                  </w:r>
                  <w:commentRangeEnd w:id="12"/>
                  <w:r>
                    <w:commentReference w:id="12"/>
                  </w:r>
                </w:p>
              </w:tc>
              <w:tc>
                <w:tcPr>
                  <w:tcW w:w="1015" w:type="dxa"/>
                  <w:tcBorders>
                    <w:tl2br w:val="nil"/>
                    <w:tr2bl w:val="nil"/>
                  </w:tcBorders>
                  <w:shd w:val="clear" w:color="auto" w:fill="auto"/>
                  <w:noWrap/>
                  <w:vAlign w:val="center"/>
                </w:tcPr>
                <w:p w14:paraId="1BC99FE4">
                  <w:pPr>
                    <w:adjustRightInd w:val="0"/>
                    <w:snapToGrid w:val="0"/>
                    <w:jc w:val="center"/>
                    <w:rPr>
                      <w:rFonts w:ascii="Times New Roman" w:hAnsi="Times New Roman" w:cs="Times New Roman"/>
                      <w:szCs w:val="21"/>
                    </w:rPr>
                  </w:pPr>
                  <w:r>
                    <w:rPr>
                      <w:rFonts w:hint="eastAsia" w:ascii="Times New Roman" w:hAnsi="Times New Roman" w:cs="Times New Roman"/>
                      <w:szCs w:val="21"/>
                    </w:rPr>
                    <w:t>30</w:t>
                  </w:r>
                  <w:r>
                    <w:rPr>
                      <w:rFonts w:ascii="Times New Roman" w:hAnsi="Times New Roman" w:cs="Times New Roman"/>
                      <w:szCs w:val="21"/>
                    </w:rPr>
                    <w:t>t</w:t>
                  </w:r>
                </w:p>
              </w:tc>
              <w:tc>
                <w:tcPr>
                  <w:tcW w:w="1160" w:type="dxa"/>
                  <w:tcBorders>
                    <w:tl2br w:val="nil"/>
                    <w:tr2bl w:val="nil"/>
                  </w:tcBorders>
                  <w:shd w:val="clear" w:color="auto" w:fill="auto"/>
                  <w:noWrap/>
                  <w:vAlign w:val="center"/>
                </w:tcPr>
                <w:p w14:paraId="6DA8191A">
                  <w:pPr>
                    <w:adjustRightInd w:val="0"/>
                    <w:snapToGrid w:val="0"/>
                    <w:jc w:val="center"/>
                    <w:rPr>
                      <w:rFonts w:ascii="Times New Roman" w:hAnsi="Times New Roman" w:cs="Times New Roman"/>
                      <w:szCs w:val="21"/>
                    </w:rPr>
                  </w:pPr>
                  <w:r>
                    <w:rPr>
                      <w:rFonts w:hint="eastAsia" w:ascii="Times New Roman" w:hAnsi="Times New Roman" w:eastAsia="宋体" w:cs="Times New Roman"/>
                      <w:szCs w:val="21"/>
                    </w:rPr>
                    <w:t>15</w:t>
                  </w:r>
                  <w:r>
                    <w:rPr>
                      <w:rFonts w:ascii="Times New Roman" w:hAnsi="Times New Roman" w:eastAsia="宋体" w:cs="Times New Roman"/>
                      <w:szCs w:val="21"/>
                    </w:rPr>
                    <w:t>00t/a</w:t>
                  </w:r>
                </w:p>
              </w:tc>
              <w:tc>
                <w:tcPr>
                  <w:tcW w:w="1160" w:type="dxa"/>
                  <w:tcBorders>
                    <w:tl2br w:val="nil"/>
                    <w:tr2bl w:val="nil"/>
                  </w:tcBorders>
                  <w:shd w:val="clear" w:color="auto" w:fill="auto"/>
                  <w:noWrap/>
                  <w:vAlign w:val="center"/>
                </w:tcPr>
                <w:p w14:paraId="7E9F1013">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60" w:type="dxa"/>
                  <w:tcBorders>
                    <w:tl2br w:val="nil"/>
                    <w:tr2bl w:val="nil"/>
                  </w:tcBorders>
                  <w:shd w:val="clear" w:color="auto" w:fill="auto"/>
                  <w:noWrap/>
                  <w:vAlign w:val="center"/>
                </w:tcPr>
                <w:p w14:paraId="223BF59B">
                  <w:pPr>
                    <w:adjustRightInd w:val="0"/>
                    <w:snapToGrid w:val="0"/>
                    <w:jc w:val="center"/>
                    <w:rPr>
                      <w:rFonts w:ascii="Times New Roman" w:hAnsi="Times New Roman" w:cs="Times New Roman"/>
                      <w:szCs w:val="21"/>
                    </w:rPr>
                  </w:pPr>
                  <w:r>
                    <w:rPr>
                      <w:rFonts w:hint="eastAsia" w:ascii="Times New Roman" w:hAnsi="Times New Roman" w:eastAsia="宋体" w:cs="Times New Roman"/>
                      <w:szCs w:val="21"/>
                    </w:rPr>
                    <w:t>15</w:t>
                  </w:r>
                  <w:r>
                    <w:rPr>
                      <w:rFonts w:ascii="Times New Roman" w:hAnsi="Times New Roman" w:eastAsia="宋体" w:cs="Times New Roman"/>
                      <w:szCs w:val="21"/>
                    </w:rPr>
                    <w:t>00t/a</w:t>
                  </w:r>
                </w:p>
              </w:tc>
              <w:tc>
                <w:tcPr>
                  <w:tcW w:w="762" w:type="dxa"/>
                  <w:tcBorders>
                    <w:tl2br w:val="nil"/>
                    <w:tr2bl w:val="nil"/>
                  </w:tcBorders>
                  <w:shd w:val="clear" w:color="auto" w:fill="auto"/>
                  <w:noWrap/>
                  <w:vAlign w:val="center"/>
                </w:tcPr>
                <w:p w14:paraId="5E2A7EC8">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外购</w:t>
                  </w:r>
                </w:p>
              </w:tc>
              <w:tc>
                <w:tcPr>
                  <w:tcW w:w="1501" w:type="dxa"/>
                  <w:tcBorders>
                    <w:tl2br w:val="nil"/>
                    <w:tr2bl w:val="nil"/>
                  </w:tcBorders>
                  <w:shd w:val="clear" w:color="auto" w:fill="auto"/>
                  <w:noWrap/>
                  <w:vAlign w:val="center"/>
                </w:tcPr>
                <w:p w14:paraId="6EEE22CE">
                  <w:pPr>
                    <w:jc w:val="center"/>
                    <w:textAlignment w:val="baseline"/>
                    <w:rPr>
                      <w:rFonts w:ascii="Times New Roman" w:hAnsi="Times New Roman" w:eastAsia="宋体" w:cs="Times New Roman"/>
                      <w:szCs w:val="21"/>
                    </w:rPr>
                  </w:pPr>
                  <w:r>
                    <w:rPr>
                      <w:rFonts w:hint="eastAsia" w:ascii="Times New Roman" w:hAnsi="Times New Roman" w:eastAsia="宋体" w:cs="Times New Roman"/>
                      <w:szCs w:val="21"/>
                    </w:rPr>
                    <w:t>/</w:t>
                  </w:r>
                </w:p>
              </w:tc>
            </w:tr>
            <w:tr w14:paraId="359DB5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93" w:type="dxa"/>
                  <w:tcBorders>
                    <w:tl2br w:val="nil"/>
                    <w:tr2bl w:val="nil"/>
                  </w:tcBorders>
                  <w:shd w:val="clear" w:color="auto" w:fill="auto"/>
                  <w:noWrap/>
                  <w:vAlign w:val="center"/>
                </w:tcPr>
                <w:p w14:paraId="16FFEB20">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299" w:type="dxa"/>
                  <w:tcBorders>
                    <w:tl2br w:val="nil"/>
                    <w:tr2bl w:val="nil"/>
                  </w:tcBorders>
                  <w:shd w:val="clear" w:color="auto" w:fill="auto"/>
                  <w:noWrap/>
                  <w:vAlign w:val="center"/>
                </w:tcPr>
                <w:p w14:paraId="0CFC0D8A">
                  <w:pPr>
                    <w:jc w:val="center"/>
                    <w:rPr>
                      <w:rFonts w:ascii="Times New Roman" w:hAnsi="Times New Roman" w:eastAsia="宋体" w:cs="Times New Roman"/>
                      <w:szCs w:val="21"/>
                      <w:highlight w:val="cyan"/>
                    </w:rPr>
                  </w:pPr>
                  <w:r>
                    <w:rPr>
                      <w:rFonts w:hint="eastAsia" w:ascii="Times New Roman" w:hAnsi="Times New Roman" w:eastAsia="宋体"/>
                      <w:szCs w:val="21"/>
                      <w:highlight w:val="cyan"/>
                    </w:rPr>
                    <w:t>外购钢零件</w:t>
                  </w:r>
                </w:p>
              </w:tc>
              <w:tc>
                <w:tcPr>
                  <w:tcW w:w="1015" w:type="dxa"/>
                  <w:tcBorders>
                    <w:tl2br w:val="nil"/>
                    <w:tr2bl w:val="nil"/>
                  </w:tcBorders>
                  <w:shd w:val="clear" w:color="auto" w:fill="auto"/>
                  <w:noWrap/>
                  <w:vAlign w:val="center"/>
                </w:tcPr>
                <w:p w14:paraId="21DD6F31">
                  <w:pPr>
                    <w:adjustRightInd w:val="0"/>
                    <w:snapToGrid w:val="0"/>
                    <w:jc w:val="center"/>
                    <w:rPr>
                      <w:rFonts w:ascii="Times New Roman" w:hAnsi="Times New Roman" w:cs="Times New Roman"/>
                      <w:szCs w:val="21"/>
                    </w:rPr>
                  </w:pPr>
                  <w:r>
                    <w:rPr>
                      <w:rFonts w:hint="eastAsia" w:ascii="Times New Roman" w:hAnsi="Times New Roman" w:cs="Times New Roman"/>
                      <w:szCs w:val="21"/>
                    </w:rPr>
                    <w:t>30</w:t>
                  </w:r>
                  <w:r>
                    <w:rPr>
                      <w:rFonts w:ascii="Times New Roman" w:hAnsi="Times New Roman" w:cs="Times New Roman"/>
                      <w:szCs w:val="21"/>
                    </w:rPr>
                    <w:t>t</w:t>
                  </w:r>
                </w:p>
              </w:tc>
              <w:tc>
                <w:tcPr>
                  <w:tcW w:w="1160" w:type="dxa"/>
                  <w:tcBorders>
                    <w:tl2br w:val="nil"/>
                    <w:tr2bl w:val="nil"/>
                  </w:tcBorders>
                  <w:shd w:val="clear" w:color="auto" w:fill="auto"/>
                  <w:noWrap/>
                  <w:vAlign w:val="center"/>
                </w:tcPr>
                <w:p w14:paraId="471DA57A">
                  <w:pPr>
                    <w:adjustRightInd w:val="0"/>
                    <w:snapToGrid w:val="0"/>
                    <w:jc w:val="center"/>
                    <w:rPr>
                      <w:rFonts w:ascii="Times New Roman" w:hAnsi="Times New Roman" w:cs="Times New Roman"/>
                      <w:szCs w:val="21"/>
                    </w:rPr>
                  </w:pPr>
                  <w:r>
                    <w:rPr>
                      <w:rFonts w:hint="eastAsia" w:ascii="Times New Roman" w:hAnsi="Times New Roman" w:cs="Times New Roman"/>
                      <w:szCs w:val="21"/>
                    </w:rPr>
                    <w:t>0</w:t>
                  </w:r>
                </w:p>
              </w:tc>
              <w:tc>
                <w:tcPr>
                  <w:tcW w:w="1160" w:type="dxa"/>
                  <w:tcBorders>
                    <w:tl2br w:val="nil"/>
                    <w:tr2bl w:val="nil"/>
                  </w:tcBorders>
                  <w:shd w:val="clear" w:color="auto" w:fill="auto"/>
                  <w:noWrap/>
                  <w:vAlign w:val="center"/>
                </w:tcPr>
                <w:p w14:paraId="50B664C1">
                  <w:pPr>
                    <w:jc w:val="center"/>
                    <w:rPr>
                      <w:rFonts w:ascii="Times New Roman" w:hAnsi="Times New Roman" w:eastAsia="宋体" w:cs="Times New Roman"/>
                      <w:szCs w:val="21"/>
                    </w:rPr>
                  </w:pPr>
                  <w:commentRangeStart w:id="13"/>
                  <w:commentRangeStart w:id="14"/>
                  <w:r>
                    <w:rPr>
                      <w:rFonts w:hint="eastAsia" w:ascii="Times New Roman" w:hAnsi="Times New Roman" w:eastAsia="宋体" w:cs="Times New Roman"/>
                      <w:szCs w:val="21"/>
                    </w:rPr>
                    <w:t>10</w:t>
                  </w:r>
                  <w:r>
                    <w:rPr>
                      <w:rFonts w:ascii="Times New Roman" w:hAnsi="Times New Roman" w:eastAsia="宋体" w:cs="Times New Roman"/>
                      <w:szCs w:val="21"/>
                    </w:rPr>
                    <w:t>00t/a</w:t>
                  </w:r>
                  <w:commentRangeEnd w:id="13"/>
                  <w:r>
                    <w:commentReference w:id="13"/>
                  </w:r>
                  <w:commentRangeEnd w:id="14"/>
                  <w:r>
                    <w:commentReference w:id="14"/>
                  </w:r>
                </w:p>
              </w:tc>
              <w:tc>
                <w:tcPr>
                  <w:tcW w:w="1160" w:type="dxa"/>
                  <w:tcBorders>
                    <w:tl2br w:val="nil"/>
                    <w:tr2bl w:val="nil"/>
                  </w:tcBorders>
                  <w:shd w:val="clear" w:color="auto" w:fill="auto"/>
                  <w:noWrap/>
                  <w:vAlign w:val="center"/>
                </w:tcPr>
                <w:p w14:paraId="7F501788">
                  <w:pPr>
                    <w:adjustRightInd w:val="0"/>
                    <w:snapToGrid w:val="0"/>
                    <w:jc w:val="center"/>
                    <w:rPr>
                      <w:rFonts w:ascii="Times New Roman" w:hAnsi="Times New Roman" w:cs="Times New Roman"/>
                      <w:szCs w:val="21"/>
                    </w:rPr>
                  </w:pPr>
                  <w:r>
                    <w:rPr>
                      <w:rFonts w:hint="eastAsia" w:ascii="Times New Roman" w:hAnsi="Times New Roman" w:eastAsia="宋体" w:cs="Times New Roman"/>
                      <w:szCs w:val="21"/>
                    </w:rPr>
                    <w:t>10</w:t>
                  </w:r>
                  <w:r>
                    <w:rPr>
                      <w:rFonts w:ascii="Times New Roman" w:hAnsi="Times New Roman" w:eastAsia="宋体" w:cs="Times New Roman"/>
                      <w:szCs w:val="21"/>
                    </w:rPr>
                    <w:t>00t/a</w:t>
                  </w:r>
                </w:p>
              </w:tc>
              <w:tc>
                <w:tcPr>
                  <w:tcW w:w="762" w:type="dxa"/>
                  <w:tcBorders>
                    <w:tl2br w:val="nil"/>
                    <w:tr2bl w:val="nil"/>
                  </w:tcBorders>
                  <w:shd w:val="clear" w:color="auto" w:fill="auto"/>
                  <w:noWrap/>
                  <w:vAlign w:val="center"/>
                </w:tcPr>
                <w:p w14:paraId="48E08535">
                  <w:pPr>
                    <w:jc w:val="center"/>
                    <w:textAlignment w:val="baseline"/>
                    <w:rPr>
                      <w:rFonts w:hint="eastAsia" w:ascii="Times New Roman" w:hAnsi="Times New Roman" w:eastAsia="宋体" w:cs="Times New Roman"/>
                      <w:szCs w:val="21"/>
                    </w:rPr>
                  </w:pPr>
                  <w:r>
                    <w:rPr>
                      <w:rFonts w:hint="eastAsia" w:ascii="Times New Roman" w:hAnsi="Times New Roman" w:eastAsia="宋体" w:cs="Times New Roman"/>
                      <w:szCs w:val="21"/>
                    </w:rPr>
                    <w:t>外购</w:t>
                  </w:r>
                </w:p>
              </w:tc>
              <w:tc>
                <w:tcPr>
                  <w:tcW w:w="1501" w:type="dxa"/>
                  <w:tcBorders>
                    <w:tl2br w:val="nil"/>
                    <w:tr2bl w:val="nil"/>
                  </w:tcBorders>
                  <w:shd w:val="clear" w:color="auto" w:fill="auto"/>
                  <w:noWrap/>
                  <w:vAlign w:val="center"/>
                </w:tcPr>
                <w:p w14:paraId="646B8A82">
                  <w:pPr>
                    <w:adjustRightInd w:val="0"/>
                    <w:snapToGrid w:val="0"/>
                    <w:jc w:val="center"/>
                    <w:rPr>
                      <w:rFonts w:hint="eastAsia" w:ascii="Times New Roman" w:hAnsi="Times New Roman" w:eastAsia="宋体" w:cs="Times New Roman"/>
                      <w:color w:val="FF0000"/>
                      <w:szCs w:val="21"/>
                      <w:lang w:eastAsia="zh-CN"/>
                    </w:rPr>
                  </w:pPr>
                  <w:r>
                    <w:rPr>
                      <w:rFonts w:hint="eastAsia" w:ascii="Times New Roman" w:hAnsi="Times New Roman" w:eastAsia="宋体" w:cs="Times New Roman"/>
                      <w:color w:val="FF0000"/>
                      <w:szCs w:val="21"/>
                    </w:rPr>
                    <w:t>订单内已完成渗锌处理的钢零件</w:t>
                  </w:r>
                </w:p>
              </w:tc>
            </w:tr>
            <w:tr w14:paraId="54277A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93" w:type="dxa"/>
                  <w:tcBorders>
                    <w:tl2br w:val="nil"/>
                    <w:tr2bl w:val="nil"/>
                  </w:tcBorders>
                  <w:shd w:val="clear" w:color="auto" w:fill="auto"/>
                  <w:noWrap/>
                  <w:vAlign w:val="center"/>
                </w:tcPr>
                <w:p w14:paraId="4E21451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299" w:type="dxa"/>
                  <w:tcBorders>
                    <w:tl2br w:val="nil"/>
                    <w:tr2bl w:val="nil"/>
                  </w:tcBorders>
                  <w:shd w:val="clear" w:color="auto" w:fill="auto"/>
                  <w:noWrap/>
                  <w:vAlign w:val="center"/>
                </w:tcPr>
                <w:p w14:paraId="5D25D683">
                  <w:pPr>
                    <w:jc w:val="center"/>
                    <w:textAlignment w:val="baseline"/>
                    <w:rPr>
                      <w:rStyle w:val="40"/>
                      <w:rFonts w:ascii="Times New Roman" w:hAnsi="Times New Roman" w:eastAsia="宋体" w:cs="Times New Roman"/>
                    </w:rPr>
                  </w:pPr>
                  <w:commentRangeStart w:id="15"/>
                  <w:commentRangeStart w:id="16"/>
                  <w:r>
                    <w:rPr>
                      <w:rStyle w:val="40"/>
                      <w:rFonts w:hint="eastAsia" w:ascii="Times New Roman" w:hAnsi="Times New Roman" w:eastAsia="宋体" w:cs="Times New Roman"/>
                    </w:rPr>
                    <w:t>砂子</w:t>
                  </w:r>
                  <w:commentRangeEnd w:id="15"/>
                  <w:r>
                    <w:commentReference w:id="15"/>
                  </w:r>
                  <w:commentRangeEnd w:id="16"/>
                  <w:r>
                    <w:commentReference w:id="16"/>
                  </w:r>
                </w:p>
              </w:tc>
              <w:tc>
                <w:tcPr>
                  <w:tcW w:w="1015" w:type="dxa"/>
                  <w:tcBorders>
                    <w:tl2br w:val="nil"/>
                    <w:tr2bl w:val="nil"/>
                  </w:tcBorders>
                  <w:shd w:val="clear" w:color="auto" w:fill="auto"/>
                  <w:noWrap/>
                  <w:vAlign w:val="center"/>
                </w:tcPr>
                <w:p w14:paraId="48D393D7">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t</w:t>
                  </w:r>
                </w:p>
              </w:tc>
              <w:tc>
                <w:tcPr>
                  <w:tcW w:w="1160" w:type="dxa"/>
                  <w:tcBorders>
                    <w:tl2br w:val="nil"/>
                    <w:tr2bl w:val="nil"/>
                  </w:tcBorders>
                  <w:shd w:val="clear" w:color="auto" w:fill="auto"/>
                  <w:noWrap/>
                  <w:vAlign w:val="center"/>
                </w:tcPr>
                <w:p w14:paraId="5B124A6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t/a</w:t>
                  </w:r>
                </w:p>
              </w:tc>
              <w:tc>
                <w:tcPr>
                  <w:tcW w:w="1160" w:type="dxa"/>
                  <w:tcBorders>
                    <w:tl2br w:val="nil"/>
                    <w:tr2bl w:val="nil"/>
                  </w:tcBorders>
                  <w:shd w:val="clear" w:color="auto" w:fill="auto"/>
                  <w:noWrap/>
                  <w:vAlign w:val="center"/>
                </w:tcPr>
                <w:p w14:paraId="3CECD874">
                  <w:pPr>
                    <w:jc w:val="center"/>
                    <w:textAlignment w:val="baseline"/>
                    <w:rPr>
                      <w:rFonts w:ascii="Times New Roman" w:hAnsi="Times New Roman" w:eastAsia="宋体" w:cs="Times New Roman"/>
                      <w:szCs w:val="21"/>
                    </w:rPr>
                  </w:pPr>
                  <w:r>
                    <w:rPr>
                      <w:rFonts w:hint="eastAsia" w:ascii="Times New Roman" w:hAnsi="Times New Roman" w:eastAsia="宋体" w:cs="Times New Roman"/>
                      <w:szCs w:val="21"/>
                    </w:rPr>
                    <w:t>20</w:t>
                  </w:r>
                  <w:r>
                    <w:rPr>
                      <w:rFonts w:ascii="Times New Roman" w:hAnsi="Times New Roman" w:eastAsia="宋体" w:cs="Times New Roman"/>
                      <w:szCs w:val="21"/>
                    </w:rPr>
                    <w:t>t/a</w:t>
                  </w:r>
                </w:p>
              </w:tc>
              <w:tc>
                <w:tcPr>
                  <w:tcW w:w="1160" w:type="dxa"/>
                  <w:tcBorders>
                    <w:tl2br w:val="nil"/>
                    <w:tr2bl w:val="nil"/>
                  </w:tcBorders>
                  <w:shd w:val="clear" w:color="auto" w:fill="auto"/>
                  <w:noWrap/>
                  <w:vAlign w:val="center"/>
                </w:tcPr>
                <w:p w14:paraId="47B209F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20</w:t>
                  </w:r>
                  <w:r>
                    <w:rPr>
                      <w:rFonts w:ascii="Times New Roman" w:hAnsi="Times New Roman" w:eastAsia="宋体" w:cs="Times New Roman"/>
                      <w:szCs w:val="21"/>
                    </w:rPr>
                    <w:t>t/a</w:t>
                  </w:r>
                </w:p>
              </w:tc>
              <w:tc>
                <w:tcPr>
                  <w:tcW w:w="762" w:type="dxa"/>
                  <w:tcBorders>
                    <w:tl2br w:val="nil"/>
                    <w:tr2bl w:val="nil"/>
                  </w:tcBorders>
                  <w:shd w:val="clear" w:color="auto" w:fill="auto"/>
                  <w:noWrap/>
                  <w:vAlign w:val="center"/>
                </w:tcPr>
                <w:p w14:paraId="2F3977F7">
                  <w:pPr>
                    <w:jc w:val="center"/>
                    <w:textAlignment w:val="baseline"/>
                    <w:rPr>
                      <w:rFonts w:ascii="Times New Roman" w:hAnsi="Times New Roman" w:eastAsia="宋体" w:cs="Times New Roman"/>
                      <w:szCs w:val="21"/>
                    </w:rPr>
                  </w:pPr>
                  <w:r>
                    <w:rPr>
                      <w:rFonts w:ascii="Times New Roman" w:hAnsi="Times New Roman" w:eastAsia="宋体" w:cs="Times New Roman"/>
                      <w:szCs w:val="21"/>
                    </w:rPr>
                    <w:t>外购</w:t>
                  </w:r>
                </w:p>
              </w:tc>
              <w:tc>
                <w:tcPr>
                  <w:tcW w:w="1501" w:type="dxa"/>
                  <w:tcBorders>
                    <w:tl2br w:val="nil"/>
                    <w:tr2bl w:val="nil"/>
                  </w:tcBorders>
                  <w:shd w:val="clear" w:color="auto" w:fill="auto"/>
                  <w:noWrap/>
                  <w:vAlign w:val="center"/>
                </w:tcPr>
                <w:p w14:paraId="0BC4FA9D">
                  <w:pPr>
                    <w:adjustRightInd w:val="0"/>
                    <w:snapToGrid w:val="0"/>
                    <w:jc w:val="center"/>
                    <w:rPr>
                      <w:rFonts w:hint="eastAsia" w:ascii="Times New Roman" w:hAnsi="Times New Roman" w:eastAsia="宋体" w:cs="Times New Roman"/>
                      <w:szCs w:val="21"/>
                    </w:rPr>
                  </w:pPr>
                  <w:r>
                    <w:rPr>
                      <w:rFonts w:hint="eastAsia" w:ascii="Times New Roman" w:hAnsi="Times New Roman" w:eastAsia="宋体" w:cs="Times New Roman"/>
                      <w:szCs w:val="21"/>
                    </w:rPr>
                    <w:t>袋装，25kg/袋</w:t>
                  </w:r>
                </w:p>
              </w:tc>
            </w:tr>
            <w:tr w14:paraId="121B51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93" w:type="dxa"/>
                  <w:tcBorders>
                    <w:tl2br w:val="nil"/>
                    <w:tr2bl w:val="nil"/>
                  </w:tcBorders>
                  <w:shd w:val="clear" w:color="auto" w:fill="auto"/>
                  <w:noWrap/>
                  <w:vAlign w:val="center"/>
                </w:tcPr>
                <w:p w14:paraId="5444FD8D">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1299" w:type="dxa"/>
                  <w:tcBorders>
                    <w:tl2br w:val="nil"/>
                    <w:tr2bl w:val="nil"/>
                  </w:tcBorders>
                  <w:shd w:val="clear" w:color="auto" w:fill="auto"/>
                  <w:noWrap/>
                  <w:vAlign w:val="center"/>
                </w:tcPr>
                <w:p w14:paraId="7E418288">
                  <w:pPr>
                    <w:jc w:val="center"/>
                    <w:textAlignment w:val="baseline"/>
                    <w:rPr>
                      <w:rFonts w:ascii="Times New Roman" w:hAnsi="Times New Roman" w:eastAsia="宋体" w:cs="Times New Roman"/>
                      <w:szCs w:val="21"/>
                    </w:rPr>
                  </w:pPr>
                  <w:r>
                    <w:rPr>
                      <w:rFonts w:hint="eastAsia" w:ascii="Times New Roman" w:hAnsi="Times New Roman" w:eastAsia="宋体" w:cs="Times New Roman"/>
                      <w:szCs w:val="21"/>
                    </w:rPr>
                    <w:t>水性漆</w:t>
                  </w:r>
                </w:p>
              </w:tc>
              <w:tc>
                <w:tcPr>
                  <w:tcW w:w="1015" w:type="dxa"/>
                  <w:tcBorders>
                    <w:tl2br w:val="nil"/>
                    <w:tr2bl w:val="nil"/>
                  </w:tcBorders>
                  <w:shd w:val="clear" w:color="auto" w:fill="auto"/>
                  <w:noWrap/>
                  <w:vAlign w:val="center"/>
                </w:tcPr>
                <w:p w14:paraId="55ADCE27">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0.2</w:t>
                  </w:r>
                  <w:r>
                    <w:rPr>
                      <w:rFonts w:ascii="Times New Roman" w:hAnsi="Times New Roman" w:eastAsia="宋体" w:cs="Times New Roman"/>
                      <w:szCs w:val="21"/>
                    </w:rPr>
                    <w:t>t</w:t>
                  </w:r>
                </w:p>
              </w:tc>
              <w:tc>
                <w:tcPr>
                  <w:tcW w:w="1160" w:type="dxa"/>
                  <w:tcBorders>
                    <w:tl2br w:val="nil"/>
                    <w:tr2bl w:val="nil"/>
                  </w:tcBorders>
                  <w:shd w:val="clear" w:color="auto" w:fill="auto"/>
                  <w:noWrap/>
                  <w:vAlign w:val="center"/>
                </w:tcPr>
                <w:p w14:paraId="4333D1E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3t/</w:t>
                  </w:r>
                  <w:r>
                    <w:rPr>
                      <w:rFonts w:ascii="Times New Roman" w:hAnsi="Times New Roman" w:eastAsia="宋体" w:cs="Times New Roman"/>
                      <w:szCs w:val="21"/>
                    </w:rPr>
                    <w:t>a</w:t>
                  </w:r>
                </w:p>
              </w:tc>
              <w:tc>
                <w:tcPr>
                  <w:tcW w:w="1160" w:type="dxa"/>
                  <w:tcBorders>
                    <w:tl2br w:val="nil"/>
                    <w:tr2bl w:val="nil"/>
                  </w:tcBorders>
                  <w:shd w:val="clear" w:color="auto" w:fill="auto"/>
                  <w:noWrap/>
                  <w:vAlign w:val="center"/>
                </w:tcPr>
                <w:p w14:paraId="5D3576FB">
                  <w:pPr>
                    <w:jc w:val="center"/>
                    <w:textAlignment w:val="baseline"/>
                    <w:rPr>
                      <w:rFonts w:ascii="Times New Roman" w:hAnsi="Times New Roman" w:eastAsia="宋体" w:cs="Times New Roman"/>
                      <w:szCs w:val="21"/>
                    </w:rPr>
                  </w:pPr>
                  <w:commentRangeStart w:id="17"/>
                  <w:commentRangeStart w:id="18"/>
                  <w:r>
                    <w:rPr>
                      <w:rFonts w:hint="eastAsia" w:ascii="Times New Roman" w:hAnsi="Times New Roman" w:eastAsia="宋体" w:cs="Times New Roman"/>
                      <w:szCs w:val="21"/>
                    </w:rPr>
                    <w:t>10</w:t>
                  </w:r>
                  <w:r>
                    <w:rPr>
                      <w:rFonts w:ascii="Times New Roman" w:hAnsi="Times New Roman" w:eastAsia="宋体" w:cs="Times New Roman"/>
                      <w:szCs w:val="21"/>
                    </w:rPr>
                    <w:t>t/a</w:t>
                  </w:r>
                  <w:commentRangeEnd w:id="17"/>
                  <w:r>
                    <w:commentReference w:id="17"/>
                  </w:r>
                  <w:commentRangeEnd w:id="18"/>
                  <w:r>
                    <w:commentReference w:id="18"/>
                  </w:r>
                </w:p>
              </w:tc>
              <w:tc>
                <w:tcPr>
                  <w:tcW w:w="1160" w:type="dxa"/>
                  <w:tcBorders>
                    <w:tl2br w:val="nil"/>
                    <w:tr2bl w:val="nil"/>
                  </w:tcBorders>
                  <w:shd w:val="clear" w:color="auto" w:fill="auto"/>
                  <w:noWrap/>
                  <w:vAlign w:val="center"/>
                </w:tcPr>
                <w:p w14:paraId="6AF20D4B">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13</w:t>
                  </w:r>
                  <w:r>
                    <w:rPr>
                      <w:rFonts w:ascii="Times New Roman" w:hAnsi="Times New Roman" w:eastAsia="宋体" w:cs="Times New Roman"/>
                      <w:szCs w:val="21"/>
                    </w:rPr>
                    <w:t>t/a</w:t>
                  </w:r>
                </w:p>
              </w:tc>
              <w:tc>
                <w:tcPr>
                  <w:tcW w:w="762" w:type="dxa"/>
                  <w:tcBorders>
                    <w:tl2br w:val="nil"/>
                    <w:tr2bl w:val="nil"/>
                  </w:tcBorders>
                  <w:shd w:val="clear" w:color="auto" w:fill="auto"/>
                  <w:noWrap/>
                  <w:vAlign w:val="center"/>
                </w:tcPr>
                <w:p w14:paraId="3BEA5E7F">
                  <w:pPr>
                    <w:jc w:val="center"/>
                    <w:textAlignment w:val="baseline"/>
                    <w:rPr>
                      <w:rFonts w:ascii="Times New Roman" w:hAnsi="Times New Roman" w:eastAsia="宋体" w:cs="Times New Roman"/>
                      <w:szCs w:val="21"/>
                    </w:rPr>
                  </w:pPr>
                  <w:r>
                    <w:rPr>
                      <w:rFonts w:ascii="Times New Roman" w:hAnsi="Times New Roman" w:eastAsia="宋体" w:cs="Times New Roman"/>
                      <w:szCs w:val="21"/>
                    </w:rPr>
                    <w:t>外购</w:t>
                  </w:r>
                </w:p>
              </w:tc>
              <w:tc>
                <w:tcPr>
                  <w:tcW w:w="1501" w:type="dxa"/>
                  <w:tcBorders>
                    <w:tl2br w:val="nil"/>
                    <w:tr2bl w:val="nil"/>
                  </w:tcBorders>
                  <w:shd w:val="clear" w:color="auto" w:fill="auto"/>
                  <w:noWrap/>
                  <w:vAlign w:val="center"/>
                </w:tcPr>
                <w:p w14:paraId="3DE1E140">
                  <w:pPr>
                    <w:jc w:val="center"/>
                    <w:textAlignment w:val="baseline"/>
                    <w:rPr>
                      <w:rFonts w:ascii="Times New Roman" w:hAnsi="Times New Roman" w:eastAsia="宋体" w:cs="Times New Roman"/>
                      <w:szCs w:val="21"/>
                    </w:rPr>
                  </w:pPr>
                  <w:r>
                    <w:rPr>
                      <w:rFonts w:hint="eastAsia" w:ascii="Times New Roman" w:hAnsi="Times New Roman" w:eastAsia="宋体" w:cs="Times New Roman"/>
                      <w:szCs w:val="21"/>
                    </w:rPr>
                    <w:t>液态，25L/桶</w:t>
                  </w:r>
                </w:p>
              </w:tc>
            </w:tr>
            <w:tr w14:paraId="60FE5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93" w:type="dxa"/>
                  <w:tcBorders>
                    <w:tl2br w:val="nil"/>
                    <w:tr2bl w:val="nil"/>
                  </w:tcBorders>
                  <w:shd w:val="clear" w:color="auto" w:fill="auto"/>
                  <w:noWrap/>
                  <w:vAlign w:val="center"/>
                </w:tcPr>
                <w:p w14:paraId="554E988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299" w:type="dxa"/>
                  <w:tcBorders>
                    <w:tl2br w:val="nil"/>
                    <w:tr2bl w:val="nil"/>
                  </w:tcBorders>
                  <w:shd w:val="clear" w:color="auto" w:fill="auto"/>
                  <w:noWrap/>
                  <w:vAlign w:val="center"/>
                </w:tcPr>
                <w:p w14:paraId="64384FCD">
                  <w:pPr>
                    <w:jc w:val="center"/>
                    <w:rPr>
                      <w:rFonts w:ascii="Times New Roman" w:hAnsi="Times New Roman" w:eastAsia="宋体" w:cs="Times New Roman"/>
                      <w:szCs w:val="21"/>
                    </w:rPr>
                  </w:pPr>
                  <w:r>
                    <w:rPr>
                      <w:rFonts w:hint="eastAsia" w:ascii="Times New Roman" w:hAnsi="Times New Roman" w:eastAsia="宋体" w:cs="Times New Roman"/>
                      <w:szCs w:val="21"/>
                    </w:rPr>
                    <w:t>锌粉</w:t>
                  </w:r>
                </w:p>
              </w:tc>
              <w:tc>
                <w:tcPr>
                  <w:tcW w:w="1015" w:type="dxa"/>
                  <w:tcBorders>
                    <w:tl2br w:val="nil"/>
                    <w:tr2bl w:val="nil"/>
                  </w:tcBorders>
                  <w:shd w:val="clear" w:color="auto" w:fill="auto"/>
                  <w:noWrap/>
                  <w:vAlign w:val="center"/>
                </w:tcPr>
                <w:p w14:paraId="5ACB637B">
                  <w:pPr>
                    <w:adjustRightInd w:val="0"/>
                    <w:snapToGrid w:val="0"/>
                    <w:jc w:val="center"/>
                    <w:rPr>
                      <w:rFonts w:ascii="Times New Roman" w:hAnsi="Times New Roman" w:eastAsia="宋体" w:cs="Times New Roman"/>
                      <w:szCs w:val="21"/>
                    </w:rPr>
                  </w:pPr>
                  <w:r>
                    <w:rPr>
                      <w:rFonts w:ascii="Times New Roman" w:hAnsi="Times New Roman" w:cs="Times New Roman"/>
                      <w:szCs w:val="21"/>
                    </w:rPr>
                    <w:t>0.</w:t>
                  </w:r>
                  <w:r>
                    <w:rPr>
                      <w:rFonts w:hint="eastAsia" w:ascii="Times New Roman" w:hAnsi="Times New Roman" w:cs="Times New Roman"/>
                      <w:szCs w:val="21"/>
                    </w:rPr>
                    <w:t>3</w:t>
                  </w:r>
                  <w:r>
                    <w:rPr>
                      <w:rFonts w:ascii="Times New Roman" w:hAnsi="Times New Roman" w:cs="Times New Roman"/>
                      <w:szCs w:val="21"/>
                    </w:rPr>
                    <w:t>t</w:t>
                  </w:r>
                </w:p>
              </w:tc>
              <w:tc>
                <w:tcPr>
                  <w:tcW w:w="1160" w:type="dxa"/>
                  <w:tcBorders>
                    <w:tl2br w:val="nil"/>
                    <w:tr2bl w:val="nil"/>
                  </w:tcBorders>
                  <w:shd w:val="clear" w:color="auto" w:fill="auto"/>
                  <w:noWrap/>
                  <w:vAlign w:val="center"/>
                </w:tcPr>
                <w:p w14:paraId="1180E7FA">
                  <w:pPr>
                    <w:jc w:val="center"/>
                    <w:rPr>
                      <w:rFonts w:ascii="Times New Roman" w:hAnsi="Times New Roman" w:eastAsia="宋体" w:cs="Times New Roman"/>
                      <w:szCs w:val="21"/>
                    </w:rPr>
                  </w:pPr>
                  <w:r>
                    <w:rPr>
                      <w:rFonts w:hint="eastAsia" w:ascii="Times New Roman" w:hAnsi="Times New Roman" w:eastAsia="宋体" w:cs="Times New Roman"/>
                      <w:szCs w:val="21"/>
                    </w:rPr>
                    <w:t>20</w:t>
                  </w:r>
                  <w:r>
                    <w:rPr>
                      <w:rFonts w:ascii="Times New Roman" w:hAnsi="Times New Roman" w:eastAsia="宋体" w:cs="Times New Roman"/>
                      <w:szCs w:val="21"/>
                    </w:rPr>
                    <w:t>t/a</w:t>
                  </w:r>
                </w:p>
              </w:tc>
              <w:tc>
                <w:tcPr>
                  <w:tcW w:w="1160" w:type="dxa"/>
                  <w:tcBorders>
                    <w:tl2br w:val="nil"/>
                    <w:tr2bl w:val="nil"/>
                  </w:tcBorders>
                  <w:shd w:val="clear" w:color="auto" w:fill="auto"/>
                  <w:noWrap/>
                  <w:vAlign w:val="center"/>
                </w:tcPr>
                <w:p w14:paraId="559E5DFA">
                  <w:pPr>
                    <w:adjustRightInd w:val="0"/>
                    <w:snapToGrid w:val="0"/>
                    <w:jc w:val="center"/>
                    <w:rPr>
                      <w:rFonts w:ascii="Times New Roman" w:hAnsi="Times New Roman" w:cs="Times New Roman"/>
                      <w:szCs w:val="21"/>
                    </w:rPr>
                  </w:pPr>
                  <w:r>
                    <w:rPr>
                      <w:rFonts w:hint="eastAsia" w:ascii="Times New Roman" w:hAnsi="Times New Roman" w:cs="Times New Roman"/>
                      <w:szCs w:val="21"/>
                    </w:rPr>
                    <w:t>0</w:t>
                  </w:r>
                </w:p>
              </w:tc>
              <w:tc>
                <w:tcPr>
                  <w:tcW w:w="1160" w:type="dxa"/>
                  <w:tcBorders>
                    <w:tl2br w:val="nil"/>
                    <w:tr2bl w:val="nil"/>
                  </w:tcBorders>
                  <w:shd w:val="clear" w:color="auto" w:fill="auto"/>
                  <w:noWrap/>
                  <w:vAlign w:val="center"/>
                </w:tcPr>
                <w:p w14:paraId="6816A247">
                  <w:pPr>
                    <w:jc w:val="center"/>
                    <w:rPr>
                      <w:rFonts w:ascii="Times New Roman" w:hAnsi="Times New Roman" w:eastAsia="宋体" w:cs="Times New Roman"/>
                      <w:szCs w:val="21"/>
                    </w:rPr>
                  </w:pPr>
                  <w:r>
                    <w:rPr>
                      <w:rFonts w:hint="eastAsia" w:ascii="Times New Roman" w:hAnsi="Times New Roman" w:eastAsia="宋体" w:cs="Times New Roman"/>
                      <w:szCs w:val="21"/>
                    </w:rPr>
                    <w:t>20</w:t>
                  </w:r>
                  <w:r>
                    <w:rPr>
                      <w:rFonts w:ascii="Times New Roman" w:hAnsi="Times New Roman" w:eastAsia="宋体" w:cs="Times New Roman"/>
                      <w:szCs w:val="21"/>
                    </w:rPr>
                    <w:t>t/a</w:t>
                  </w:r>
                </w:p>
              </w:tc>
              <w:tc>
                <w:tcPr>
                  <w:tcW w:w="762" w:type="dxa"/>
                  <w:tcBorders>
                    <w:tl2br w:val="nil"/>
                    <w:tr2bl w:val="nil"/>
                  </w:tcBorders>
                  <w:shd w:val="clear" w:color="auto" w:fill="auto"/>
                  <w:noWrap/>
                  <w:vAlign w:val="center"/>
                </w:tcPr>
                <w:p w14:paraId="17D4533E">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外购</w:t>
                  </w:r>
                </w:p>
              </w:tc>
              <w:tc>
                <w:tcPr>
                  <w:tcW w:w="1501" w:type="dxa"/>
                  <w:tcBorders>
                    <w:tl2br w:val="nil"/>
                    <w:tr2bl w:val="nil"/>
                  </w:tcBorders>
                  <w:shd w:val="clear" w:color="auto" w:fill="auto"/>
                  <w:noWrap/>
                  <w:vAlign w:val="center"/>
                </w:tcPr>
                <w:p w14:paraId="26C31B3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粉态，30kg/袋</w:t>
                  </w:r>
                </w:p>
              </w:tc>
            </w:tr>
            <w:tr w14:paraId="0EEDE8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3" w:type="dxa"/>
                  <w:tcBorders>
                    <w:tl2br w:val="nil"/>
                    <w:tr2bl w:val="nil"/>
                  </w:tcBorders>
                  <w:shd w:val="clear" w:color="auto" w:fill="auto"/>
                  <w:noWrap/>
                  <w:vAlign w:val="center"/>
                </w:tcPr>
                <w:p w14:paraId="190BB940">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6</w:t>
                  </w:r>
                </w:p>
              </w:tc>
              <w:tc>
                <w:tcPr>
                  <w:tcW w:w="1299" w:type="dxa"/>
                  <w:tcBorders>
                    <w:tl2br w:val="nil"/>
                    <w:tr2bl w:val="nil"/>
                  </w:tcBorders>
                  <w:shd w:val="clear" w:color="auto" w:fill="auto"/>
                  <w:noWrap/>
                  <w:vAlign w:val="center"/>
                </w:tcPr>
                <w:p w14:paraId="7C8B26A0">
                  <w:pPr>
                    <w:jc w:val="center"/>
                    <w:textAlignment w:val="baseline"/>
                    <w:rPr>
                      <w:rFonts w:ascii="Times New Roman" w:hAnsi="Times New Roman" w:eastAsia="宋体" w:cs="Times New Roman"/>
                      <w:color w:val="000000" w:themeColor="text1"/>
                      <w:szCs w:val="21"/>
                      <w14:textFill>
                        <w14:solidFill>
                          <w14:schemeClr w14:val="tx1"/>
                        </w14:solidFill>
                      </w14:textFill>
                    </w:rPr>
                  </w:pPr>
                  <w:r>
                    <w:rPr>
                      <w:rStyle w:val="40"/>
                      <w:rFonts w:hint="eastAsia" w:ascii="Times New Roman" w:hAnsi="Times New Roman" w:eastAsia="宋体" w:cs="Times New Roman"/>
                      <w:color w:val="000000" w:themeColor="text1"/>
                      <w14:textFill>
                        <w14:solidFill>
                          <w14:schemeClr w14:val="tx1"/>
                        </w14:solidFill>
                      </w14:textFill>
                    </w:rPr>
                    <w:t>助渗剂</w:t>
                  </w:r>
                </w:p>
              </w:tc>
              <w:tc>
                <w:tcPr>
                  <w:tcW w:w="1015" w:type="dxa"/>
                  <w:tcBorders>
                    <w:tl2br w:val="nil"/>
                    <w:tr2bl w:val="nil"/>
                  </w:tcBorders>
                  <w:shd w:val="clear" w:color="auto" w:fill="auto"/>
                  <w:noWrap/>
                  <w:vAlign w:val="center"/>
                </w:tcPr>
                <w:p w14:paraId="025D480C">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0.015</w:t>
                  </w:r>
                </w:p>
              </w:tc>
              <w:tc>
                <w:tcPr>
                  <w:tcW w:w="1160" w:type="dxa"/>
                  <w:tcBorders>
                    <w:tl2br w:val="nil"/>
                    <w:tr2bl w:val="nil"/>
                  </w:tcBorders>
                  <w:shd w:val="clear" w:color="auto" w:fill="auto"/>
                  <w:noWrap/>
                  <w:vAlign w:val="center"/>
                </w:tcPr>
                <w:p w14:paraId="3F444409">
                  <w:pPr>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0.225</w:t>
                  </w:r>
                  <w:r>
                    <w:rPr>
                      <w:rFonts w:ascii="Times New Roman" w:hAnsi="Times New Roman" w:eastAsia="宋体" w:cs="Times New Roman"/>
                      <w:color w:val="000000" w:themeColor="text1"/>
                      <w:szCs w:val="21"/>
                      <w14:textFill>
                        <w14:solidFill>
                          <w14:schemeClr w14:val="tx1"/>
                        </w14:solidFill>
                      </w14:textFill>
                    </w:rPr>
                    <w:t>t/a</w:t>
                  </w:r>
                </w:p>
              </w:tc>
              <w:tc>
                <w:tcPr>
                  <w:tcW w:w="1160" w:type="dxa"/>
                  <w:tcBorders>
                    <w:tl2br w:val="nil"/>
                    <w:tr2bl w:val="nil"/>
                  </w:tcBorders>
                  <w:shd w:val="clear" w:color="auto" w:fill="auto"/>
                  <w:noWrap/>
                  <w:vAlign w:val="center"/>
                </w:tcPr>
                <w:p w14:paraId="37D6C04A">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p>
              </w:tc>
              <w:tc>
                <w:tcPr>
                  <w:tcW w:w="1160" w:type="dxa"/>
                  <w:tcBorders>
                    <w:tl2br w:val="nil"/>
                    <w:tr2bl w:val="nil"/>
                  </w:tcBorders>
                  <w:shd w:val="clear" w:color="auto" w:fill="auto"/>
                  <w:noWrap/>
                  <w:vAlign w:val="center"/>
                </w:tcPr>
                <w:p w14:paraId="2BEEF187">
                  <w:pPr>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0.225</w:t>
                  </w:r>
                  <w:r>
                    <w:rPr>
                      <w:rFonts w:ascii="Times New Roman" w:hAnsi="Times New Roman" w:eastAsia="宋体" w:cs="Times New Roman"/>
                      <w:color w:val="000000" w:themeColor="text1"/>
                      <w:szCs w:val="21"/>
                      <w14:textFill>
                        <w14:solidFill>
                          <w14:schemeClr w14:val="tx1"/>
                        </w14:solidFill>
                      </w14:textFill>
                    </w:rPr>
                    <w:t>t/a</w:t>
                  </w:r>
                </w:p>
              </w:tc>
              <w:tc>
                <w:tcPr>
                  <w:tcW w:w="762" w:type="dxa"/>
                  <w:tcBorders>
                    <w:tl2br w:val="nil"/>
                    <w:tr2bl w:val="nil"/>
                  </w:tcBorders>
                  <w:shd w:val="clear" w:color="auto" w:fill="auto"/>
                  <w:noWrap/>
                  <w:vAlign w:val="center"/>
                </w:tcPr>
                <w:p w14:paraId="651C6923">
                  <w:pPr>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外购</w:t>
                  </w:r>
                </w:p>
              </w:tc>
              <w:tc>
                <w:tcPr>
                  <w:tcW w:w="1501" w:type="dxa"/>
                  <w:tcBorders>
                    <w:tl2br w:val="nil"/>
                    <w:tr2bl w:val="nil"/>
                  </w:tcBorders>
                  <w:shd w:val="clear" w:color="auto" w:fill="auto"/>
                  <w:noWrap/>
                  <w:vAlign w:val="center"/>
                </w:tcPr>
                <w:p w14:paraId="4579C3F7">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粉态，150g/袋</w:t>
                  </w:r>
                </w:p>
              </w:tc>
            </w:tr>
            <w:tr w14:paraId="511C7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3" w:type="dxa"/>
                  <w:tcBorders>
                    <w:tl2br w:val="nil"/>
                    <w:tr2bl w:val="nil"/>
                  </w:tcBorders>
                  <w:shd w:val="clear" w:color="auto" w:fill="auto"/>
                  <w:noWrap/>
                  <w:vAlign w:val="center"/>
                </w:tcPr>
                <w:p w14:paraId="53342B47">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7</w:t>
                  </w:r>
                </w:p>
              </w:tc>
              <w:tc>
                <w:tcPr>
                  <w:tcW w:w="1299" w:type="dxa"/>
                  <w:tcBorders>
                    <w:tl2br w:val="nil"/>
                    <w:tr2bl w:val="nil"/>
                  </w:tcBorders>
                  <w:shd w:val="clear" w:color="auto" w:fill="auto"/>
                  <w:noWrap/>
                  <w:vAlign w:val="center"/>
                </w:tcPr>
                <w:p w14:paraId="6117FDBD">
                  <w:pPr>
                    <w:jc w:val="center"/>
                    <w:textAlignment w:val="baseline"/>
                    <w:rPr>
                      <w:rFonts w:ascii="Times New Roman" w:hAnsi="Times New Roman" w:eastAsia="宋体" w:cs="Times New Roman"/>
                      <w:color w:val="000000" w:themeColor="text1"/>
                      <w:szCs w:val="21"/>
                      <w14:textFill>
                        <w14:solidFill>
                          <w14:schemeClr w14:val="tx1"/>
                        </w14:solidFill>
                      </w14:textFill>
                    </w:rPr>
                  </w:pPr>
                  <w:r>
                    <w:rPr>
                      <w:rStyle w:val="40"/>
                      <w:rFonts w:hint="eastAsia" w:ascii="Times New Roman" w:hAnsi="Times New Roman" w:eastAsia="宋体" w:cs="Times New Roman"/>
                      <w:color w:val="000000" w:themeColor="text1"/>
                      <w14:textFill>
                        <w14:solidFill>
                          <w14:schemeClr w14:val="tx1"/>
                        </w14:solidFill>
                      </w14:textFill>
                    </w:rPr>
                    <w:t>防粘接剂</w:t>
                  </w:r>
                </w:p>
              </w:tc>
              <w:tc>
                <w:tcPr>
                  <w:tcW w:w="1015" w:type="dxa"/>
                  <w:tcBorders>
                    <w:tl2br w:val="nil"/>
                    <w:tr2bl w:val="nil"/>
                  </w:tcBorders>
                  <w:shd w:val="clear" w:color="auto" w:fill="auto"/>
                  <w:noWrap/>
                  <w:vAlign w:val="center"/>
                </w:tcPr>
                <w:p w14:paraId="21FD7985">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r>
                    <w:rPr>
                      <w:rFonts w:hint="eastAsia" w:ascii="Times New Roman" w:hAnsi="Times New Roman" w:eastAsia="宋体" w:cs="Times New Roman"/>
                      <w:color w:val="000000" w:themeColor="text1"/>
                      <w:szCs w:val="21"/>
                      <w14:textFill>
                        <w14:solidFill>
                          <w14:schemeClr w14:val="tx1"/>
                        </w14:solidFill>
                      </w14:textFill>
                    </w:rPr>
                    <w:t>8</w:t>
                  </w:r>
                  <w:r>
                    <w:rPr>
                      <w:rFonts w:ascii="Times New Roman" w:hAnsi="Times New Roman" w:eastAsia="宋体" w:cs="Times New Roman"/>
                      <w:color w:val="000000" w:themeColor="text1"/>
                      <w:szCs w:val="21"/>
                      <w14:textFill>
                        <w14:solidFill>
                          <w14:schemeClr w14:val="tx1"/>
                        </w14:solidFill>
                      </w14:textFill>
                    </w:rPr>
                    <w:t>t</w:t>
                  </w:r>
                </w:p>
              </w:tc>
              <w:tc>
                <w:tcPr>
                  <w:tcW w:w="1160" w:type="dxa"/>
                  <w:tcBorders>
                    <w:tl2br w:val="nil"/>
                    <w:tr2bl w:val="nil"/>
                  </w:tcBorders>
                  <w:shd w:val="clear" w:color="auto" w:fill="auto"/>
                  <w:noWrap/>
                  <w:vAlign w:val="center"/>
                </w:tcPr>
                <w:p w14:paraId="1461C42C">
                  <w:pPr>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100</w:t>
                  </w:r>
                  <w:r>
                    <w:rPr>
                      <w:rFonts w:ascii="Times New Roman" w:hAnsi="Times New Roman" w:eastAsia="宋体" w:cs="Times New Roman"/>
                      <w:color w:val="000000" w:themeColor="text1"/>
                      <w:szCs w:val="21"/>
                      <w14:textFill>
                        <w14:solidFill>
                          <w14:schemeClr w14:val="tx1"/>
                        </w14:solidFill>
                      </w14:textFill>
                    </w:rPr>
                    <w:t>t/a</w:t>
                  </w:r>
                </w:p>
              </w:tc>
              <w:tc>
                <w:tcPr>
                  <w:tcW w:w="1160" w:type="dxa"/>
                  <w:tcBorders>
                    <w:tl2br w:val="nil"/>
                    <w:tr2bl w:val="nil"/>
                  </w:tcBorders>
                  <w:shd w:val="clear" w:color="auto" w:fill="auto"/>
                  <w:noWrap/>
                  <w:vAlign w:val="center"/>
                </w:tcPr>
                <w:p w14:paraId="592ADE7B">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p>
              </w:tc>
              <w:tc>
                <w:tcPr>
                  <w:tcW w:w="1160" w:type="dxa"/>
                  <w:tcBorders>
                    <w:tl2br w:val="nil"/>
                    <w:tr2bl w:val="nil"/>
                  </w:tcBorders>
                  <w:shd w:val="clear" w:color="auto" w:fill="auto"/>
                  <w:noWrap/>
                  <w:vAlign w:val="center"/>
                </w:tcPr>
                <w:p w14:paraId="462415F2">
                  <w:pPr>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100</w:t>
                  </w:r>
                  <w:r>
                    <w:rPr>
                      <w:rFonts w:ascii="Times New Roman" w:hAnsi="Times New Roman" w:eastAsia="宋体" w:cs="Times New Roman"/>
                      <w:color w:val="000000" w:themeColor="text1"/>
                      <w:szCs w:val="21"/>
                      <w14:textFill>
                        <w14:solidFill>
                          <w14:schemeClr w14:val="tx1"/>
                        </w14:solidFill>
                      </w14:textFill>
                    </w:rPr>
                    <w:t>t/a</w:t>
                  </w:r>
                </w:p>
              </w:tc>
              <w:tc>
                <w:tcPr>
                  <w:tcW w:w="762" w:type="dxa"/>
                  <w:tcBorders>
                    <w:tl2br w:val="nil"/>
                    <w:tr2bl w:val="nil"/>
                  </w:tcBorders>
                  <w:shd w:val="clear" w:color="auto" w:fill="auto"/>
                  <w:noWrap/>
                  <w:vAlign w:val="center"/>
                </w:tcPr>
                <w:p w14:paraId="35A190F1">
                  <w:pPr>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外购</w:t>
                  </w:r>
                </w:p>
              </w:tc>
              <w:tc>
                <w:tcPr>
                  <w:tcW w:w="1501" w:type="dxa"/>
                  <w:tcBorders>
                    <w:tl2br w:val="nil"/>
                    <w:tr2bl w:val="nil"/>
                  </w:tcBorders>
                  <w:shd w:val="clear" w:color="auto" w:fill="auto"/>
                  <w:noWrap/>
                  <w:vAlign w:val="center"/>
                </w:tcPr>
                <w:p w14:paraId="2C1B8E92">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粉态，40kg/袋</w:t>
                  </w:r>
                </w:p>
              </w:tc>
            </w:tr>
            <w:tr w14:paraId="11F10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93" w:type="dxa"/>
                  <w:tcBorders>
                    <w:tl2br w:val="nil"/>
                    <w:tr2bl w:val="nil"/>
                  </w:tcBorders>
                  <w:shd w:val="clear" w:color="auto" w:fill="auto"/>
                  <w:noWrap/>
                  <w:vAlign w:val="center"/>
                </w:tcPr>
                <w:p w14:paraId="416C4534">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8</w:t>
                  </w:r>
                </w:p>
              </w:tc>
              <w:tc>
                <w:tcPr>
                  <w:tcW w:w="1299" w:type="dxa"/>
                  <w:tcBorders>
                    <w:tl2br w:val="nil"/>
                    <w:tr2bl w:val="nil"/>
                  </w:tcBorders>
                  <w:shd w:val="clear" w:color="auto" w:fill="auto"/>
                  <w:noWrap/>
                  <w:vAlign w:val="center"/>
                </w:tcPr>
                <w:p w14:paraId="2CA8723F">
                  <w:pPr>
                    <w:jc w:val="center"/>
                    <w:textAlignment w:val="baseline"/>
                    <w:rPr>
                      <w:rFonts w:ascii="Times New Roman" w:hAnsi="Times New Roman" w:eastAsia="宋体" w:cs="Times New Roman"/>
                      <w:color w:val="000000" w:themeColor="text1"/>
                      <w:szCs w:val="21"/>
                      <w14:textFill>
                        <w14:solidFill>
                          <w14:schemeClr w14:val="tx1"/>
                        </w14:solidFill>
                      </w14:textFill>
                    </w:rPr>
                  </w:pPr>
                  <w:r>
                    <w:rPr>
                      <w:rStyle w:val="40"/>
                      <w:rFonts w:hint="eastAsia" w:ascii="Times New Roman" w:hAnsi="Times New Roman" w:eastAsia="宋体" w:cs="Times New Roman"/>
                      <w:color w:val="000000" w:themeColor="text1"/>
                      <w14:textFill>
                        <w14:solidFill>
                          <w14:schemeClr w14:val="tx1"/>
                        </w14:solidFill>
                      </w14:textFill>
                    </w:rPr>
                    <w:t>环保封闭剂</w:t>
                  </w:r>
                </w:p>
              </w:tc>
              <w:tc>
                <w:tcPr>
                  <w:tcW w:w="1015" w:type="dxa"/>
                  <w:tcBorders>
                    <w:tl2br w:val="nil"/>
                    <w:tr2bl w:val="nil"/>
                  </w:tcBorders>
                  <w:shd w:val="clear" w:color="auto" w:fill="auto"/>
                  <w:noWrap/>
                  <w:vAlign w:val="center"/>
                </w:tcPr>
                <w:p w14:paraId="1817040F">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r>
                    <w:rPr>
                      <w:rFonts w:hint="eastAsia" w:ascii="Times New Roman" w:hAnsi="Times New Roman" w:eastAsia="宋体" w:cs="Times New Roman"/>
                      <w:color w:val="000000" w:themeColor="text1"/>
                      <w:szCs w:val="21"/>
                      <w14:textFill>
                        <w14:solidFill>
                          <w14:schemeClr w14:val="tx1"/>
                        </w14:solidFill>
                      </w14:textFill>
                    </w:rPr>
                    <w:t>8</w:t>
                  </w:r>
                  <w:r>
                    <w:rPr>
                      <w:rFonts w:ascii="Times New Roman" w:hAnsi="Times New Roman" w:eastAsia="宋体" w:cs="Times New Roman"/>
                      <w:color w:val="000000" w:themeColor="text1"/>
                      <w:szCs w:val="21"/>
                      <w14:textFill>
                        <w14:solidFill>
                          <w14:schemeClr w14:val="tx1"/>
                        </w14:solidFill>
                      </w14:textFill>
                    </w:rPr>
                    <w:t>t</w:t>
                  </w:r>
                </w:p>
              </w:tc>
              <w:tc>
                <w:tcPr>
                  <w:tcW w:w="1160" w:type="dxa"/>
                  <w:tcBorders>
                    <w:tl2br w:val="nil"/>
                    <w:tr2bl w:val="nil"/>
                  </w:tcBorders>
                  <w:shd w:val="clear" w:color="auto" w:fill="auto"/>
                  <w:noWrap/>
                  <w:vAlign w:val="center"/>
                </w:tcPr>
                <w:p w14:paraId="676E51A1">
                  <w:pPr>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20</w:t>
                  </w:r>
                  <w:r>
                    <w:rPr>
                      <w:rFonts w:ascii="Times New Roman" w:hAnsi="Times New Roman" w:eastAsia="宋体" w:cs="Times New Roman"/>
                      <w:color w:val="000000" w:themeColor="text1"/>
                      <w:szCs w:val="21"/>
                      <w14:textFill>
                        <w14:solidFill>
                          <w14:schemeClr w14:val="tx1"/>
                        </w14:solidFill>
                      </w14:textFill>
                    </w:rPr>
                    <w:t>t/a</w:t>
                  </w:r>
                </w:p>
              </w:tc>
              <w:tc>
                <w:tcPr>
                  <w:tcW w:w="1160" w:type="dxa"/>
                  <w:tcBorders>
                    <w:tl2br w:val="nil"/>
                    <w:tr2bl w:val="nil"/>
                  </w:tcBorders>
                  <w:shd w:val="clear" w:color="auto" w:fill="auto"/>
                  <w:noWrap/>
                  <w:vAlign w:val="center"/>
                </w:tcPr>
                <w:p w14:paraId="041EAB11">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p>
              </w:tc>
              <w:tc>
                <w:tcPr>
                  <w:tcW w:w="1160" w:type="dxa"/>
                  <w:tcBorders>
                    <w:tl2br w:val="nil"/>
                    <w:tr2bl w:val="nil"/>
                  </w:tcBorders>
                  <w:shd w:val="clear" w:color="auto" w:fill="auto"/>
                  <w:noWrap/>
                  <w:vAlign w:val="center"/>
                </w:tcPr>
                <w:p w14:paraId="04BCE0FE">
                  <w:pPr>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20</w:t>
                  </w:r>
                  <w:r>
                    <w:rPr>
                      <w:rFonts w:ascii="Times New Roman" w:hAnsi="Times New Roman" w:eastAsia="宋体" w:cs="Times New Roman"/>
                      <w:color w:val="000000" w:themeColor="text1"/>
                      <w:szCs w:val="21"/>
                      <w14:textFill>
                        <w14:solidFill>
                          <w14:schemeClr w14:val="tx1"/>
                        </w14:solidFill>
                      </w14:textFill>
                    </w:rPr>
                    <w:t>t/a</w:t>
                  </w:r>
                </w:p>
              </w:tc>
              <w:tc>
                <w:tcPr>
                  <w:tcW w:w="762" w:type="dxa"/>
                  <w:tcBorders>
                    <w:tl2br w:val="nil"/>
                    <w:tr2bl w:val="nil"/>
                  </w:tcBorders>
                  <w:shd w:val="clear" w:color="auto" w:fill="auto"/>
                  <w:noWrap/>
                  <w:vAlign w:val="center"/>
                </w:tcPr>
                <w:p w14:paraId="4F928785">
                  <w:pPr>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外购</w:t>
                  </w:r>
                </w:p>
              </w:tc>
              <w:tc>
                <w:tcPr>
                  <w:tcW w:w="1501" w:type="dxa"/>
                  <w:tcBorders>
                    <w:tl2br w:val="nil"/>
                    <w:tr2bl w:val="nil"/>
                  </w:tcBorders>
                  <w:shd w:val="clear" w:color="auto" w:fill="auto"/>
                  <w:noWrap/>
                  <w:vAlign w:val="center"/>
                </w:tcPr>
                <w:p w14:paraId="30C3D798">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液态，40kg/桶</w:t>
                  </w:r>
                </w:p>
              </w:tc>
            </w:tr>
            <w:tr w14:paraId="55F9F0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93" w:type="dxa"/>
                  <w:tcBorders>
                    <w:tl2br w:val="nil"/>
                    <w:tr2bl w:val="nil"/>
                  </w:tcBorders>
                  <w:shd w:val="clear" w:color="auto" w:fill="auto"/>
                  <w:noWrap/>
                  <w:vAlign w:val="center"/>
                </w:tcPr>
                <w:p w14:paraId="6ECD39B8">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9</w:t>
                  </w:r>
                </w:p>
              </w:tc>
              <w:tc>
                <w:tcPr>
                  <w:tcW w:w="1299" w:type="dxa"/>
                  <w:tcBorders>
                    <w:tl2br w:val="nil"/>
                    <w:tr2bl w:val="nil"/>
                  </w:tcBorders>
                  <w:shd w:val="clear" w:color="auto" w:fill="auto"/>
                  <w:noWrap/>
                  <w:vAlign w:val="center"/>
                </w:tcPr>
                <w:p w14:paraId="5A1CE8ED">
                  <w:pPr>
                    <w:jc w:val="center"/>
                    <w:textAlignment w:val="baseline"/>
                    <w:rPr>
                      <w:rFonts w:ascii="Times New Roman" w:hAnsi="Times New Roman" w:eastAsia="宋体" w:cs="Times New Roman"/>
                      <w:color w:val="000000" w:themeColor="text1"/>
                      <w:szCs w:val="21"/>
                      <w14:textFill>
                        <w14:solidFill>
                          <w14:schemeClr w14:val="tx1"/>
                        </w14:solidFill>
                      </w14:textFill>
                    </w:rPr>
                  </w:pPr>
                  <w:r>
                    <w:rPr>
                      <w:rStyle w:val="40"/>
                      <w:rFonts w:hint="eastAsia" w:ascii="Times New Roman" w:hAnsi="Times New Roman" w:eastAsia="宋体" w:cs="Times New Roman"/>
                      <w:color w:val="000000" w:themeColor="text1"/>
                      <w14:textFill>
                        <w14:solidFill>
                          <w14:schemeClr w14:val="tx1"/>
                        </w14:solidFill>
                      </w14:textFill>
                    </w:rPr>
                    <w:t>钢丸</w:t>
                  </w:r>
                </w:p>
              </w:tc>
              <w:tc>
                <w:tcPr>
                  <w:tcW w:w="1015" w:type="dxa"/>
                  <w:tcBorders>
                    <w:tl2br w:val="nil"/>
                    <w:tr2bl w:val="nil"/>
                  </w:tcBorders>
                  <w:shd w:val="clear" w:color="auto" w:fill="auto"/>
                  <w:noWrap/>
                  <w:vAlign w:val="center"/>
                </w:tcPr>
                <w:p w14:paraId="658BBBD1">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1t</w:t>
                  </w:r>
                </w:p>
              </w:tc>
              <w:tc>
                <w:tcPr>
                  <w:tcW w:w="1160" w:type="dxa"/>
                  <w:tcBorders>
                    <w:tl2br w:val="nil"/>
                    <w:tr2bl w:val="nil"/>
                  </w:tcBorders>
                  <w:shd w:val="clear" w:color="auto" w:fill="auto"/>
                  <w:noWrap/>
                  <w:vAlign w:val="center"/>
                </w:tcPr>
                <w:p w14:paraId="1881BCD1">
                  <w:pPr>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10</w:t>
                  </w:r>
                  <w:r>
                    <w:rPr>
                      <w:rFonts w:ascii="Times New Roman" w:hAnsi="Times New Roman" w:eastAsia="宋体" w:cs="Times New Roman"/>
                      <w:color w:val="000000" w:themeColor="text1"/>
                      <w:szCs w:val="21"/>
                      <w14:textFill>
                        <w14:solidFill>
                          <w14:schemeClr w14:val="tx1"/>
                        </w14:solidFill>
                      </w14:textFill>
                    </w:rPr>
                    <w:t>t/a</w:t>
                  </w:r>
                </w:p>
              </w:tc>
              <w:tc>
                <w:tcPr>
                  <w:tcW w:w="1160" w:type="dxa"/>
                  <w:tcBorders>
                    <w:tl2br w:val="nil"/>
                    <w:tr2bl w:val="nil"/>
                  </w:tcBorders>
                  <w:shd w:val="clear" w:color="auto" w:fill="auto"/>
                  <w:noWrap/>
                  <w:vAlign w:val="center"/>
                </w:tcPr>
                <w:p w14:paraId="4FAEA45C">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p>
              </w:tc>
              <w:tc>
                <w:tcPr>
                  <w:tcW w:w="1160" w:type="dxa"/>
                  <w:tcBorders>
                    <w:tl2br w:val="nil"/>
                    <w:tr2bl w:val="nil"/>
                  </w:tcBorders>
                  <w:shd w:val="clear" w:color="auto" w:fill="auto"/>
                  <w:noWrap/>
                  <w:vAlign w:val="center"/>
                </w:tcPr>
                <w:p w14:paraId="33B5501A">
                  <w:pPr>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10</w:t>
                  </w:r>
                  <w:r>
                    <w:rPr>
                      <w:rFonts w:ascii="Times New Roman" w:hAnsi="Times New Roman" w:eastAsia="宋体" w:cs="Times New Roman"/>
                      <w:color w:val="000000" w:themeColor="text1"/>
                      <w:szCs w:val="21"/>
                      <w14:textFill>
                        <w14:solidFill>
                          <w14:schemeClr w14:val="tx1"/>
                        </w14:solidFill>
                      </w14:textFill>
                    </w:rPr>
                    <w:t>t/a</w:t>
                  </w:r>
                </w:p>
              </w:tc>
              <w:tc>
                <w:tcPr>
                  <w:tcW w:w="762" w:type="dxa"/>
                  <w:tcBorders>
                    <w:tl2br w:val="nil"/>
                    <w:tr2bl w:val="nil"/>
                  </w:tcBorders>
                  <w:shd w:val="clear" w:color="auto" w:fill="auto"/>
                  <w:noWrap/>
                  <w:vAlign w:val="center"/>
                </w:tcPr>
                <w:p w14:paraId="04F621A2">
                  <w:pPr>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外购</w:t>
                  </w:r>
                </w:p>
              </w:tc>
              <w:tc>
                <w:tcPr>
                  <w:tcW w:w="1501" w:type="dxa"/>
                  <w:tcBorders>
                    <w:tl2br w:val="nil"/>
                    <w:tr2bl w:val="nil"/>
                  </w:tcBorders>
                  <w:shd w:val="clear" w:color="auto" w:fill="auto"/>
                  <w:noWrap/>
                  <w:vAlign w:val="center"/>
                </w:tcPr>
                <w:p w14:paraId="0D0207D3">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桶装，200kg/桶</w:t>
                  </w:r>
                </w:p>
              </w:tc>
            </w:tr>
            <w:tr w14:paraId="4646C5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93" w:type="dxa"/>
                  <w:tcBorders>
                    <w:tl2br w:val="nil"/>
                    <w:tr2bl w:val="nil"/>
                  </w:tcBorders>
                  <w:shd w:val="clear" w:color="auto" w:fill="auto"/>
                  <w:noWrap/>
                  <w:vAlign w:val="center"/>
                </w:tcPr>
                <w:p w14:paraId="1671CDE1">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10</w:t>
                  </w:r>
                </w:p>
              </w:tc>
              <w:tc>
                <w:tcPr>
                  <w:tcW w:w="1299" w:type="dxa"/>
                  <w:tcBorders>
                    <w:tl2br w:val="nil"/>
                    <w:tr2bl w:val="nil"/>
                  </w:tcBorders>
                  <w:shd w:val="clear" w:color="auto" w:fill="auto"/>
                  <w:noWrap/>
                  <w:vAlign w:val="center"/>
                </w:tcPr>
                <w:p w14:paraId="3FAD7EF6">
                  <w:pPr>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润滑</w:t>
                  </w:r>
                  <w:r>
                    <w:rPr>
                      <w:rFonts w:ascii="Times New Roman" w:hAnsi="Times New Roman" w:eastAsia="宋体" w:cs="Times New Roman"/>
                      <w:color w:val="000000" w:themeColor="text1"/>
                      <w:szCs w:val="21"/>
                      <w14:textFill>
                        <w14:solidFill>
                          <w14:schemeClr w14:val="tx1"/>
                        </w14:solidFill>
                      </w14:textFill>
                    </w:rPr>
                    <w:t>油</w:t>
                  </w:r>
                </w:p>
              </w:tc>
              <w:tc>
                <w:tcPr>
                  <w:tcW w:w="1015" w:type="dxa"/>
                  <w:tcBorders>
                    <w:tl2br w:val="nil"/>
                    <w:tr2bl w:val="nil"/>
                  </w:tcBorders>
                  <w:shd w:val="clear" w:color="auto" w:fill="auto"/>
                  <w:noWrap/>
                  <w:vAlign w:val="center"/>
                </w:tcPr>
                <w:p w14:paraId="7A4E3589">
                  <w:pPr>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175L</w:t>
                  </w:r>
                </w:p>
              </w:tc>
              <w:tc>
                <w:tcPr>
                  <w:tcW w:w="1160" w:type="dxa"/>
                  <w:tcBorders>
                    <w:tl2br w:val="nil"/>
                    <w:tr2bl w:val="nil"/>
                  </w:tcBorders>
                  <w:shd w:val="clear" w:color="auto" w:fill="auto"/>
                  <w:noWrap/>
                  <w:vAlign w:val="center"/>
                </w:tcPr>
                <w:p w14:paraId="1A940DCA">
                  <w:pPr>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350</w:t>
                  </w:r>
                  <w:r>
                    <w:rPr>
                      <w:rFonts w:ascii="Times New Roman" w:hAnsi="Times New Roman" w:eastAsia="宋体" w:cs="Times New Roman"/>
                      <w:color w:val="000000" w:themeColor="text1"/>
                      <w:szCs w:val="21"/>
                      <w14:textFill>
                        <w14:solidFill>
                          <w14:schemeClr w14:val="tx1"/>
                        </w14:solidFill>
                      </w14:textFill>
                    </w:rPr>
                    <w:t>L/a</w:t>
                  </w:r>
                </w:p>
              </w:tc>
              <w:tc>
                <w:tcPr>
                  <w:tcW w:w="1160" w:type="dxa"/>
                  <w:tcBorders>
                    <w:tl2br w:val="nil"/>
                    <w:tr2bl w:val="nil"/>
                  </w:tcBorders>
                  <w:shd w:val="clear" w:color="auto" w:fill="auto"/>
                  <w:noWrap/>
                  <w:vAlign w:val="center"/>
                </w:tcPr>
                <w:p w14:paraId="08B3D56E">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p>
              </w:tc>
              <w:tc>
                <w:tcPr>
                  <w:tcW w:w="1160" w:type="dxa"/>
                  <w:tcBorders>
                    <w:tl2br w:val="nil"/>
                    <w:tr2bl w:val="nil"/>
                  </w:tcBorders>
                  <w:shd w:val="clear" w:color="auto" w:fill="auto"/>
                  <w:noWrap/>
                  <w:vAlign w:val="center"/>
                </w:tcPr>
                <w:p w14:paraId="7004F8DD">
                  <w:pPr>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350</w:t>
                  </w:r>
                  <w:r>
                    <w:rPr>
                      <w:rFonts w:ascii="Times New Roman" w:hAnsi="Times New Roman" w:eastAsia="宋体" w:cs="Times New Roman"/>
                      <w:color w:val="000000" w:themeColor="text1"/>
                      <w:szCs w:val="21"/>
                      <w14:textFill>
                        <w14:solidFill>
                          <w14:schemeClr w14:val="tx1"/>
                        </w14:solidFill>
                      </w14:textFill>
                    </w:rPr>
                    <w:t>L/a</w:t>
                  </w:r>
                </w:p>
              </w:tc>
              <w:tc>
                <w:tcPr>
                  <w:tcW w:w="762" w:type="dxa"/>
                  <w:tcBorders>
                    <w:tl2br w:val="nil"/>
                    <w:tr2bl w:val="nil"/>
                  </w:tcBorders>
                  <w:shd w:val="clear" w:color="auto" w:fill="auto"/>
                  <w:noWrap/>
                  <w:vAlign w:val="center"/>
                </w:tcPr>
                <w:p w14:paraId="6D41793A">
                  <w:pPr>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外购</w:t>
                  </w:r>
                </w:p>
              </w:tc>
              <w:tc>
                <w:tcPr>
                  <w:tcW w:w="1501" w:type="dxa"/>
                  <w:tcBorders>
                    <w:tl2br w:val="nil"/>
                    <w:tr2bl w:val="nil"/>
                  </w:tcBorders>
                  <w:shd w:val="clear" w:color="auto" w:fill="auto"/>
                  <w:noWrap/>
                  <w:vAlign w:val="center"/>
                </w:tcPr>
                <w:p w14:paraId="0BBC3120">
                  <w:pPr>
                    <w:jc w:val="center"/>
                    <w:textAlignment w:val="baseline"/>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175L/桶</w:t>
                  </w:r>
                </w:p>
              </w:tc>
            </w:tr>
            <w:tr w14:paraId="3AEFA7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93" w:type="dxa"/>
                  <w:tcBorders>
                    <w:tl2br w:val="nil"/>
                    <w:tr2bl w:val="nil"/>
                  </w:tcBorders>
                  <w:shd w:val="clear" w:color="auto" w:fill="auto"/>
                  <w:noWrap/>
                  <w:vAlign w:val="center"/>
                </w:tcPr>
                <w:p w14:paraId="7A3CD5AD">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11</w:t>
                  </w:r>
                </w:p>
              </w:tc>
              <w:tc>
                <w:tcPr>
                  <w:tcW w:w="1299" w:type="dxa"/>
                  <w:tcBorders>
                    <w:tl2br w:val="nil"/>
                    <w:tr2bl w:val="nil"/>
                  </w:tcBorders>
                  <w:shd w:val="clear" w:color="auto" w:fill="auto"/>
                  <w:noWrap/>
                  <w:vAlign w:val="center"/>
                </w:tcPr>
                <w:p w14:paraId="70BCA392">
                  <w:pPr>
                    <w:jc w:val="center"/>
                    <w:textAlignment w:val="baseline"/>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活性炭</w:t>
                  </w:r>
                </w:p>
              </w:tc>
              <w:tc>
                <w:tcPr>
                  <w:tcW w:w="1015" w:type="dxa"/>
                  <w:tcBorders>
                    <w:tl2br w:val="nil"/>
                    <w:tr2bl w:val="nil"/>
                  </w:tcBorders>
                  <w:shd w:val="clear" w:color="auto" w:fill="auto"/>
                  <w:noWrap/>
                  <w:vAlign w:val="center"/>
                </w:tcPr>
                <w:p w14:paraId="1D916028">
                  <w:pPr>
                    <w:jc w:val="center"/>
                    <w:textAlignment w:val="baseline"/>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0.2t</w:t>
                  </w:r>
                </w:p>
              </w:tc>
              <w:tc>
                <w:tcPr>
                  <w:tcW w:w="1160" w:type="dxa"/>
                  <w:tcBorders>
                    <w:tl2br w:val="nil"/>
                    <w:tr2bl w:val="nil"/>
                  </w:tcBorders>
                  <w:shd w:val="clear" w:color="auto" w:fill="auto"/>
                  <w:noWrap/>
                  <w:vAlign w:val="center"/>
                </w:tcPr>
                <w:p w14:paraId="436917A6">
                  <w:pPr>
                    <w:tabs>
                      <w:tab w:val="left" w:pos="290"/>
                    </w:tabs>
                    <w:jc w:val="center"/>
                    <w:textAlignment w:val="baseline"/>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0.816</w:t>
                  </w:r>
                  <w:r>
                    <w:rPr>
                      <w:rFonts w:ascii="Times New Roman" w:hAnsi="Times New Roman" w:eastAsia="宋体" w:cs="Times New Roman"/>
                      <w:b w:val="0"/>
                      <w:bCs w:val="0"/>
                      <w:szCs w:val="21"/>
                    </w:rPr>
                    <w:t>t/a</w:t>
                  </w:r>
                </w:p>
              </w:tc>
              <w:tc>
                <w:tcPr>
                  <w:tcW w:w="1160" w:type="dxa"/>
                  <w:tcBorders>
                    <w:tl2br w:val="nil"/>
                    <w:tr2bl w:val="nil"/>
                  </w:tcBorders>
                  <w:shd w:val="clear" w:color="auto" w:fill="auto"/>
                  <w:noWrap/>
                  <w:vAlign w:val="center"/>
                </w:tcPr>
                <w:p w14:paraId="56A6884B">
                  <w:pPr>
                    <w:adjustRightInd w:val="0"/>
                    <w:snapToGrid w:val="0"/>
                    <w:jc w:val="cente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3.316</w:t>
                  </w:r>
                  <w:r>
                    <w:rPr>
                      <w:rFonts w:ascii="Times New Roman" w:hAnsi="Times New Roman" w:eastAsia="宋体" w:cs="Times New Roman"/>
                      <w:b w:val="0"/>
                      <w:bCs w:val="0"/>
                      <w:szCs w:val="21"/>
                    </w:rPr>
                    <w:t>t/a</w:t>
                  </w:r>
                </w:p>
              </w:tc>
              <w:tc>
                <w:tcPr>
                  <w:tcW w:w="1160" w:type="dxa"/>
                  <w:tcBorders>
                    <w:tl2br w:val="nil"/>
                    <w:tr2bl w:val="nil"/>
                  </w:tcBorders>
                  <w:shd w:val="clear" w:color="auto" w:fill="auto"/>
                  <w:noWrap/>
                  <w:vAlign w:val="center"/>
                </w:tcPr>
                <w:p w14:paraId="5304FE09">
                  <w:pPr>
                    <w:jc w:val="center"/>
                    <w:textAlignment w:val="baseline"/>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4.132</w:t>
                  </w:r>
                  <w:r>
                    <w:rPr>
                      <w:rFonts w:ascii="Times New Roman" w:hAnsi="Times New Roman" w:eastAsia="宋体" w:cs="Times New Roman"/>
                      <w:b w:val="0"/>
                      <w:bCs w:val="0"/>
                      <w:szCs w:val="21"/>
                    </w:rPr>
                    <w:t>t/a</w:t>
                  </w:r>
                </w:p>
              </w:tc>
              <w:tc>
                <w:tcPr>
                  <w:tcW w:w="762" w:type="dxa"/>
                  <w:tcBorders>
                    <w:tl2br w:val="nil"/>
                    <w:tr2bl w:val="nil"/>
                  </w:tcBorders>
                  <w:shd w:val="clear" w:color="auto" w:fill="auto"/>
                  <w:noWrap/>
                  <w:vAlign w:val="center"/>
                </w:tcPr>
                <w:p w14:paraId="5C5188A7">
                  <w:pPr>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外购</w:t>
                  </w:r>
                </w:p>
              </w:tc>
              <w:tc>
                <w:tcPr>
                  <w:tcW w:w="1501" w:type="dxa"/>
                  <w:tcBorders>
                    <w:tl2br w:val="nil"/>
                    <w:tr2bl w:val="nil"/>
                  </w:tcBorders>
                  <w:shd w:val="clear" w:color="auto" w:fill="auto"/>
                  <w:noWrap/>
                  <w:vAlign w:val="center"/>
                </w:tcPr>
                <w:p w14:paraId="6D4E1D55">
                  <w:pPr>
                    <w:jc w:val="center"/>
                    <w:textAlignment w:val="baseline"/>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碘值不宜低于650mg/g</w:t>
                  </w:r>
                </w:p>
              </w:tc>
            </w:tr>
            <w:tr w14:paraId="0A85EE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93" w:type="dxa"/>
                  <w:tcBorders>
                    <w:tl2br w:val="nil"/>
                    <w:tr2bl w:val="nil"/>
                  </w:tcBorders>
                  <w:shd w:val="clear" w:color="auto" w:fill="auto"/>
                  <w:noWrap/>
                  <w:vAlign w:val="center"/>
                </w:tcPr>
                <w:p w14:paraId="56F17220">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12</w:t>
                  </w:r>
                </w:p>
              </w:tc>
              <w:tc>
                <w:tcPr>
                  <w:tcW w:w="1299" w:type="dxa"/>
                  <w:tcBorders>
                    <w:tl2br w:val="nil"/>
                    <w:tr2bl w:val="nil"/>
                  </w:tcBorders>
                  <w:shd w:val="clear" w:color="auto" w:fill="auto"/>
                  <w:noWrap/>
                  <w:vAlign w:val="center"/>
                </w:tcPr>
                <w:p w14:paraId="51C317CF">
                  <w:pPr>
                    <w:jc w:val="center"/>
                    <w:textAlignment w:val="baseline"/>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过滤棉</w:t>
                  </w:r>
                </w:p>
              </w:tc>
              <w:tc>
                <w:tcPr>
                  <w:tcW w:w="1015" w:type="dxa"/>
                  <w:tcBorders>
                    <w:tl2br w:val="nil"/>
                    <w:tr2bl w:val="nil"/>
                  </w:tcBorders>
                  <w:shd w:val="clear" w:color="auto" w:fill="auto"/>
                  <w:noWrap/>
                  <w:vAlign w:val="center"/>
                </w:tcPr>
                <w:p w14:paraId="4CB0AC61">
                  <w:pPr>
                    <w:jc w:val="center"/>
                    <w:textAlignment w:val="baseline"/>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szCs w:val="21"/>
                      <w:lang w:val="en-US" w:eastAsia="zh-CN"/>
                    </w:rPr>
                    <w:t>0.5</w:t>
                  </w:r>
                  <w:r>
                    <w:rPr>
                      <w:rFonts w:ascii="Times New Roman" w:hAnsi="Times New Roman" w:eastAsia="宋体" w:cs="Times New Roman"/>
                      <w:b w:val="0"/>
                      <w:bCs w:val="0"/>
                      <w:szCs w:val="21"/>
                    </w:rPr>
                    <w:t>t</w:t>
                  </w:r>
                </w:p>
              </w:tc>
              <w:tc>
                <w:tcPr>
                  <w:tcW w:w="1160" w:type="dxa"/>
                  <w:tcBorders>
                    <w:tl2br w:val="nil"/>
                    <w:tr2bl w:val="nil"/>
                  </w:tcBorders>
                  <w:shd w:val="clear" w:color="auto" w:fill="auto"/>
                  <w:noWrap/>
                  <w:vAlign w:val="center"/>
                </w:tcPr>
                <w:p w14:paraId="4E305B62">
                  <w:pPr>
                    <w:tabs>
                      <w:tab w:val="left" w:pos="290"/>
                    </w:tabs>
                    <w:jc w:val="center"/>
                    <w:textAlignment w:val="baseline"/>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0.4</w:t>
                  </w:r>
                  <w:r>
                    <w:rPr>
                      <w:rFonts w:ascii="Times New Roman" w:hAnsi="Times New Roman" w:eastAsia="宋体" w:cs="Times New Roman"/>
                      <w:b w:val="0"/>
                      <w:bCs w:val="0"/>
                      <w:szCs w:val="21"/>
                    </w:rPr>
                    <w:t>t/a</w:t>
                  </w:r>
                </w:p>
              </w:tc>
              <w:tc>
                <w:tcPr>
                  <w:tcW w:w="1160" w:type="dxa"/>
                  <w:tcBorders>
                    <w:tl2br w:val="nil"/>
                    <w:tr2bl w:val="nil"/>
                  </w:tcBorders>
                  <w:shd w:val="clear" w:color="auto" w:fill="auto"/>
                  <w:noWrap/>
                  <w:vAlign w:val="center"/>
                </w:tcPr>
                <w:p w14:paraId="1672ED2F">
                  <w:pPr>
                    <w:adjustRightInd w:val="0"/>
                    <w:snapToGrid w:val="0"/>
                    <w:jc w:val="cente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1.6</w:t>
                  </w:r>
                  <w:r>
                    <w:rPr>
                      <w:rFonts w:ascii="Times New Roman" w:hAnsi="Times New Roman" w:eastAsia="宋体" w:cs="Times New Roman"/>
                      <w:b w:val="0"/>
                      <w:bCs w:val="0"/>
                      <w:szCs w:val="21"/>
                    </w:rPr>
                    <w:t>t/a</w:t>
                  </w:r>
                </w:p>
              </w:tc>
              <w:tc>
                <w:tcPr>
                  <w:tcW w:w="1160" w:type="dxa"/>
                  <w:tcBorders>
                    <w:tl2br w:val="nil"/>
                    <w:tr2bl w:val="nil"/>
                  </w:tcBorders>
                  <w:shd w:val="clear" w:color="auto" w:fill="auto"/>
                  <w:noWrap/>
                  <w:vAlign w:val="center"/>
                </w:tcPr>
                <w:p w14:paraId="48ED63BA">
                  <w:pPr>
                    <w:jc w:val="center"/>
                    <w:textAlignment w:val="baseline"/>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2.0</w:t>
                  </w:r>
                  <w:r>
                    <w:rPr>
                      <w:rFonts w:ascii="Times New Roman" w:hAnsi="Times New Roman" w:eastAsia="宋体" w:cs="Times New Roman"/>
                      <w:b w:val="0"/>
                      <w:bCs w:val="0"/>
                      <w:szCs w:val="21"/>
                    </w:rPr>
                    <w:t>t/a</w:t>
                  </w:r>
                </w:p>
              </w:tc>
              <w:tc>
                <w:tcPr>
                  <w:tcW w:w="762" w:type="dxa"/>
                  <w:tcBorders>
                    <w:tl2br w:val="nil"/>
                    <w:tr2bl w:val="nil"/>
                  </w:tcBorders>
                  <w:shd w:val="clear" w:color="auto" w:fill="auto"/>
                  <w:noWrap/>
                  <w:vAlign w:val="center"/>
                </w:tcPr>
                <w:p w14:paraId="4037410E">
                  <w:pPr>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外购</w:t>
                  </w:r>
                </w:p>
              </w:tc>
              <w:tc>
                <w:tcPr>
                  <w:tcW w:w="1501" w:type="dxa"/>
                  <w:tcBorders>
                    <w:tl2br w:val="nil"/>
                    <w:tr2bl w:val="nil"/>
                  </w:tcBorders>
                  <w:shd w:val="clear" w:color="auto" w:fill="auto"/>
                  <w:noWrap/>
                  <w:vAlign w:val="center"/>
                </w:tcPr>
                <w:p w14:paraId="2EBBB5FF">
                  <w:pPr>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堆码</w:t>
                  </w:r>
                </w:p>
              </w:tc>
            </w:tr>
            <w:bookmarkEnd w:id="23"/>
          </w:tbl>
          <w:p w14:paraId="0988B1B4">
            <w:pPr>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主要原辅料理化性质：</w:t>
            </w:r>
          </w:p>
          <w:p w14:paraId="7AE32DA5">
            <w:pPr>
              <w:pStyle w:val="11"/>
              <w:adjustRightInd w:val="0"/>
              <w:snapToGrid w:val="0"/>
              <w:spacing w:before="0" w:line="360" w:lineRule="auto"/>
              <w:ind w:firstLine="468" w:firstLineChars="200"/>
              <w:rPr>
                <w:rFonts w:ascii="Times New Roman" w:hAnsi="Times New Roman" w:cs="Times New Roman"/>
                <w:spacing w:val="-3"/>
                <w:sz w:val="24"/>
                <w:szCs w:val="24"/>
                <w:lang w:bidi="zh-CN"/>
              </w:rPr>
            </w:pPr>
            <w:r>
              <w:rPr>
                <w:rFonts w:hint="eastAsia" w:ascii="Times New Roman" w:hAnsi="Times New Roman" w:cs="Times New Roman"/>
                <w:spacing w:val="-3"/>
                <w:sz w:val="24"/>
                <w:szCs w:val="24"/>
                <w:lang w:bidi="zh-CN"/>
              </w:rPr>
              <w:t>①砂子</w:t>
            </w:r>
          </w:p>
          <w:p w14:paraId="3D8A9A80">
            <w:pPr>
              <w:pStyle w:val="21"/>
              <w:widowControl w:val="0"/>
              <w:autoSpaceDE w:val="0"/>
              <w:autoSpaceDN w:val="0"/>
              <w:adjustRightInd w:val="0"/>
              <w:snapToGrid w:val="0"/>
              <w:spacing w:beforeAutospacing="0" w:afterAutospacing="0" w:line="360" w:lineRule="auto"/>
              <w:ind w:firstLine="468" w:firstLineChars="200"/>
              <w:rPr>
                <w:rFonts w:hint="default" w:ascii="Times New Roman" w:hAnsi="Times New Roman" w:eastAsiaTheme="minorEastAsia"/>
                <w:spacing w:val="-3"/>
                <w:kern w:val="2"/>
                <w:szCs w:val="24"/>
                <w:lang w:bidi="zh-CN"/>
              </w:rPr>
            </w:pPr>
            <w:r>
              <w:rPr>
                <w:rFonts w:ascii="Times New Roman" w:hAnsi="Times New Roman" w:eastAsiaTheme="minorEastAsia"/>
                <w:spacing w:val="-3"/>
                <w:kern w:val="2"/>
                <w:szCs w:val="24"/>
                <w:lang w:bidi="zh-CN"/>
              </w:rPr>
              <w:t>喷砂使用的河砂是一种天然砂，主要由岩石经长期风化、搬运和沉积形成，其成分与母岩及地质环境密切相关。以下是河砂的主要成分及其特性：</w:t>
            </w:r>
          </w:p>
          <w:p w14:paraId="45CD1FED">
            <w:pPr>
              <w:adjustRightInd w:val="0"/>
              <w:snapToGrid w:val="0"/>
              <w:jc w:val="center"/>
              <w:rPr>
                <w:rFonts w:ascii="Times New Roman" w:hAnsi="Times New Roman" w:cs="Times New Roman"/>
                <w:b/>
                <w:szCs w:val="21"/>
              </w:rPr>
            </w:pPr>
            <w:r>
              <w:rPr>
                <w:rFonts w:ascii="Times New Roman" w:hAnsi="Times New Roman" w:cs="Times New Roman"/>
                <w:b/>
                <w:szCs w:val="21"/>
                <w:lang w:eastAsia="zh-TW"/>
              </w:rPr>
              <w:t>表</w:t>
            </w:r>
            <w:r>
              <w:rPr>
                <w:rFonts w:ascii="Times New Roman" w:hAnsi="Times New Roman" w:cs="Times New Roman"/>
                <w:b/>
                <w:szCs w:val="21"/>
              </w:rPr>
              <w:t>2-</w:t>
            </w:r>
            <w:r>
              <w:rPr>
                <w:rFonts w:hint="eastAsia" w:ascii="Times New Roman" w:hAnsi="Times New Roman" w:cs="Times New Roman"/>
                <w:b/>
                <w:szCs w:val="21"/>
              </w:rPr>
              <w:t>7</w:t>
            </w:r>
            <w:r>
              <w:rPr>
                <w:rFonts w:ascii="Times New Roman" w:hAnsi="Times New Roman" w:cs="Times New Roman"/>
                <w:b/>
                <w:szCs w:val="21"/>
                <w:lang w:eastAsia="zh-TW"/>
              </w:rPr>
              <w:t xml:space="preserve"> </w:t>
            </w:r>
            <w:r>
              <w:rPr>
                <w:rFonts w:hint="eastAsia" w:ascii="Times New Roman" w:hAnsi="Times New Roman" w:cs="Times New Roman"/>
                <w:b/>
                <w:szCs w:val="21"/>
              </w:rPr>
              <w:t xml:space="preserve"> </w:t>
            </w:r>
            <w:r>
              <w:rPr>
                <w:rFonts w:ascii="Times New Roman" w:hAnsi="Times New Roman" w:cs="Times New Roman"/>
                <w:b/>
                <w:szCs w:val="21"/>
                <w:lang w:eastAsia="zh-TW"/>
              </w:rPr>
              <w:t xml:space="preserve">  </w:t>
            </w:r>
            <w:r>
              <w:rPr>
                <w:rFonts w:hint="eastAsia" w:ascii="Times New Roman" w:hAnsi="Times New Roman" w:cs="Times New Roman"/>
                <w:b/>
                <w:szCs w:val="21"/>
              </w:rPr>
              <w:t>河砂</w:t>
            </w:r>
            <w:r>
              <w:rPr>
                <w:rFonts w:ascii="Times New Roman" w:hAnsi="Times New Roman" w:cs="Times New Roman"/>
                <w:b/>
                <w:szCs w:val="21"/>
              </w:rPr>
              <w:t>组分一览表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8"/>
              <w:gridCol w:w="2694"/>
              <w:gridCol w:w="4186"/>
            </w:tblGrid>
            <w:tr w14:paraId="58224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0" w:type="dxa"/>
                </w:tcPr>
                <w:p w14:paraId="66F7FB0E">
                  <w:pPr>
                    <w:jc w:val="center"/>
                    <w:rPr>
                      <w:rFonts w:ascii="Times New Roman" w:hAnsi="Times New Roman" w:cs="Times New Roman"/>
                      <w:b/>
                      <w:bCs/>
                      <w:szCs w:val="21"/>
                    </w:rPr>
                  </w:pPr>
                  <w:r>
                    <w:rPr>
                      <w:rFonts w:hint="eastAsia" w:ascii="Times New Roman" w:hAnsi="Times New Roman" w:cs="Times New Roman"/>
                      <w:b/>
                      <w:bCs/>
                      <w:szCs w:val="21"/>
                    </w:rPr>
                    <w:t>成分</w:t>
                  </w:r>
                </w:p>
              </w:tc>
              <w:tc>
                <w:tcPr>
                  <w:tcW w:w="2699" w:type="dxa"/>
                </w:tcPr>
                <w:p w14:paraId="21926A0B">
                  <w:pPr>
                    <w:jc w:val="center"/>
                    <w:rPr>
                      <w:rFonts w:ascii="Times New Roman" w:hAnsi="Times New Roman" w:cs="Times New Roman"/>
                      <w:b/>
                      <w:bCs/>
                      <w:szCs w:val="21"/>
                    </w:rPr>
                  </w:pPr>
                  <w:r>
                    <w:rPr>
                      <w:rFonts w:hint="eastAsia" w:ascii="Times New Roman" w:hAnsi="Times New Roman" w:cs="Times New Roman"/>
                      <w:b/>
                      <w:bCs/>
                      <w:szCs w:val="21"/>
                    </w:rPr>
                    <w:t>含量</w:t>
                  </w:r>
                </w:p>
              </w:tc>
              <w:tc>
                <w:tcPr>
                  <w:tcW w:w="4197" w:type="dxa"/>
                </w:tcPr>
                <w:p w14:paraId="48DAE0C2">
                  <w:pPr>
                    <w:jc w:val="center"/>
                    <w:rPr>
                      <w:rFonts w:ascii="Times New Roman" w:hAnsi="Times New Roman" w:cs="Times New Roman"/>
                      <w:b/>
                      <w:bCs/>
                      <w:szCs w:val="21"/>
                    </w:rPr>
                  </w:pPr>
                  <w:r>
                    <w:rPr>
                      <w:rFonts w:hint="eastAsia" w:ascii="Times New Roman" w:hAnsi="Times New Roman" w:cs="Times New Roman"/>
                      <w:b/>
                      <w:bCs/>
                      <w:szCs w:val="21"/>
                    </w:rPr>
                    <w:t>特性</w:t>
                  </w:r>
                </w:p>
              </w:tc>
            </w:tr>
            <w:tr w14:paraId="7E93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0" w:type="dxa"/>
                  <w:vAlign w:val="center"/>
                </w:tcPr>
                <w:p w14:paraId="5948F990">
                  <w:pPr>
                    <w:jc w:val="center"/>
                    <w:rPr>
                      <w:rFonts w:ascii="Times New Roman" w:hAnsi="Times New Roman" w:cs="Times New Roman"/>
                      <w:szCs w:val="21"/>
                    </w:rPr>
                  </w:pPr>
                  <w:r>
                    <w:rPr>
                      <w:rFonts w:hint="eastAsia" w:ascii="Times New Roman" w:hAnsi="Times New Roman" w:cs="Times New Roman"/>
                      <w:szCs w:val="21"/>
                    </w:rPr>
                    <w:t>石英（SiO₂）</w:t>
                  </w:r>
                </w:p>
              </w:tc>
              <w:tc>
                <w:tcPr>
                  <w:tcW w:w="2699" w:type="dxa"/>
                  <w:vAlign w:val="center"/>
                </w:tcPr>
                <w:p w14:paraId="74DB8A1D">
                  <w:pPr>
                    <w:jc w:val="center"/>
                    <w:rPr>
                      <w:rFonts w:ascii="Times New Roman" w:hAnsi="Times New Roman" w:cs="Times New Roman"/>
                      <w:szCs w:val="21"/>
                    </w:rPr>
                  </w:pPr>
                  <w:r>
                    <w:rPr>
                      <w:rFonts w:hint="eastAsia" w:ascii="Times New Roman" w:hAnsi="Times New Roman" w:cs="Times New Roman"/>
                      <w:szCs w:val="21"/>
                    </w:rPr>
                    <w:t>70%~90%，是主要成分。</w:t>
                  </w:r>
                </w:p>
              </w:tc>
              <w:tc>
                <w:tcPr>
                  <w:tcW w:w="4197" w:type="dxa"/>
                </w:tcPr>
                <w:p w14:paraId="309F7547">
                  <w:pPr>
                    <w:jc w:val="center"/>
                    <w:rPr>
                      <w:rFonts w:ascii="Times New Roman" w:hAnsi="Times New Roman" w:cs="Times New Roman"/>
                      <w:szCs w:val="21"/>
                    </w:rPr>
                  </w:pPr>
                  <w:r>
                    <w:rPr>
                      <w:rFonts w:hint="eastAsia" w:ascii="Times New Roman" w:hAnsi="Times New Roman" w:cs="Times New Roman"/>
                      <w:szCs w:val="21"/>
                    </w:rPr>
                    <w:t>硬度高（莫氏硬度7）、化学性质稳定，抗风化能力强，呈颗粒状或棱角状。</w:t>
                  </w:r>
                </w:p>
              </w:tc>
            </w:tr>
            <w:tr w14:paraId="254F4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0" w:type="dxa"/>
                  <w:vAlign w:val="center"/>
                </w:tcPr>
                <w:p w14:paraId="0E7DC040">
                  <w:pPr>
                    <w:jc w:val="center"/>
                    <w:rPr>
                      <w:rFonts w:ascii="Times New Roman" w:hAnsi="Times New Roman" w:cs="Times New Roman"/>
                      <w:szCs w:val="21"/>
                    </w:rPr>
                  </w:pPr>
                  <w:r>
                    <w:rPr>
                      <w:rFonts w:hint="eastAsia" w:ascii="Times New Roman" w:hAnsi="Times New Roman" w:cs="Times New Roman"/>
                      <w:szCs w:val="21"/>
                    </w:rPr>
                    <w:t>长石（如钾长石、钠长石）</w:t>
                  </w:r>
                </w:p>
              </w:tc>
              <w:tc>
                <w:tcPr>
                  <w:tcW w:w="2699" w:type="dxa"/>
                  <w:vAlign w:val="center"/>
                </w:tcPr>
                <w:p w14:paraId="6CD0BBEE">
                  <w:pPr>
                    <w:jc w:val="center"/>
                    <w:rPr>
                      <w:rFonts w:ascii="Times New Roman" w:hAnsi="Times New Roman" w:cs="Times New Roman"/>
                      <w:szCs w:val="21"/>
                    </w:rPr>
                  </w:pPr>
                  <w:r>
                    <w:rPr>
                      <w:rFonts w:hint="eastAsia" w:ascii="Times New Roman" w:hAnsi="Times New Roman" w:cs="Times New Roman"/>
                      <w:szCs w:val="21"/>
                    </w:rPr>
                    <w:t>约10%~30%，具体取决于母岩类型。</w:t>
                  </w:r>
                </w:p>
              </w:tc>
              <w:tc>
                <w:tcPr>
                  <w:tcW w:w="4197" w:type="dxa"/>
                </w:tcPr>
                <w:p w14:paraId="07D6943E">
                  <w:pPr>
                    <w:jc w:val="center"/>
                    <w:rPr>
                      <w:rFonts w:ascii="Times New Roman" w:hAnsi="Times New Roman" w:cs="Times New Roman"/>
                      <w:szCs w:val="21"/>
                    </w:rPr>
                  </w:pPr>
                  <w:r>
                    <w:rPr>
                      <w:rFonts w:hint="eastAsia" w:ascii="Times New Roman" w:hAnsi="Times New Roman" w:cs="Times New Roman"/>
                      <w:szCs w:val="21"/>
                    </w:rPr>
                    <w:t>硬度较低（莫氏硬度6），易风化破碎，颜色多样（白色、粉色等）。</w:t>
                  </w:r>
                </w:p>
              </w:tc>
            </w:tr>
            <w:tr w14:paraId="18A3A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0" w:type="dxa"/>
                  <w:vAlign w:val="center"/>
                </w:tcPr>
                <w:p w14:paraId="1C3499C2">
                  <w:pPr>
                    <w:jc w:val="center"/>
                    <w:rPr>
                      <w:rFonts w:ascii="Times New Roman" w:hAnsi="Times New Roman" w:cs="Times New Roman"/>
                      <w:szCs w:val="21"/>
                    </w:rPr>
                  </w:pPr>
                  <w:r>
                    <w:rPr>
                      <w:rFonts w:hint="eastAsia" w:ascii="Times New Roman" w:hAnsi="Times New Roman" w:cs="Times New Roman"/>
                      <w:szCs w:val="21"/>
                    </w:rPr>
                    <w:t>云母（如白云母、黑云母）</w:t>
                  </w:r>
                </w:p>
              </w:tc>
              <w:tc>
                <w:tcPr>
                  <w:tcW w:w="2699" w:type="dxa"/>
                  <w:vAlign w:val="center"/>
                </w:tcPr>
                <w:p w14:paraId="5A594029">
                  <w:pPr>
                    <w:jc w:val="center"/>
                    <w:rPr>
                      <w:rFonts w:ascii="Times New Roman" w:hAnsi="Times New Roman" w:cs="Times New Roman"/>
                      <w:szCs w:val="21"/>
                    </w:rPr>
                  </w:pPr>
                  <w:r>
                    <w:rPr>
                      <w:rFonts w:hint="eastAsia" w:ascii="Times New Roman" w:hAnsi="Times New Roman" w:cs="Times New Roman"/>
                      <w:szCs w:val="21"/>
                    </w:rPr>
                    <w:t>低于5%</w:t>
                  </w:r>
                </w:p>
              </w:tc>
              <w:tc>
                <w:tcPr>
                  <w:tcW w:w="4197" w:type="dxa"/>
                </w:tcPr>
                <w:p w14:paraId="7CFD7CAC">
                  <w:pPr>
                    <w:jc w:val="center"/>
                    <w:rPr>
                      <w:rFonts w:ascii="Times New Roman" w:hAnsi="Times New Roman" w:cs="Times New Roman"/>
                      <w:szCs w:val="21"/>
                    </w:rPr>
                  </w:pPr>
                  <w:r>
                    <w:rPr>
                      <w:rFonts w:hint="eastAsia" w:ascii="Times New Roman" w:hAnsi="Times New Roman" w:cs="Times New Roman"/>
                      <w:szCs w:val="21"/>
                    </w:rPr>
                    <w:t>片状结构，易剥离，硬度低（莫氏硬度2~3）</w:t>
                  </w:r>
                </w:p>
              </w:tc>
            </w:tr>
            <w:tr w14:paraId="19F45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0" w:type="dxa"/>
                </w:tcPr>
                <w:p w14:paraId="595B5808">
                  <w:pPr>
                    <w:jc w:val="center"/>
                    <w:rPr>
                      <w:rFonts w:ascii="Times New Roman" w:hAnsi="Times New Roman" w:cs="Times New Roman"/>
                      <w:szCs w:val="21"/>
                    </w:rPr>
                  </w:pPr>
                  <w:r>
                    <w:rPr>
                      <w:rFonts w:hint="eastAsia" w:ascii="Times New Roman" w:hAnsi="Times New Roman" w:cs="Times New Roman"/>
                      <w:szCs w:val="21"/>
                    </w:rPr>
                    <w:t>其他矿物</w:t>
                  </w:r>
                </w:p>
              </w:tc>
              <w:tc>
                <w:tcPr>
                  <w:tcW w:w="2699" w:type="dxa"/>
                </w:tcPr>
                <w:p w14:paraId="79F6C66B">
                  <w:pPr>
                    <w:jc w:val="center"/>
                    <w:rPr>
                      <w:rFonts w:ascii="Times New Roman" w:hAnsi="Times New Roman" w:cs="Times New Roman"/>
                      <w:szCs w:val="21"/>
                    </w:rPr>
                  </w:pPr>
                  <w:r>
                    <w:rPr>
                      <w:rFonts w:hint="eastAsia" w:ascii="Times New Roman" w:hAnsi="Times New Roman" w:cs="Times New Roman"/>
                      <w:szCs w:val="21"/>
                    </w:rPr>
                    <w:t>不足5%</w:t>
                  </w:r>
                </w:p>
              </w:tc>
              <w:tc>
                <w:tcPr>
                  <w:tcW w:w="4197" w:type="dxa"/>
                </w:tcPr>
                <w:p w14:paraId="55AA4FD4">
                  <w:pPr>
                    <w:jc w:val="center"/>
                    <w:rPr>
                      <w:rFonts w:ascii="Times New Roman" w:hAnsi="Times New Roman" w:cs="Times New Roman"/>
                      <w:szCs w:val="21"/>
                    </w:rPr>
                  </w:pPr>
                  <w:r>
                    <w:rPr>
                      <w:rFonts w:hint="eastAsia" w:ascii="Times New Roman" w:hAnsi="Times New Roman" w:cs="Times New Roman"/>
                      <w:szCs w:val="21"/>
                    </w:rPr>
                    <w:t>/</w:t>
                  </w:r>
                </w:p>
              </w:tc>
            </w:tr>
          </w:tbl>
          <w:p w14:paraId="613126B5">
            <w:pPr>
              <w:pStyle w:val="11"/>
              <w:adjustRightInd w:val="0"/>
              <w:snapToGrid w:val="0"/>
              <w:spacing w:before="0" w:line="360" w:lineRule="auto"/>
              <w:ind w:firstLine="468" w:firstLineChars="200"/>
              <w:rPr>
                <w:rFonts w:ascii="Times New Roman" w:hAnsi="Times New Roman" w:cs="Times New Roman"/>
                <w:spacing w:val="-3"/>
                <w:sz w:val="24"/>
                <w:szCs w:val="24"/>
                <w:lang w:bidi="zh-CN"/>
              </w:rPr>
            </w:pPr>
            <w:r>
              <w:rPr>
                <w:rFonts w:hint="eastAsia" w:ascii="Times New Roman" w:hAnsi="Times New Roman" w:cs="Times New Roman"/>
                <w:spacing w:val="-3"/>
                <w:sz w:val="24"/>
                <w:szCs w:val="24"/>
                <w:lang w:bidi="zh-CN"/>
              </w:rPr>
              <w:t>②水性漆</w:t>
            </w:r>
          </w:p>
          <w:p w14:paraId="557DE2A7">
            <w:pPr>
              <w:pStyle w:val="11"/>
              <w:adjustRightInd w:val="0"/>
              <w:snapToGrid w:val="0"/>
              <w:spacing w:before="0" w:line="360" w:lineRule="auto"/>
              <w:ind w:firstLine="468" w:firstLineChars="200"/>
              <w:rPr>
                <w:rFonts w:ascii="Times New Roman" w:hAnsi="Times New Roman" w:cs="Times New Roman"/>
                <w:b/>
                <w:sz w:val="24"/>
                <w:szCs w:val="24"/>
                <w:lang w:eastAsia="zh-TW"/>
              </w:rPr>
            </w:pPr>
            <w:r>
              <w:rPr>
                <w:rFonts w:ascii="Times New Roman" w:hAnsi="Times New Roman" w:cs="Times New Roman"/>
                <w:spacing w:val="-3"/>
                <w:sz w:val="24"/>
                <w:szCs w:val="24"/>
                <w:lang w:bidi="zh-CN"/>
              </w:rPr>
              <w:t>本项目使用水性漆为XH0107水性聚氨酯面漆，具体成分见下表</w:t>
            </w:r>
            <w:r>
              <w:rPr>
                <w:rFonts w:hint="eastAsia" w:ascii="Times New Roman" w:hAnsi="Times New Roman" w:cs="Times New Roman"/>
                <w:spacing w:val="-3"/>
                <w:sz w:val="24"/>
                <w:szCs w:val="24"/>
                <w:lang w:bidi="zh-CN"/>
              </w:rPr>
              <w:t>，详见附件6</w:t>
            </w:r>
            <w:r>
              <w:rPr>
                <w:rFonts w:ascii="Times New Roman" w:hAnsi="Times New Roman" w:cs="Times New Roman"/>
                <w:spacing w:val="-3"/>
                <w:sz w:val="24"/>
                <w:szCs w:val="24"/>
                <w:lang w:bidi="zh-CN"/>
              </w:rPr>
              <w:t>。</w:t>
            </w:r>
          </w:p>
          <w:p w14:paraId="3B913683">
            <w:pPr>
              <w:adjustRightInd w:val="0"/>
              <w:snapToGrid w:val="0"/>
              <w:jc w:val="center"/>
              <w:rPr>
                <w:rFonts w:ascii="Times New Roman" w:hAnsi="Times New Roman" w:cs="Times New Roman"/>
                <w:b/>
              </w:rPr>
            </w:pPr>
            <w:r>
              <w:rPr>
                <w:rFonts w:ascii="Times New Roman" w:hAnsi="Times New Roman" w:cs="Times New Roman"/>
                <w:b/>
                <w:szCs w:val="21"/>
                <w:lang w:eastAsia="zh-TW"/>
              </w:rPr>
              <w:t>表</w:t>
            </w:r>
            <w:r>
              <w:rPr>
                <w:rFonts w:ascii="Times New Roman" w:hAnsi="Times New Roman" w:cs="Times New Roman"/>
                <w:b/>
                <w:szCs w:val="21"/>
              </w:rPr>
              <w:t>2-</w:t>
            </w:r>
            <w:r>
              <w:rPr>
                <w:rFonts w:hint="eastAsia" w:ascii="Times New Roman" w:hAnsi="Times New Roman" w:cs="Times New Roman"/>
                <w:b/>
                <w:szCs w:val="21"/>
              </w:rPr>
              <w:t>8</w:t>
            </w:r>
            <w:r>
              <w:rPr>
                <w:rFonts w:ascii="Times New Roman" w:hAnsi="Times New Roman" w:cs="Times New Roman"/>
                <w:b/>
                <w:szCs w:val="21"/>
                <w:lang w:eastAsia="zh-TW"/>
              </w:rPr>
              <w:t xml:space="preserve"> </w:t>
            </w:r>
            <w:r>
              <w:rPr>
                <w:rFonts w:hint="eastAsia" w:ascii="Times New Roman" w:hAnsi="Times New Roman" w:cs="Times New Roman"/>
                <w:b/>
                <w:szCs w:val="21"/>
              </w:rPr>
              <w:t xml:space="preserve"> </w:t>
            </w:r>
            <w:r>
              <w:rPr>
                <w:rFonts w:ascii="Times New Roman" w:hAnsi="Times New Roman" w:cs="Times New Roman"/>
                <w:b/>
                <w:szCs w:val="21"/>
                <w:lang w:eastAsia="zh-TW"/>
              </w:rPr>
              <w:t xml:space="preserve">  </w:t>
            </w:r>
            <w:r>
              <w:rPr>
                <w:rFonts w:ascii="Times New Roman" w:hAnsi="Times New Roman" w:cs="Times New Roman"/>
                <w:b/>
                <w:szCs w:val="21"/>
              </w:rPr>
              <w:t>水性漆组分一览表</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3205"/>
              <w:gridCol w:w="2210"/>
              <w:gridCol w:w="2461"/>
            </w:tblGrid>
            <w:tr w14:paraId="20973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6" w:type="pct"/>
                  <w:tcBorders>
                    <w:tl2br w:val="nil"/>
                    <w:tr2bl w:val="nil"/>
                  </w:tcBorders>
                </w:tcPr>
                <w:p w14:paraId="0FF8674F">
                  <w:pPr>
                    <w:spacing w:line="360" w:lineRule="auto"/>
                    <w:rPr>
                      <w:rFonts w:ascii="Times New Roman" w:hAnsi="Times New Roman" w:cs="Times New Roman"/>
                      <w:b/>
                      <w:bCs/>
                      <w:szCs w:val="21"/>
                    </w:rPr>
                  </w:pPr>
                  <w:r>
                    <w:rPr>
                      <w:rFonts w:ascii="Times New Roman" w:hAnsi="Times New Roman" w:cs="Times New Roman"/>
                      <w:b/>
                      <w:bCs/>
                      <w:szCs w:val="21"/>
                    </w:rPr>
                    <w:t>成分</w:t>
                  </w:r>
                </w:p>
              </w:tc>
              <w:tc>
                <w:tcPr>
                  <w:tcW w:w="1840" w:type="pct"/>
                  <w:tcBorders>
                    <w:tl2br w:val="nil"/>
                    <w:tr2bl w:val="nil"/>
                  </w:tcBorders>
                </w:tcPr>
                <w:p w14:paraId="1EFB531B">
                  <w:pPr>
                    <w:spacing w:line="360" w:lineRule="auto"/>
                    <w:jc w:val="center"/>
                    <w:rPr>
                      <w:rFonts w:ascii="Times New Roman" w:hAnsi="Times New Roman" w:cs="Times New Roman"/>
                      <w:b/>
                      <w:bCs/>
                      <w:szCs w:val="21"/>
                    </w:rPr>
                  </w:pPr>
                  <w:r>
                    <w:rPr>
                      <w:rFonts w:ascii="Times New Roman" w:hAnsi="Times New Roman" w:cs="Times New Roman"/>
                      <w:b/>
                      <w:bCs/>
                      <w:szCs w:val="21"/>
                    </w:rPr>
                    <w:t>挥发性有机化合物（VOC）</w:t>
                  </w:r>
                  <w:r>
                    <w:rPr>
                      <w:rFonts w:hint="eastAsia" w:ascii="Times New Roman" w:hAnsi="Times New Roman" w:cs="Times New Roman"/>
                      <w:b/>
                      <w:bCs/>
                      <w:szCs w:val="21"/>
                    </w:rPr>
                    <w:t>含量</w:t>
                  </w:r>
                </w:p>
              </w:tc>
              <w:tc>
                <w:tcPr>
                  <w:tcW w:w="1269" w:type="pct"/>
                  <w:tcBorders>
                    <w:tl2br w:val="nil"/>
                    <w:tr2bl w:val="nil"/>
                  </w:tcBorders>
                </w:tcPr>
                <w:p w14:paraId="1559973A">
                  <w:pPr>
                    <w:spacing w:line="360" w:lineRule="auto"/>
                    <w:jc w:val="center"/>
                    <w:rPr>
                      <w:rFonts w:ascii="Times New Roman" w:hAnsi="Times New Roman" w:cs="Times New Roman"/>
                      <w:b/>
                      <w:bCs/>
                      <w:szCs w:val="21"/>
                    </w:rPr>
                  </w:pPr>
                  <w:r>
                    <w:rPr>
                      <w:rFonts w:ascii="Times New Roman" w:hAnsi="Times New Roman" w:cs="Times New Roman"/>
                      <w:b/>
                      <w:bCs/>
                      <w:szCs w:val="21"/>
                    </w:rPr>
                    <w:t>密度</w:t>
                  </w:r>
                </w:p>
              </w:tc>
              <w:tc>
                <w:tcPr>
                  <w:tcW w:w="1413" w:type="pct"/>
                  <w:tcBorders>
                    <w:tl2br w:val="nil"/>
                    <w:tr2bl w:val="nil"/>
                  </w:tcBorders>
                </w:tcPr>
                <w:p w14:paraId="21C10E82">
                  <w:pPr>
                    <w:spacing w:line="360" w:lineRule="auto"/>
                    <w:jc w:val="center"/>
                    <w:rPr>
                      <w:rFonts w:ascii="Times New Roman" w:hAnsi="Times New Roman" w:cs="Times New Roman"/>
                      <w:b/>
                      <w:bCs/>
                      <w:szCs w:val="21"/>
                    </w:rPr>
                  </w:pPr>
                  <w:r>
                    <w:rPr>
                      <w:rFonts w:ascii="Times New Roman" w:hAnsi="Times New Roman" w:cs="Times New Roman"/>
                      <w:b/>
                      <w:bCs/>
                      <w:szCs w:val="21"/>
                    </w:rPr>
                    <w:t>水分</w:t>
                  </w:r>
                </w:p>
              </w:tc>
            </w:tr>
            <w:tr w14:paraId="77E25B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6" w:type="pct"/>
                  <w:tcBorders>
                    <w:tl2br w:val="nil"/>
                    <w:tr2bl w:val="nil"/>
                  </w:tcBorders>
                </w:tcPr>
                <w:p w14:paraId="08624497">
                  <w:pPr>
                    <w:spacing w:line="360" w:lineRule="auto"/>
                    <w:rPr>
                      <w:rFonts w:ascii="Times New Roman" w:hAnsi="Times New Roman" w:cs="Times New Roman"/>
                      <w:szCs w:val="21"/>
                    </w:rPr>
                  </w:pPr>
                  <w:r>
                    <w:rPr>
                      <w:rFonts w:ascii="Times New Roman" w:hAnsi="Times New Roman" w:cs="Times New Roman"/>
                      <w:szCs w:val="21"/>
                    </w:rPr>
                    <w:t>含量</w:t>
                  </w:r>
                </w:p>
              </w:tc>
              <w:tc>
                <w:tcPr>
                  <w:tcW w:w="1840" w:type="pct"/>
                  <w:tcBorders>
                    <w:tl2br w:val="nil"/>
                    <w:tr2bl w:val="nil"/>
                  </w:tcBorders>
                </w:tcPr>
                <w:p w14:paraId="1DF4A40D">
                  <w:pPr>
                    <w:spacing w:line="360" w:lineRule="auto"/>
                    <w:jc w:val="center"/>
                    <w:rPr>
                      <w:rFonts w:ascii="Times New Roman" w:hAnsi="Times New Roman" w:cs="Times New Roman"/>
                      <w:szCs w:val="21"/>
                    </w:rPr>
                  </w:pPr>
                  <w:r>
                    <w:rPr>
                      <w:rFonts w:ascii="Times New Roman" w:hAnsi="Times New Roman" w:cs="Times New Roman"/>
                      <w:szCs w:val="21"/>
                    </w:rPr>
                    <w:t>96g/L</w:t>
                  </w:r>
                </w:p>
              </w:tc>
              <w:tc>
                <w:tcPr>
                  <w:tcW w:w="1269" w:type="pct"/>
                  <w:tcBorders>
                    <w:tl2br w:val="nil"/>
                    <w:tr2bl w:val="nil"/>
                  </w:tcBorders>
                </w:tcPr>
                <w:p w14:paraId="62A5AE7C">
                  <w:pPr>
                    <w:spacing w:line="360" w:lineRule="auto"/>
                    <w:jc w:val="center"/>
                    <w:rPr>
                      <w:rFonts w:ascii="Times New Roman" w:hAnsi="Times New Roman" w:cs="Times New Roman"/>
                      <w:szCs w:val="21"/>
                    </w:rPr>
                  </w:pPr>
                  <w:r>
                    <w:rPr>
                      <w:rFonts w:ascii="Times New Roman" w:hAnsi="Times New Roman" w:cs="Times New Roman"/>
                      <w:szCs w:val="21"/>
                    </w:rPr>
                    <w:t>1.158g/ml</w:t>
                  </w:r>
                </w:p>
              </w:tc>
              <w:tc>
                <w:tcPr>
                  <w:tcW w:w="1413" w:type="pct"/>
                  <w:tcBorders>
                    <w:tl2br w:val="nil"/>
                    <w:tr2bl w:val="nil"/>
                  </w:tcBorders>
                </w:tcPr>
                <w:p w14:paraId="17E112B7">
                  <w:pPr>
                    <w:spacing w:line="360" w:lineRule="auto"/>
                    <w:jc w:val="center"/>
                    <w:rPr>
                      <w:rFonts w:ascii="Times New Roman" w:hAnsi="Times New Roman" w:cs="Times New Roman"/>
                      <w:szCs w:val="21"/>
                    </w:rPr>
                  </w:pPr>
                  <w:r>
                    <w:rPr>
                      <w:rFonts w:ascii="Times New Roman" w:hAnsi="Times New Roman" w:cs="Times New Roman"/>
                      <w:szCs w:val="21"/>
                    </w:rPr>
                    <w:t>34.07%</w:t>
                  </w:r>
                </w:p>
              </w:tc>
            </w:tr>
          </w:tbl>
          <w:p w14:paraId="2D0E6302">
            <w:pPr>
              <w:pStyle w:val="39"/>
              <w:autoSpaceDE w:val="0"/>
              <w:autoSpaceDN w:val="0"/>
              <w:adjustRightInd w:val="0"/>
              <w:snapToGrid w:val="0"/>
              <w:spacing w:line="360" w:lineRule="auto"/>
              <w:ind w:firstLine="470" w:firstLineChars="200"/>
              <w:rPr>
                <w:rFonts w:hint="eastAsia" w:ascii="Times New Roman" w:hAnsi="Times New Roman" w:cs="Times New Roman" w:eastAsiaTheme="minorEastAsia"/>
                <w:b/>
                <w:bCs/>
                <w:color w:val="FF0000"/>
                <w:spacing w:val="-3"/>
                <w:sz w:val="24"/>
                <w:lang w:val="en-US" w:eastAsia="zh-CN"/>
              </w:rPr>
            </w:pPr>
            <w:r>
              <w:rPr>
                <w:rFonts w:hint="eastAsia" w:ascii="Times New Roman" w:hAnsi="Times New Roman" w:cs="Times New Roman" w:eastAsiaTheme="minorEastAsia"/>
                <w:b/>
                <w:bCs/>
                <w:color w:val="FF0000"/>
                <w:spacing w:val="-3"/>
                <w:sz w:val="24"/>
                <w:lang w:val="en-US" w:eastAsia="zh-CN"/>
              </w:rPr>
              <w:t>水性漆用量计算：</w:t>
            </w:r>
          </w:p>
          <w:p w14:paraId="4CDBEB65">
            <w:pPr>
              <w:pStyle w:val="39"/>
              <w:autoSpaceDE w:val="0"/>
              <w:autoSpaceDN w:val="0"/>
              <w:adjustRightInd w:val="0"/>
              <w:snapToGrid w:val="0"/>
              <w:spacing w:line="360" w:lineRule="auto"/>
              <w:ind w:firstLine="468" w:firstLineChars="200"/>
              <w:rPr>
                <w:rFonts w:hint="eastAsia" w:ascii="Times New Roman" w:hAnsi="Times New Roman" w:cs="Times New Roman" w:eastAsiaTheme="minorEastAsia"/>
                <w:b w:val="0"/>
                <w:bCs w:val="0"/>
                <w:color w:val="FF0000"/>
                <w:spacing w:val="-3"/>
                <w:sz w:val="24"/>
                <w:lang w:val="en-US" w:eastAsia="zh-CN"/>
              </w:rPr>
            </w:pPr>
            <w:r>
              <w:rPr>
                <w:rFonts w:hint="eastAsia" w:ascii="Times New Roman" w:hAnsi="Times New Roman" w:cs="Times New Roman" w:eastAsiaTheme="minorEastAsia"/>
                <w:b w:val="0"/>
                <w:bCs w:val="0"/>
                <w:color w:val="FF0000"/>
                <w:spacing w:val="-3"/>
                <w:sz w:val="24"/>
                <w:lang w:val="en-US" w:eastAsia="zh-CN"/>
              </w:rPr>
              <w:t>涂料用量计算公式：</w:t>
            </w:r>
          </w:p>
          <w:p w14:paraId="1FECC3E5">
            <w:pPr>
              <w:pStyle w:val="39"/>
              <w:autoSpaceDE w:val="0"/>
              <w:autoSpaceDN w:val="0"/>
              <w:adjustRightInd w:val="0"/>
              <w:snapToGrid w:val="0"/>
              <w:spacing w:line="360" w:lineRule="auto"/>
              <w:ind w:firstLine="460" w:firstLineChars="200"/>
              <w:jc w:val="center"/>
              <w:rPr>
                <w:rFonts w:hint="default" w:ascii="Times New Roman" w:hAnsi="Times New Roman" w:eastAsia="Times New Roman" w:cs="Times New Roman"/>
                <w:i w:val="0"/>
                <w:iCs w:val="0"/>
                <w:caps w:val="0"/>
                <w:color w:val="FF0000"/>
                <w:spacing w:val="0"/>
                <w:sz w:val="23"/>
                <w:szCs w:val="23"/>
                <w:shd w:val="clear" w:fill="FFFFFF"/>
              </w:rPr>
            </w:pPr>
            <w:r>
              <w:rPr>
                <w:rFonts w:hint="default" w:ascii="Times New Roman" w:hAnsi="Times New Roman" w:eastAsia="Times New Roman" w:cs="Times New Roman"/>
                <w:i w:val="0"/>
                <w:iCs w:val="0"/>
                <w:caps w:val="0"/>
                <w:color w:val="FF0000"/>
                <w:spacing w:val="0"/>
                <w:position w:val="-28"/>
                <w:sz w:val="23"/>
                <w:szCs w:val="23"/>
                <w:shd w:val="clear" w:fill="FFFFFF"/>
              </w:rPr>
              <w:object>
                <v:shape id="_x0000_i1025" o:spt="75" type="#_x0000_t75" style="height:35pt;width:348pt;" o:ole="t" fillcolor="#FFFFFF" filled="t" o:preferrelative="t" stroked="t" coordsize="21600,21600">
                  <v:path/>
                  <v:fill on="t" color2="#FFFFFF" focussize="0,0"/>
                  <v:stroke color="#FFFFFF" joinstyle="miter"/>
                  <v:imagedata r:id="rId11" o:title=""/>
                  <o:lock v:ext="edit" aspectratio="t"/>
                  <w10:wrap type="none"/>
                  <w10:anchorlock/>
                </v:shape>
                <o:OLEObject Type="Embed" ProgID="Equation.KSEE3" ShapeID="_x0000_i1025" DrawAspect="Content" ObjectID="_1468075725" r:id="rId10">
                  <o:LockedField>false</o:LockedField>
                </o:OLEObject>
              </w:object>
            </w:r>
          </w:p>
          <w:p w14:paraId="1757F668">
            <w:pPr>
              <w:pStyle w:val="39"/>
              <w:autoSpaceDE w:val="0"/>
              <w:autoSpaceDN w:val="0"/>
              <w:adjustRightInd w:val="0"/>
              <w:snapToGrid w:val="0"/>
              <w:spacing w:line="360" w:lineRule="auto"/>
              <w:ind w:firstLine="468" w:firstLineChars="200"/>
              <w:jc w:val="both"/>
              <w:rPr>
                <w:rFonts w:hint="eastAsia" w:ascii="Times New Roman" w:hAnsi="Times New Roman" w:cs="Times New Roman" w:eastAsiaTheme="minorEastAsia"/>
                <w:b w:val="0"/>
                <w:bCs w:val="0"/>
                <w:color w:val="FF0000"/>
                <w:spacing w:val="-3"/>
                <w:sz w:val="24"/>
                <w:vertAlign w:val="baseline"/>
                <w:lang w:val="en-US" w:eastAsia="zh-CN"/>
              </w:rPr>
            </w:pPr>
            <w:r>
              <w:rPr>
                <w:rFonts w:hint="eastAsia" w:ascii="Times New Roman" w:hAnsi="Times New Roman" w:cs="Times New Roman" w:eastAsiaTheme="minorEastAsia"/>
                <w:b w:val="0"/>
                <w:bCs w:val="0"/>
                <w:color w:val="FF0000"/>
                <w:spacing w:val="-3"/>
                <w:sz w:val="24"/>
                <w:lang w:val="en-US" w:eastAsia="zh-CN"/>
              </w:rPr>
              <w:t>根据企业提供数据，单个喷涂面积约为0.02m</w:t>
            </w:r>
            <w:r>
              <w:rPr>
                <w:rFonts w:hint="eastAsia" w:ascii="Times New Roman" w:hAnsi="Times New Roman" w:cs="Times New Roman" w:eastAsiaTheme="minorEastAsia"/>
                <w:b w:val="0"/>
                <w:bCs w:val="0"/>
                <w:color w:val="FF0000"/>
                <w:spacing w:val="-3"/>
                <w:sz w:val="24"/>
                <w:vertAlign w:val="superscript"/>
                <w:lang w:val="en-US" w:eastAsia="zh-CN"/>
              </w:rPr>
              <w:t>2</w:t>
            </w:r>
            <w:r>
              <w:rPr>
                <w:rFonts w:hint="eastAsia" w:ascii="Times New Roman" w:hAnsi="Times New Roman" w:cs="Times New Roman" w:eastAsiaTheme="minorEastAsia"/>
                <w:b w:val="0"/>
                <w:bCs w:val="0"/>
                <w:color w:val="FF0000"/>
                <w:spacing w:val="-3"/>
                <w:sz w:val="24"/>
                <w:lang w:val="en-US" w:eastAsia="zh-CN"/>
              </w:rPr>
              <w:t>，喷涂面积约为80000m</w:t>
            </w:r>
            <w:r>
              <w:rPr>
                <w:rFonts w:hint="eastAsia" w:ascii="Times New Roman" w:hAnsi="Times New Roman" w:cs="Times New Roman" w:eastAsiaTheme="minorEastAsia"/>
                <w:b w:val="0"/>
                <w:bCs w:val="0"/>
                <w:color w:val="FF0000"/>
                <w:spacing w:val="-3"/>
                <w:sz w:val="24"/>
                <w:vertAlign w:val="superscript"/>
                <w:lang w:val="en-US" w:eastAsia="zh-CN"/>
              </w:rPr>
              <w:t>2</w:t>
            </w:r>
            <w:r>
              <w:rPr>
                <w:rFonts w:hint="eastAsia" w:ascii="Times New Roman" w:hAnsi="Times New Roman" w:cs="Times New Roman" w:eastAsiaTheme="minorEastAsia"/>
                <w:b w:val="0"/>
                <w:bCs w:val="0"/>
                <w:color w:val="FF0000"/>
                <w:spacing w:val="-3"/>
                <w:sz w:val="24"/>
                <w:vertAlign w:val="baseline"/>
                <w:lang w:val="en-US" w:eastAsia="zh-CN"/>
              </w:rPr>
              <w:t>；</w:t>
            </w:r>
            <w:r>
              <w:rPr>
                <w:rFonts w:hint="eastAsia" w:ascii="Times New Roman" w:hAnsi="Times New Roman" w:cs="Times New Roman" w:eastAsiaTheme="minorEastAsia"/>
                <w:b w:val="0"/>
                <w:bCs w:val="0"/>
                <w:color w:val="FF0000"/>
                <w:spacing w:val="-3"/>
                <w:sz w:val="24"/>
                <w:lang w:val="en-US" w:eastAsia="zh-CN"/>
              </w:rPr>
              <w:t>干膜厚度平均约为37；根据涂料生产厂家提供数据，水性漆密度为1.158g/cm</w:t>
            </w:r>
            <w:r>
              <w:rPr>
                <w:rFonts w:hint="eastAsia" w:ascii="Times New Roman" w:hAnsi="Times New Roman" w:cs="Times New Roman" w:eastAsiaTheme="minorEastAsia"/>
                <w:b w:val="0"/>
                <w:bCs w:val="0"/>
                <w:color w:val="FF0000"/>
                <w:spacing w:val="-3"/>
                <w:sz w:val="24"/>
                <w:vertAlign w:val="superscript"/>
                <w:lang w:val="en-US" w:eastAsia="zh-CN"/>
              </w:rPr>
              <w:t>3</w:t>
            </w:r>
            <w:r>
              <w:rPr>
                <w:rFonts w:hint="eastAsia" w:ascii="Times New Roman" w:hAnsi="Times New Roman" w:cs="Times New Roman" w:eastAsiaTheme="minorEastAsia"/>
                <w:b w:val="0"/>
                <w:bCs w:val="0"/>
                <w:color w:val="FF0000"/>
                <w:spacing w:val="-3"/>
                <w:sz w:val="24"/>
                <w:vertAlign w:val="baseline"/>
                <w:lang w:val="en-US" w:eastAsia="zh-CN"/>
              </w:rPr>
              <w:t>，计算可知为固体含量为57.64%；根据企业提供资料工件为异形件，故涂料利用率较低，</w:t>
            </w:r>
            <w:commentRangeStart w:id="19"/>
            <w:commentRangeStart w:id="20"/>
            <w:r>
              <w:rPr>
                <w:rFonts w:hint="eastAsia" w:ascii="Times New Roman" w:hAnsi="Times New Roman" w:cs="Times New Roman" w:eastAsiaTheme="minorEastAsia"/>
                <w:b w:val="0"/>
                <w:bCs w:val="0"/>
                <w:color w:val="FF0000"/>
                <w:spacing w:val="-3"/>
                <w:sz w:val="24"/>
                <w:vertAlign w:val="baseline"/>
                <w:lang w:val="en-US" w:eastAsia="zh-CN"/>
              </w:rPr>
              <w:t>为70%，其余30%为漆雾，后因设备，环境等因素损耗后变为漆渣，损耗率通常10%~30%，本项目取20%</w:t>
            </w:r>
            <w:commentRangeEnd w:id="19"/>
            <w:r>
              <w:commentReference w:id="19"/>
            </w:r>
            <w:commentRangeEnd w:id="20"/>
            <w:r>
              <w:commentReference w:id="20"/>
            </w:r>
            <w:r>
              <w:rPr>
                <w:rFonts w:hint="eastAsia" w:ascii="Times New Roman" w:hAnsi="Times New Roman" w:cs="Times New Roman" w:eastAsiaTheme="minorEastAsia"/>
                <w:b w:val="0"/>
                <w:bCs w:val="0"/>
                <w:color w:val="FF0000"/>
                <w:spacing w:val="-3"/>
                <w:sz w:val="24"/>
                <w:vertAlign w:val="baseline"/>
                <w:lang w:val="en-US" w:eastAsia="zh-CN"/>
              </w:rPr>
              <w:t>。故本项目水性漆用漆约为10t/a。物料平衡总结表如下：</w:t>
            </w:r>
          </w:p>
          <w:p w14:paraId="29614AB5">
            <w:pPr>
              <w:adjustRightInd w:val="0"/>
              <w:snapToGrid w:val="0"/>
              <w:jc w:val="center"/>
              <w:rPr>
                <w:rFonts w:hint="eastAsia" w:ascii="Times New Roman" w:hAnsi="Times New Roman" w:cs="Times New Roman"/>
                <w:b/>
                <w:szCs w:val="21"/>
                <w:lang w:val="en-US" w:eastAsia="zh-CN"/>
              </w:rPr>
            </w:pPr>
            <w:r>
              <w:rPr>
                <w:rFonts w:ascii="Times New Roman" w:hAnsi="Times New Roman" w:cs="Times New Roman"/>
                <w:b/>
                <w:szCs w:val="21"/>
                <w:lang w:eastAsia="zh-TW"/>
              </w:rPr>
              <w:t>表</w:t>
            </w:r>
            <w:r>
              <w:rPr>
                <w:rFonts w:ascii="Times New Roman" w:hAnsi="Times New Roman" w:cs="Times New Roman"/>
                <w:b/>
                <w:szCs w:val="21"/>
              </w:rPr>
              <w:t>2-</w:t>
            </w:r>
            <w:r>
              <w:rPr>
                <w:rFonts w:hint="eastAsia" w:ascii="Times New Roman" w:hAnsi="Times New Roman" w:cs="Times New Roman"/>
                <w:b/>
                <w:szCs w:val="21"/>
                <w:lang w:val="en-US" w:eastAsia="zh-CN"/>
              </w:rPr>
              <w:t>9</w:t>
            </w:r>
            <w:r>
              <w:rPr>
                <w:rFonts w:ascii="Times New Roman" w:hAnsi="Times New Roman" w:cs="Times New Roman"/>
                <w:b/>
                <w:szCs w:val="21"/>
                <w:lang w:eastAsia="zh-TW"/>
              </w:rPr>
              <w:t xml:space="preserve"> </w:t>
            </w:r>
            <w:r>
              <w:rPr>
                <w:rFonts w:hint="eastAsia" w:ascii="Times New Roman" w:hAnsi="Times New Roman" w:cs="Times New Roman"/>
                <w:b/>
                <w:szCs w:val="21"/>
              </w:rPr>
              <w:t xml:space="preserve"> </w:t>
            </w:r>
            <w:r>
              <w:rPr>
                <w:rFonts w:ascii="Times New Roman" w:hAnsi="Times New Roman" w:cs="Times New Roman"/>
                <w:b/>
                <w:szCs w:val="21"/>
                <w:lang w:eastAsia="zh-TW"/>
              </w:rPr>
              <w:t xml:space="preserve">  </w:t>
            </w:r>
            <w:r>
              <w:rPr>
                <w:rFonts w:ascii="Times New Roman" w:hAnsi="Times New Roman" w:cs="Times New Roman"/>
                <w:b/>
                <w:szCs w:val="21"/>
              </w:rPr>
              <w:t>水性漆</w:t>
            </w:r>
            <w:r>
              <w:rPr>
                <w:rFonts w:hint="eastAsia" w:ascii="Times New Roman" w:hAnsi="Times New Roman" w:cs="Times New Roman"/>
                <w:b/>
                <w:szCs w:val="21"/>
                <w:lang w:val="en-US" w:eastAsia="zh-CN"/>
              </w:rPr>
              <w:t>物料平衡</w:t>
            </w:r>
            <w:r>
              <w:rPr>
                <w:rFonts w:ascii="Times New Roman" w:hAnsi="Times New Roman" w:cs="Times New Roman"/>
                <w:b/>
                <w:szCs w:val="21"/>
              </w:rPr>
              <w:t>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9"/>
              <w:gridCol w:w="2900"/>
              <w:gridCol w:w="2899"/>
            </w:tblGrid>
            <w:tr w14:paraId="42B6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2" w:type="dxa"/>
                </w:tcPr>
                <w:p w14:paraId="04C8EB4D">
                  <w:pPr>
                    <w:spacing w:line="360" w:lineRule="auto"/>
                    <w:jc w:val="center"/>
                    <w:rPr>
                      <w:rFonts w:hint="default"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组分</w:t>
                  </w:r>
                </w:p>
              </w:tc>
              <w:tc>
                <w:tcPr>
                  <w:tcW w:w="2903" w:type="dxa"/>
                </w:tcPr>
                <w:p w14:paraId="6E5216F2">
                  <w:pPr>
                    <w:spacing w:line="360" w:lineRule="auto"/>
                    <w:jc w:val="center"/>
                    <w:rPr>
                      <w:rFonts w:hint="default"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质量（</w:t>
                  </w:r>
                  <w:r>
                    <w:rPr>
                      <w:rFonts w:ascii="Times New Roman" w:hAnsi="Times New Roman" w:cs="Times New Roman"/>
                      <w:b/>
                      <w:bCs/>
                      <w:color w:val="auto"/>
                      <w:szCs w:val="21"/>
                    </w:rPr>
                    <w:t>g/L</w:t>
                  </w:r>
                  <w:r>
                    <w:rPr>
                      <w:rFonts w:hint="eastAsia" w:ascii="Times New Roman" w:hAnsi="Times New Roman" w:cs="Times New Roman"/>
                      <w:b/>
                      <w:bCs/>
                      <w:color w:val="auto"/>
                      <w:szCs w:val="21"/>
                      <w:lang w:val="en-US" w:eastAsia="zh-CN"/>
                    </w:rPr>
                    <w:t>）</w:t>
                  </w:r>
                </w:p>
              </w:tc>
              <w:tc>
                <w:tcPr>
                  <w:tcW w:w="2903" w:type="dxa"/>
                </w:tcPr>
                <w:p w14:paraId="404E78A2">
                  <w:pPr>
                    <w:spacing w:line="360" w:lineRule="auto"/>
                    <w:jc w:val="center"/>
                    <w:rPr>
                      <w:rFonts w:hint="default"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质量百分比</w:t>
                  </w:r>
                </w:p>
              </w:tc>
            </w:tr>
            <w:tr w14:paraId="581C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2" w:type="dxa"/>
                </w:tcPr>
                <w:p w14:paraId="4392A982">
                  <w:pPr>
                    <w:spacing w:line="360" w:lineRule="auto"/>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总质量</w:t>
                  </w:r>
                </w:p>
              </w:tc>
              <w:tc>
                <w:tcPr>
                  <w:tcW w:w="2903" w:type="dxa"/>
                </w:tcPr>
                <w:p w14:paraId="2A4BEE29">
                  <w:pPr>
                    <w:spacing w:line="360" w:lineRule="auto"/>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1158</w:t>
                  </w:r>
                </w:p>
              </w:tc>
              <w:tc>
                <w:tcPr>
                  <w:tcW w:w="2903" w:type="dxa"/>
                </w:tcPr>
                <w:p w14:paraId="6B1AD7AB">
                  <w:pPr>
                    <w:spacing w:line="360" w:lineRule="auto"/>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100</w:t>
                  </w:r>
                </w:p>
              </w:tc>
            </w:tr>
            <w:tr w14:paraId="5545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2" w:type="dxa"/>
                </w:tcPr>
                <w:p w14:paraId="506DB350">
                  <w:pPr>
                    <w:spacing w:line="360" w:lineRule="auto"/>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水分</w:t>
                  </w:r>
                </w:p>
              </w:tc>
              <w:tc>
                <w:tcPr>
                  <w:tcW w:w="2903" w:type="dxa"/>
                </w:tcPr>
                <w:p w14:paraId="278C43E4">
                  <w:pPr>
                    <w:spacing w:line="360" w:lineRule="auto"/>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394.53</w:t>
                  </w:r>
                </w:p>
              </w:tc>
              <w:tc>
                <w:tcPr>
                  <w:tcW w:w="2903" w:type="dxa"/>
                </w:tcPr>
                <w:p w14:paraId="0DD8F4CA">
                  <w:pPr>
                    <w:spacing w:line="360" w:lineRule="auto"/>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34.07</w:t>
                  </w:r>
                </w:p>
              </w:tc>
            </w:tr>
            <w:tr w14:paraId="7CEFE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2" w:type="dxa"/>
                </w:tcPr>
                <w:p w14:paraId="34130B9D">
                  <w:pPr>
                    <w:spacing w:line="360" w:lineRule="auto"/>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挥发性有机物（</w:t>
                  </w:r>
                  <w:r>
                    <w:rPr>
                      <w:rFonts w:ascii="Times New Roman" w:hAnsi="Times New Roman" w:cs="Times New Roman"/>
                      <w:color w:val="auto"/>
                      <w:szCs w:val="21"/>
                    </w:rPr>
                    <w:t>VOC</w:t>
                  </w:r>
                  <w:r>
                    <w:rPr>
                      <w:rFonts w:hint="eastAsia" w:ascii="Times New Roman" w:hAnsi="Times New Roman" w:cs="Times New Roman"/>
                      <w:color w:val="auto"/>
                      <w:szCs w:val="21"/>
                      <w:lang w:val="en-US" w:eastAsia="zh-CN"/>
                    </w:rPr>
                    <w:t>）</w:t>
                  </w:r>
                </w:p>
              </w:tc>
              <w:tc>
                <w:tcPr>
                  <w:tcW w:w="2903" w:type="dxa"/>
                </w:tcPr>
                <w:p w14:paraId="63DF2EDF">
                  <w:pPr>
                    <w:spacing w:line="360" w:lineRule="auto"/>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96</w:t>
                  </w:r>
                </w:p>
              </w:tc>
              <w:tc>
                <w:tcPr>
                  <w:tcW w:w="2903" w:type="dxa"/>
                </w:tcPr>
                <w:p w14:paraId="18807C34">
                  <w:pPr>
                    <w:spacing w:line="360" w:lineRule="auto"/>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8.29</w:t>
                  </w:r>
                </w:p>
              </w:tc>
            </w:tr>
            <w:tr w14:paraId="039E7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2" w:type="dxa"/>
                </w:tcPr>
                <w:p w14:paraId="74C23A7C">
                  <w:pPr>
                    <w:spacing w:line="360" w:lineRule="auto"/>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固体组分</w:t>
                  </w:r>
                </w:p>
              </w:tc>
              <w:tc>
                <w:tcPr>
                  <w:tcW w:w="2903" w:type="dxa"/>
                </w:tcPr>
                <w:p w14:paraId="57243C5F">
                  <w:pPr>
                    <w:spacing w:line="360" w:lineRule="auto"/>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667.47</w:t>
                  </w:r>
                </w:p>
              </w:tc>
              <w:tc>
                <w:tcPr>
                  <w:tcW w:w="2903" w:type="dxa"/>
                </w:tcPr>
                <w:p w14:paraId="4DECE330">
                  <w:pPr>
                    <w:spacing w:line="360" w:lineRule="auto"/>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57.64</w:t>
                  </w:r>
                </w:p>
              </w:tc>
            </w:tr>
          </w:tbl>
          <w:p w14:paraId="520F5665">
            <w:pPr>
              <w:pStyle w:val="39"/>
              <w:autoSpaceDE w:val="0"/>
              <w:autoSpaceDN w:val="0"/>
              <w:adjustRightInd w:val="0"/>
              <w:snapToGrid w:val="0"/>
              <w:spacing w:line="360" w:lineRule="auto"/>
              <w:ind w:firstLine="468" w:firstLineChars="200"/>
              <w:jc w:val="both"/>
              <w:rPr>
                <w:rFonts w:hint="eastAsia" w:ascii="Times New Roman" w:hAnsi="Times New Roman" w:cs="Times New Roman" w:eastAsiaTheme="minorEastAsia"/>
                <w:b w:val="0"/>
                <w:bCs w:val="0"/>
                <w:color w:val="FF0000"/>
                <w:spacing w:val="-3"/>
                <w:sz w:val="24"/>
                <w:vertAlign w:val="baseline"/>
                <w:lang w:val="en-US" w:eastAsia="zh-CN"/>
              </w:rPr>
            </w:pPr>
            <w:r>
              <w:rPr>
                <w:rFonts w:hint="eastAsia" w:ascii="Times New Roman" w:hAnsi="Times New Roman" w:cs="Times New Roman" w:eastAsiaTheme="minorEastAsia"/>
                <w:b w:val="0"/>
                <w:bCs w:val="0"/>
                <w:color w:val="FF0000"/>
                <w:spacing w:val="-3"/>
                <w:sz w:val="24"/>
                <w:vertAlign w:val="baseline"/>
                <w:lang w:val="en-US" w:eastAsia="zh-CN"/>
              </w:rPr>
              <w:t>本项目水性漆用量约为10t/a，固体组分为5.764t/a。水性漆用料平衡如下：</w:t>
            </w:r>
          </w:p>
          <w:p w14:paraId="109D0297">
            <w:pPr>
              <w:pStyle w:val="39"/>
              <w:autoSpaceDE w:val="0"/>
              <w:autoSpaceDN w:val="0"/>
              <w:adjustRightInd w:val="0"/>
              <w:snapToGrid w:val="0"/>
              <w:spacing w:line="360" w:lineRule="auto"/>
              <w:ind w:firstLine="420" w:firstLineChars="200"/>
              <w:jc w:val="both"/>
              <w:rPr>
                <w:rFonts w:ascii="Times New Roman" w:hAnsi="Times New Roman" w:cs="Times New Roman"/>
                <w:szCs w:val="21"/>
              </w:rPr>
            </w:pPr>
            <w:r>
              <w:rPr>
                <w:rFonts w:ascii="Times New Roman" w:hAnsi="Times New Roman" w:cs="Times New Roman"/>
                <w:color w:val="auto"/>
                <w:szCs w:val="21"/>
              </w:rPr>
              <mc:AlternateContent>
                <mc:Choice Requires="wpc">
                  <w:drawing>
                    <wp:inline distT="0" distB="0" distL="114300" distR="114300">
                      <wp:extent cx="5193030" cy="2174875"/>
                      <wp:effectExtent l="0" t="0" r="0" b="0"/>
                      <wp:docPr id="9" name="画布 9"/>
                      <wp:cNvGraphicFramePr/>
                      <a:graphic xmlns:a="http://schemas.openxmlformats.org/drawingml/2006/main">
                        <a:graphicData uri="http://schemas.microsoft.com/office/word/2010/wordprocessingCanvas">
                          <wpc:wpc>
                            <wpc:bg>
                              <a:noFill/>
                            </wpc:bg>
                            <wpc:whole>
                              <a:ln>
                                <a:noFill/>
                              </a:ln>
                            </wpc:whole>
                            <wps:wsp>
                              <wps:cNvPr id="14" name="文本框 25"/>
                              <wps:cNvSpPr txBox="1"/>
                              <wps:spPr>
                                <a:xfrm>
                                  <a:off x="52070" y="1665605"/>
                                  <a:ext cx="1777365" cy="273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5F6252">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漆雾30%：1.383t</w:t>
                                    </w:r>
                                  </w:p>
                                </w:txbxContent>
                              </wps:txbx>
                              <wps:bodyPr upright="1"/>
                            </wps:wsp>
                            <wps:wsp>
                              <wps:cNvPr id="16" name="文本框 28"/>
                              <wps:cNvSpPr txBox="1"/>
                              <wps:spPr>
                                <a:xfrm>
                                  <a:off x="1755140" y="46355"/>
                                  <a:ext cx="1687830" cy="3327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DB2C9D">
                                    <w:pPr>
                                      <w:rPr>
                                        <w:rFonts w:hint="default" w:eastAsiaTheme="minorEastAsia"/>
                                        <w:lang w:val="en-US" w:eastAsia="zh-CN"/>
                                      </w:rPr>
                                    </w:pPr>
                                    <w:r>
                                      <w:rPr>
                                        <w:rFonts w:hint="eastAsia" w:ascii="Times New Roman" w:hAnsi="Times New Roman" w:cs="Times New Roman"/>
                                      </w:rPr>
                                      <w:t>水性漆</w:t>
                                    </w:r>
                                    <w:r>
                                      <w:rPr>
                                        <w:rFonts w:hint="eastAsia" w:ascii="Times New Roman" w:hAnsi="Times New Roman" w:cs="Times New Roman"/>
                                        <w:lang w:val="en-US" w:eastAsia="zh-CN"/>
                                      </w:rPr>
                                      <w:t>固体组分</w:t>
                                    </w:r>
                                    <w:r>
                                      <w:rPr>
                                        <w:rFonts w:ascii="Times New Roman" w:hAnsi="Times New Roman" w:cs="Times New Roman"/>
                                      </w:rPr>
                                      <w:t>：</w:t>
                                    </w:r>
                                    <w:r>
                                      <w:rPr>
                                        <w:rFonts w:hint="eastAsia" w:ascii="Times New Roman" w:hAnsi="Times New Roman" w:cs="Times New Roman"/>
                                        <w:lang w:val="en-US" w:eastAsia="zh-CN"/>
                                      </w:rPr>
                                      <w:t>5.764t</w:t>
                                    </w:r>
                                  </w:p>
                                </w:txbxContent>
                              </wps:txbx>
                              <wps:bodyPr upright="1"/>
                            </wps:wsp>
                            <wps:wsp>
                              <wps:cNvPr id="24" name="文本框 57"/>
                              <wps:cNvSpPr txBox="1"/>
                              <wps:spPr>
                                <a:xfrm>
                                  <a:off x="925830" y="826770"/>
                                  <a:ext cx="1582420" cy="3168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28877D">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80%：4.611t</w:t>
                                    </w:r>
                                  </w:p>
                                </w:txbxContent>
                              </wps:txbx>
                              <wps:bodyPr upright="1"/>
                            </wps:wsp>
                            <wps:wsp>
                              <wps:cNvPr id="25" name="文本框 59"/>
                              <wps:cNvSpPr txBox="1"/>
                              <wps:spPr>
                                <a:xfrm>
                                  <a:off x="2600325" y="836295"/>
                                  <a:ext cx="2493645" cy="2832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28680D">
                                    <w:pPr>
                                      <w:jc w:val="center"/>
                                      <w:rPr>
                                        <w:rFonts w:hint="default" w:ascii="Times New Roman" w:hAnsi="Times New Roman" w:cs="Times New Roman" w:eastAsiaTheme="minorEastAsia"/>
                                        <w:lang w:val="en-US" w:eastAsia="zh-CN"/>
                                      </w:rPr>
                                    </w:pPr>
                                    <w:r>
                                      <w:rPr>
                                        <w:rFonts w:hint="eastAsia" w:ascii="Times New Roman" w:hAnsi="Times New Roman" w:cs="Times New Roman"/>
                                        <w:color w:val="000000"/>
                                        <w:szCs w:val="21"/>
                                        <w:lang w:eastAsia="zh-CN"/>
                                      </w:rPr>
                                      <w:t>环境、设备损耗（</w:t>
                                    </w:r>
                                    <w:r>
                                      <w:rPr>
                                        <w:rFonts w:hint="eastAsia" w:ascii="Times New Roman" w:hAnsi="Times New Roman" w:cs="Times New Roman"/>
                                        <w:color w:val="000000"/>
                                        <w:szCs w:val="21"/>
                                        <w:lang w:val="en-US" w:eastAsia="zh-CN"/>
                                      </w:rPr>
                                      <w:t>20%</w:t>
                                    </w:r>
                                    <w:r>
                                      <w:rPr>
                                        <w:rFonts w:hint="eastAsia" w:ascii="Times New Roman" w:hAnsi="Times New Roman" w:cs="Times New Roman"/>
                                        <w:color w:val="000000"/>
                                        <w:szCs w:val="21"/>
                                        <w:lang w:eastAsia="zh-CN"/>
                                      </w:rPr>
                                      <w:t>）（</w:t>
                                    </w:r>
                                    <w:r>
                                      <w:rPr>
                                        <w:rFonts w:hint="eastAsia" w:ascii="Times New Roman" w:hAnsi="Times New Roman" w:cs="Times New Roman"/>
                                        <w:color w:val="000000"/>
                                        <w:szCs w:val="21"/>
                                        <w:lang w:val="en-US" w:eastAsia="zh-CN"/>
                                      </w:rPr>
                                      <w:t>漆渣</w:t>
                                    </w:r>
                                    <w:r>
                                      <w:rPr>
                                        <w:rFonts w:hint="eastAsia" w:ascii="Times New Roman" w:hAnsi="Times New Roman" w:cs="Times New Roman"/>
                                        <w:color w:val="000000"/>
                                        <w:szCs w:val="21"/>
                                        <w:lang w:eastAsia="zh-CN"/>
                                      </w:rPr>
                                      <w:t>）：</w:t>
                                    </w:r>
                                    <w:r>
                                      <w:rPr>
                                        <w:rFonts w:hint="eastAsia" w:ascii="Times New Roman" w:hAnsi="Times New Roman" w:cs="Times New Roman"/>
                                        <w:color w:val="000000"/>
                                        <w:szCs w:val="21"/>
                                        <w:lang w:val="en-US" w:eastAsia="zh-CN"/>
                                      </w:rPr>
                                      <w:t>1.153t</w:t>
                                    </w:r>
                                  </w:p>
                                  <w:p w14:paraId="6A5BE7F1">
                                    <w:pPr>
                                      <w:rPr>
                                        <w:rFonts w:hint="default"/>
                                        <w:lang w:val="en-US" w:eastAsia="zh-CN"/>
                                      </w:rPr>
                                    </w:pPr>
                                  </w:p>
                                </w:txbxContent>
                              </wps:txbx>
                              <wps:bodyPr upright="1"/>
                            </wps:wsp>
                            <wps:wsp>
                              <wps:cNvPr id="26" name="直接连接符 3"/>
                              <wps:cNvCnPr/>
                              <wps:spPr>
                                <a:xfrm>
                                  <a:off x="2531110" y="373380"/>
                                  <a:ext cx="3810" cy="259080"/>
                                </a:xfrm>
                                <a:prstGeom prst="line">
                                  <a:avLst/>
                                </a:prstGeom>
                                <a:ln w="9525" cap="flat" cmpd="sng">
                                  <a:solidFill>
                                    <a:srgbClr val="000000"/>
                                  </a:solidFill>
                                  <a:prstDash val="solid"/>
                                  <a:headEnd type="none" w="med" len="med"/>
                                  <a:tailEnd type="triangle" w="med" len="med"/>
                                </a:ln>
                              </wps:spPr>
                              <wps:bodyPr/>
                            </wps:wsp>
                            <wps:wsp>
                              <wps:cNvPr id="27" name="直接连接符 81"/>
                              <wps:cNvCnPr/>
                              <wps:spPr>
                                <a:xfrm flipV="1">
                                  <a:off x="1665605" y="618490"/>
                                  <a:ext cx="1722120" cy="10160"/>
                                </a:xfrm>
                                <a:prstGeom prst="line">
                                  <a:avLst/>
                                </a:prstGeom>
                                <a:ln w="9525" cap="flat" cmpd="sng">
                                  <a:solidFill>
                                    <a:srgbClr val="000000"/>
                                  </a:solidFill>
                                  <a:prstDash val="solid"/>
                                  <a:headEnd type="none" w="med" len="med"/>
                                  <a:tailEnd type="none" w="med" len="med"/>
                                </a:ln>
                              </wps:spPr>
                              <wps:bodyPr/>
                            </wps:wsp>
                            <wps:wsp>
                              <wps:cNvPr id="28" name="直接连接符 22"/>
                              <wps:cNvCnPr/>
                              <wps:spPr>
                                <a:xfrm>
                                  <a:off x="1676400" y="639445"/>
                                  <a:ext cx="0" cy="177800"/>
                                </a:xfrm>
                                <a:prstGeom prst="line">
                                  <a:avLst/>
                                </a:prstGeom>
                                <a:ln w="9525" cap="flat" cmpd="sng">
                                  <a:solidFill>
                                    <a:srgbClr val="000000"/>
                                  </a:solidFill>
                                  <a:prstDash val="solid"/>
                                  <a:headEnd type="none" w="med" len="med"/>
                                  <a:tailEnd type="triangle" w="med" len="med"/>
                                </a:ln>
                              </wps:spPr>
                              <wps:bodyPr/>
                            </wps:wsp>
                            <wps:wsp>
                              <wps:cNvPr id="29" name="直接连接符 22"/>
                              <wps:cNvCnPr/>
                              <wps:spPr>
                                <a:xfrm>
                                  <a:off x="3390265" y="617855"/>
                                  <a:ext cx="0" cy="177800"/>
                                </a:xfrm>
                                <a:prstGeom prst="line">
                                  <a:avLst/>
                                </a:prstGeom>
                                <a:ln w="9525" cap="flat" cmpd="sng">
                                  <a:solidFill>
                                    <a:srgbClr val="000000"/>
                                  </a:solidFill>
                                  <a:prstDash val="solid"/>
                                  <a:headEnd type="none" w="med" len="med"/>
                                  <a:tailEnd type="triangle" w="med" len="med"/>
                                </a:ln>
                              </wps:spPr>
                              <wps:bodyPr/>
                            </wps:wsp>
                            <wps:wsp>
                              <wps:cNvPr id="30" name="直接连接符 3"/>
                              <wps:cNvCnPr/>
                              <wps:spPr>
                                <a:xfrm>
                                  <a:off x="1696720" y="1166495"/>
                                  <a:ext cx="3810" cy="259080"/>
                                </a:xfrm>
                                <a:prstGeom prst="line">
                                  <a:avLst/>
                                </a:prstGeom>
                                <a:ln w="9525" cap="flat" cmpd="sng">
                                  <a:solidFill>
                                    <a:srgbClr val="000000"/>
                                  </a:solidFill>
                                  <a:prstDash val="solid"/>
                                  <a:headEnd type="none" w="med" len="med"/>
                                  <a:tailEnd type="triangle" w="med" len="med"/>
                                </a:ln>
                              </wps:spPr>
                              <wps:bodyPr/>
                            </wps:wsp>
                            <wps:wsp>
                              <wps:cNvPr id="31" name="直接连接符 85"/>
                              <wps:cNvCnPr/>
                              <wps:spPr>
                                <a:xfrm flipV="1">
                                  <a:off x="882650" y="1454150"/>
                                  <a:ext cx="1722120" cy="10160"/>
                                </a:xfrm>
                                <a:prstGeom prst="line">
                                  <a:avLst/>
                                </a:prstGeom>
                                <a:ln w="9525" cap="flat" cmpd="sng">
                                  <a:solidFill>
                                    <a:srgbClr val="000000"/>
                                  </a:solidFill>
                                  <a:prstDash val="solid"/>
                                  <a:headEnd type="none" w="med" len="med"/>
                                  <a:tailEnd type="none" w="med" len="med"/>
                                </a:ln>
                              </wps:spPr>
                              <wps:bodyPr/>
                            </wps:wsp>
                            <wps:wsp>
                              <wps:cNvPr id="33" name="直接连接符 22"/>
                              <wps:cNvCnPr/>
                              <wps:spPr>
                                <a:xfrm>
                                  <a:off x="899795" y="1477645"/>
                                  <a:ext cx="0" cy="177800"/>
                                </a:xfrm>
                                <a:prstGeom prst="line">
                                  <a:avLst/>
                                </a:prstGeom>
                                <a:ln w="9525" cap="flat" cmpd="sng">
                                  <a:solidFill>
                                    <a:srgbClr val="000000"/>
                                  </a:solidFill>
                                  <a:prstDash val="solid"/>
                                  <a:headEnd type="none" w="med" len="med"/>
                                  <a:tailEnd type="triangle" w="med" len="med"/>
                                </a:ln>
                              </wps:spPr>
                              <wps:bodyPr/>
                            </wps:wsp>
                            <wps:wsp>
                              <wps:cNvPr id="34" name="直接连接符 22"/>
                              <wps:cNvCnPr/>
                              <wps:spPr>
                                <a:xfrm>
                                  <a:off x="2606675" y="1466215"/>
                                  <a:ext cx="0" cy="177800"/>
                                </a:xfrm>
                                <a:prstGeom prst="line">
                                  <a:avLst/>
                                </a:prstGeom>
                                <a:ln w="9525" cap="flat" cmpd="sng">
                                  <a:solidFill>
                                    <a:srgbClr val="000000"/>
                                  </a:solidFill>
                                  <a:prstDash val="solid"/>
                                  <a:headEnd type="none" w="med" len="med"/>
                                  <a:tailEnd type="triangle" w="med" len="med"/>
                                </a:ln>
                              </wps:spPr>
                              <wps:bodyPr/>
                            </wps:wsp>
                            <wps:wsp>
                              <wps:cNvPr id="51" name="文本框 24"/>
                              <wps:cNvSpPr txBox="1"/>
                              <wps:spPr>
                                <a:xfrm>
                                  <a:off x="1950085" y="1663700"/>
                                  <a:ext cx="1889760" cy="2787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A82DFF">
                                    <w:pPr>
                                      <w:jc w:val="center"/>
                                      <w:rPr>
                                        <w:rFonts w:hint="default" w:ascii="Times New Roman" w:hAnsi="Times New Roman" w:cs="Times New Roman" w:eastAsiaTheme="minorEastAsia"/>
                                        <w:lang w:val="en-US" w:eastAsia="zh-CN"/>
                                      </w:rPr>
                                    </w:pPr>
                                    <w:r>
                                      <w:rPr>
                                        <w:rFonts w:hint="eastAsia" w:ascii="Times New Roman" w:hAnsi="Times New Roman" w:cs="Times New Roman"/>
                                        <w:szCs w:val="21"/>
                                        <w:lang w:eastAsia="zh-CN"/>
                                      </w:rPr>
                                      <w:t>工件表面：</w:t>
                                    </w:r>
                                    <w:r>
                                      <w:rPr>
                                        <w:rFonts w:ascii="Times New Roman" w:hAnsi="Times New Roman" w:cs="Times New Roman"/>
                                        <w:color w:val="000000"/>
                                        <w:szCs w:val="21"/>
                                      </w:rPr>
                                      <w:t>（</w:t>
                                    </w:r>
                                    <w:r>
                                      <w:rPr>
                                        <w:rFonts w:hint="eastAsia" w:ascii="Times New Roman" w:hAnsi="Times New Roman" w:cs="Times New Roman"/>
                                        <w:color w:val="000000"/>
                                        <w:szCs w:val="21"/>
                                        <w:lang w:val="en-US" w:eastAsia="zh-CN"/>
                                      </w:rPr>
                                      <w:t>70%</w:t>
                                    </w:r>
                                    <w:r>
                                      <w:rPr>
                                        <w:rFonts w:ascii="Times New Roman" w:hAnsi="Times New Roman" w:cs="Times New Roman"/>
                                        <w:color w:val="000000"/>
                                        <w:szCs w:val="21"/>
                                      </w:rPr>
                                      <w:t>）</w:t>
                                    </w:r>
                                    <w:r>
                                      <w:rPr>
                                        <w:rFonts w:ascii="Times New Roman" w:hAnsi="Times New Roman" w:cs="Times New Roman"/>
                                      </w:rPr>
                                      <w:t>：</w:t>
                                    </w:r>
                                    <w:r>
                                      <w:rPr>
                                        <w:rFonts w:hint="eastAsia" w:ascii="Times New Roman" w:hAnsi="Times New Roman" w:cs="Times New Roman"/>
                                        <w:lang w:val="en-US" w:eastAsia="zh-CN"/>
                                      </w:rPr>
                                      <w:t>3.228t</w:t>
                                    </w:r>
                                  </w:p>
                                </w:txbxContent>
                              </wps:txbx>
                              <wps:bodyPr upright="1"/>
                            </wps:wsp>
                          </wpc:wpc>
                        </a:graphicData>
                      </a:graphic>
                    </wp:inline>
                  </w:drawing>
                </mc:Choice>
                <mc:Fallback>
                  <w:pict>
                    <v:group id="_x0000_s1026" o:spid="_x0000_s1026" o:spt="203" style="height:171.25pt;width:408.9pt;" coordsize="5193030,2174875" editas="canvas" o:gfxdata="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">
                      <o:lock v:ext="edit" aspectratio="f"/>
                      <v:shape id="_x0000_s1026" o:spid="_x0000_s1026" style="position:absolute;left:0;top:0;height:2174875;width:5193030;" filled="f" stroked="f" coordsize="21600,21600" o:gfxdata="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">
                        <v:fill on="f" focussize="0,0"/>
                        <v:stroke on="f"/>
                        <v:imagedata o:title=""/>
                        <o:lock v:ext="edit" aspectratio="f"/>
                      </v:shape>
                      <v:shape id="文本框 25" o:spid="_x0000_s1026" o:spt="202" type="#_x0000_t202" style="position:absolute;left:52070;top:1665605;height:273050;width:1777365;" fillcolor="#FFFFFF" filled="t" stroked="t" coordsize="21600,21600" o:gfxdata="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ogpQ3WAAAABQEAAA8AAAAA&#10;AAAAAQAgAAAAIgAAAGRycy9kb3ducmV2LnhtbFBLAQIUABQAAAAIAIdO4kD4/QP4FgIAAEIEAAAO&#10;AAAAAAAAAAEAIAAAACUBAABkcnMvZTJvRG9jLnhtbFBLBQYAAAAABgAGAFkBAACtBQAAAAA=&#10;">
                        <v:fill on="t" focussize="0,0"/>
                        <v:stroke color="#000000" joinstyle="miter"/>
                        <v:imagedata o:title=""/>
                        <o:lock v:ext="edit" aspectratio="f"/>
                        <v:textbox>
                          <w:txbxContent>
                            <w:p w14:paraId="6F5F6252">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漆雾30%：1.383t</w:t>
                              </w:r>
                            </w:p>
                          </w:txbxContent>
                        </v:textbox>
                      </v:shape>
                      <v:shape id="文本框 28" o:spid="_x0000_s1026" o:spt="202" type="#_x0000_t202" style="position:absolute;left:1755140;top:46355;height:332740;width:1687830;" fillcolor="#FFFFFF" filled="t" stroked="t" coordsize="21600,21600" o:gfxdata="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aIKUN1gAAAAUBAAAPAAAAAAAA&#10;AAEAIAAAACIAAABkcnMvZG93bnJldi54bWxQSwECFAAUAAAACACHTuJADdRrnhQCAABCBAAADgAA&#10;AAAAAAABACAAAAAlAQAAZHJzL2Uyb0RvYy54bWxQSwUGAAAAAAYABgBZAQAAqwUAAAAA&#10;">
                        <v:fill on="t" focussize="0,0"/>
                        <v:stroke color="#000000" joinstyle="miter"/>
                        <v:imagedata o:title=""/>
                        <o:lock v:ext="edit" aspectratio="f"/>
                        <v:textbox>
                          <w:txbxContent>
                            <w:p w14:paraId="34DB2C9D">
                              <w:pPr>
                                <w:rPr>
                                  <w:rFonts w:hint="default" w:eastAsiaTheme="minorEastAsia"/>
                                  <w:lang w:val="en-US" w:eastAsia="zh-CN"/>
                                </w:rPr>
                              </w:pPr>
                              <w:r>
                                <w:rPr>
                                  <w:rFonts w:hint="eastAsia" w:ascii="Times New Roman" w:hAnsi="Times New Roman" w:cs="Times New Roman"/>
                                </w:rPr>
                                <w:t>水性漆</w:t>
                              </w:r>
                              <w:r>
                                <w:rPr>
                                  <w:rFonts w:hint="eastAsia" w:ascii="Times New Roman" w:hAnsi="Times New Roman" w:cs="Times New Roman"/>
                                  <w:lang w:val="en-US" w:eastAsia="zh-CN"/>
                                </w:rPr>
                                <w:t>固体组分</w:t>
                              </w:r>
                              <w:r>
                                <w:rPr>
                                  <w:rFonts w:ascii="Times New Roman" w:hAnsi="Times New Roman" w:cs="Times New Roman"/>
                                </w:rPr>
                                <w:t>：</w:t>
                              </w:r>
                              <w:r>
                                <w:rPr>
                                  <w:rFonts w:hint="eastAsia" w:ascii="Times New Roman" w:hAnsi="Times New Roman" w:cs="Times New Roman"/>
                                  <w:lang w:val="en-US" w:eastAsia="zh-CN"/>
                                </w:rPr>
                                <w:t>5.764t</w:t>
                              </w:r>
                            </w:p>
                          </w:txbxContent>
                        </v:textbox>
                      </v:shape>
                      <v:shape id="文本框 57" o:spid="_x0000_s1026" o:spt="202" type="#_x0000_t202" style="position:absolute;left:925830;top:826770;height:316865;width:1582420;" fillcolor="#FFFFFF" filled="t" stroked="t" coordsize="21600,21600" o:gfxdata="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2iClDdYAAAAFAQAADwAAAAAA&#10;AAABACAAAAAiAAAAZHJzL2Rvd25yZXYueG1sUEsBAhQAFAAAAAgAh07iQI6lZPMVAgAAQgQAAA4A&#10;AAAAAAAAAQAgAAAAJQEAAGRycy9lMm9Eb2MueG1sUEsFBgAAAAAGAAYAWQEAAKwFAAAAAA==&#10;">
                        <v:fill on="t" focussize="0,0"/>
                        <v:stroke color="#000000" joinstyle="miter"/>
                        <v:imagedata o:title=""/>
                        <o:lock v:ext="edit" aspectratio="f"/>
                        <v:textbox>
                          <w:txbxContent>
                            <w:p w14:paraId="3528877D">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80%：4.611t</w:t>
                              </w:r>
                            </w:p>
                          </w:txbxContent>
                        </v:textbox>
                      </v:shape>
                      <v:shape id="文本框 59" o:spid="_x0000_s1026" o:spt="202" type="#_x0000_t202" style="position:absolute;left:2600325;top:836295;height:283210;width:2493645;" fillcolor="#FFFFFF" filled="t" stroked="t" coordsize="21600,21600" o:gfxdata="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aIKUN1gAAAAUBAAAPAAAA&#10;AAAAAAEAIAAAACIAAABkcnMvZG93bnJldi54bWxQSwECFAAUAAAACACHTuJAX/KEvhcCAABDBAAA&#10;DgAAAAAAAAABACAAAAAlAQAAZHJzL2Uyb0RvYy54bWxQSwUGAAAAAAYABgBZAQAArgUAAAAA&#10;">
                        <v:fill on="t" focussize="0,0"/>
                        <v:stroke color="#000000" joinstyle="miter"/>
                        <v:imagedata o:title=""/>
                        <o:lock v:ext="edit" aspectratio="f"/>
                        <v:textbox>
                          <w:txbxContent>
                            <w:p w14:paraId="5028680D">
                              <w:pPr>
                                <w:jc w:val="center"/>
                                <w:rPr>
                                  <w:rFonts w:hint="default" w:ascii="Times New Roman" w:hAnsi="Times New Roman" w:cs="Times New Roman" w:eastAsiaTheme="minorEastAsia"/>
                                  <w:lang w:val="en-US" w:eastAsia="zh-CN"/>
                                </w:rPr>
                              </w:pPr>
                              <w:r>
                                <w:rPr>
                                  <w:rFonts w:hint="eastAsia" w:ascii="Times New Roman" w:hAnsi="Times New Roman" w:cs="Times New Roman"/>
                                  <w:color w:val="000000"/>
                                  <w:szCs w:val="21"/>
                                  <w:lang w:eastAsia="zh-CN"/>
                                </w:rPr>
                                <w:t>环境、设备损耗（</w:t>
                              </w:r>
                              <w:r>
                                <w:rPr>
                                  <w:rFonts w:hint="eastAsia" w:ascii="Times New Roman" w:hAnsi="Times New Roman" w:cs="Times New Roman"/>
                                  <w:color w:val="000000"/>
                                  <w:szCs w:val="21"/>
                                  <w:lang w:val="en-US" w:eastAsia="zh-CN"/>
                                </w:rPr>
                                <w:t>20%</w:t>
                              </w:r>
                              <w:r>
                                <w:rPr>
                                  <w:rFonts w:hint="eastAsia" w:ascii="Times New Roman" w:hAnsi="Times New Roman" w:cs="Times New Roman"/>
                                  <w:color w:val="000000"/>
                                  <w:szCs w:val="21"/>
                                  <w:lang w:eastAsia="zh-CN"/>
                                </w:rPr>
                                <w:t>）（</w:t>
                              </w:r>
                              <w:r>
                                <w:rPr>
                                  <w:rFonts w:hint="eastAsia" w:ascii="Times New Roman" w:hAnsi="Times New Roman" w:cs="Times New Roman"/>
                                  <w:color w:val="000000"/>
                                  <w:szCs w:val="21"/>
                                  <w:lang w:val="en-US" w:eastAsia="zh-CN"/>
                                </w:rPr>
                                <w:t>漆渣</w:t>
                              </w:r>
                              <w:r>
                                <w:rPr>
                                  <w:rFonts w:hint="eastAsia" w:ascii="Times New Roman" w:hAnsi="Times New Roman" w:cs="Times New Roman"/>
                                  <w:color w:val="000000"/>
                                  <w:szCs w:val="21"/>
                                  <w:lang w:eastAsia="zh-CN"/>
                                </w:rPr>
                                <w:t>）：</w:t>
                              </w:r>
                              <w:r>
                                <w:rPr>
                                  <w:rFonts w:hint="eastAsia" w:ascii="Times New Roman" w:hAnsi="Times New Roman" w:cs="Times New Roman"/>
                                  <w:color w:val="000000"/>
                                  <w:szCs w:val="21"/>
                                  <w:lang w:val="en-US" w:eastAsia="zh-CN"/>
                                </w:rPr>
                                <w:t>1.153t</w:t>
                              </w:r>
                            </w:p>
                            <w:p w14:paraId="6A5BE7F1">
                              <w:pPr>
                                <w:rPr>
                                  <w:rFonts w:hint="default"/>
                                  <w:lang w:val="en-US" w:eastAsia="zh-CN"/>
                                </w:rPr>
                              </w:pPr>
                            </w:p>
                          </w:txbxContent>
                        </v:textbox>
                      </v:shape>
                      <v:line id="直接连接符 3" o:spid="_x0000_s1026" o:spt="20" style="position:absolute;left:2531110;top:373380;height:259080;width:3810;" filled="f" stroked="t" coordsize="21600,21600" o:gfxdata="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LwdbdcAAAAFAQAADwAAAAAAAAABACAAAAAiAAAAZHJzL2Rv&#10;d25yZXYueG1sUEsBAhQAFAAAAAgAh07iQBnWoTkCAgAA6gMAAA4AAAAAAAAAAQAgAAAAJgEAAGRy&#10;cy9lMm9Eb2MueG1sUEsFBgAAAAAGAAYAWQEAAJoFAAAAAA==&#10;">
                        <v:fill on="f" focussize="0,0"/>
                        <v:stroke color="#000000" joinstyle="round" endarrow="block"/>
                        <v:imagedata o:title=""/>
                        <o:lock v:ext="edit" aspectratio="f"/>
                      </v:line>
                      <v:line id="直接连接符 81" o:spid="_x0000_s1026" o:spt="20" style="position:absolute;left:1665605;top:618490;flip:y;height:10160;width:1722120;" filled="f" stroked="t" coordsize="21600,21600" o:gfxdata="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f+saPVAAAABQEAAA8AAAAAAAAAAQAgAAAAIgAAAGRycy9k&#10;b3ducmV2LnhtbFBLAQIUABQAAAAIAIdO4kA2u6nDBQIAAPMDAAAOAAAAAAAAAAEAIAAAACQBAABk&#10;cnMvZTJvRG9jLnhtbFBLBQYAAAAABgAGAFkBAACbBQAAAAA=&#10;">
                        <v:fill on="f" focussize="0,0"/>
                        <v:stroke color="#000000" joinstyle="round"/>
                        <v:imagedata o:title=""/>
                        <o:lock v:ext="edit" aspectratio="f"/>
                      </v:line>
                      <v:line id="直接连接符 22" o:spid="_x0000_s1026" o:spt="20" style="position:absolute;left:1676400;top:639445;height:177800;width:0;" filled="f" stroked="t" coordsize="21600,21600" o:gfxdata="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vB1t1wAAAAUBAAAPAAAAAAAAAAEAIAAAACIAAABkcnMvZG93&#10;bnJldi54bWxQSwECFAAUAAAACACHTuJA0eAzlAECAADoAwAADgAAAAAAAAABACAAAAAmAQAAZHJz&#10;L2Uyb0RvYy54bWxQSwUGAAAAAAYABgBZAQAAmQUAAAAA&#10;">
                        <v:fill on="f" focussize="0,0"/>
                        <v:stroke color="#000000" joinstyle="round" endarrow="block"/>
                        <v:imagedata o:title=""/>
                        <o:lock v:ext="edit" aspectratio="f"/>
                      </v:line>
                      <v:line id="直接连接符 22" o:spid="_x0000_s1026" o:spt="20" style="position:absolute;left:3390265;top:617855;height:177800;width:0;" filled="f" stroked="t" coordsize="21600,21600" o:gfxdata="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IvB1t1wAAAAUBAAAPAAAAAAAAAAEAIAAAACIAAABkcnMv&#10;ZG93bnJldi54bWxQSwECFAAUAAAACACHTuJAlI1uEQQCAADoAwAADgAAAAAAAAABACAAAAAmAQAA&#10;ZHJzL2Uyb0RvYy54bWxQSwUGAAAAAAYABgBZAQAAnAUAAAAA&#10;">
                        <v:fill on="f" focussize="0,0"/>
                        <v:stroke color="#000000" joinstyle="round" endarrow="block"/>
                        <v:imagedata o:title=""/>
                        <o:lock v:ext="edit" aspectratio="f"/>
                      </v:line>
                      <v:line id="直接连接符 3" o:spid="_x0000_s1026" o:spt="20" style="position:absolute;left:1696720;top:1166495;height:259080;width:3810;" filled="f" stroked="t" coordsize="21600,21600" o:gfxdata="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IvB1t1wAAAAUBAAAPAAAAAAAAAAEAIAAAACIAAABkcnMv&#10;ZG93bnJldi54bWxQSwECFAAUAAAACACHTuJAee94wAQCAADrAwAADgAAAAAAAAABACAAAAAmAQAA&#10;ZHJzL2Uyb0RvYy54bWxQSwUGAAAAAAYABgBZAQAAnAUAAAAA&#10;">
                        <v:fill on="f" focussize="0,0"/>
                        <v:stroke color="#000000" joinstyle="round" endarrow="block"/>
                        <v:imagedata o:title=""/>
                        <o:lock v:ext="edit" aspectratio="f"/>
                      </v:line>
                      <v:line id="直接连接符 85" o:spid="_x0000_s1026" o:spt="20" style="position:absolute;left:882650;top:1454150;flip:y;height:10160;width:1722120;" filled="f" stroked="t" coordsize="21600,21600" o:gfxdata="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3/rGj1QAAAAUBAAAPAAAAAAAAAAEAIAAAACIAAABkcnMvZG93&#10;bnJldi54bWxQSwECFAAUAAAACACHTuJAOuIpGwMCAADzAwAADgAAAAAAAAABACAAAAAkAQAAZHJz&#10;L2Uyb0RvYy54bWxQSwUGAAAAAAYABgBZAQAAmQUAAAAA&#10;">
                        <v:fill on="f" focussize="0,0"/>
                        <v:stroke color="#000000" joinstyle="round"/>
                        <v:imagedata o:title=""/>
                        <o:lock v:ext="edit" aspectratio="f"/>
                      </v:line>
                      <v:line id="直接连接符 22" o:spid="_x0000_s1026" o:spt="20" style="position:absolute;left:899795;top:1477645;height:177800;width:0;" filled="f" stroked="t" coordsize="21600,21600" o:gfxdata="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i8HW3XAAAABQEAAA8AAAAAAAAAAQAgAAAAIgAAAGRycy9k&#10;b3ducmV2LnhtbFBLAQIUABQAAAAIAIdO4kCvzA+lAwIAAOgDAAAOAAAAAAAAAAEAIAAAACYBAABk&#10;cnMvZTJvRG9jLnhtbFBLBQYAAAAABgAGAFkBAACbBQAAAAA=&#10;">
                        <v:fill on="f" focussize="0,0"/>
                        <v:stroke color="#000000" joinstyle="round" endarrow="block"/>
                        <v:imagedata o:title=""/>
                        <o:lock v:ext="edit" aspectratio="f"/>
                      </v:line>
                      <v:line id="直接连接符 22" o:spid="_x0000_s1026" o:spt="20" style="position:absolute;left:2606675;top:1466215;height:177800;width:0;" filled="f" stroked="t" coordsize="21600,21600" o:gfxdata="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i8HW3XAAAABQEAAA8AAAAAAAAAAQAgAAAAIgAAAGRycy9k&#10;b3ducmV2LnhtbFBLAQIUABQAAAAIAIdO4kAfv4X8AwIAAOkDAAAOAAAAAAAAAAEAIAAAACYBAABk&#10;cnMvZTJvRG9jLnhtbFBLBQYAAAAABgAGAFkBAACbBQAAAAA=&#10;">
                        <v:fill on="f" focussize="0,0"/>
                        <v:stroke color="#000000" joinstyle="round" endarrow="block"/>
                        <v:imagedata o:title=""/>
                        <o:lock v:ext="edit" aspectratio="f"/>
                      </v:line>
                      <v:shape id="文本框 24" o:spid="_x0000_s1026" o:spt="202" type="#_x0000_t202" style="position:absolute;left:1950085;top:1663700;height:278765;width:1889760;" fillcolor="#FFFFFF" filled="t" stroked="t" coordsize="21600,21600" o:gfxdata="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ogpQ3WAAAABQEAAA8AAAAA&#10;AAAAAQAgAAAAIgAAAGRycy9kb3ducmV2LnhtbFBLAQIUABQAAAAIAIdO4kDIjhrhFgIAAEQEAAAO&#10;AAAAAAAAAAEAIAAAACUBAABkcnMvZTJvRG9jLnhtbFBLBQYAAAAABgAGAFkBAACtBQAAAAA=&#10;">
                        <v:fill on="t" focussize="0,0"/>
                        <v:stroke color="#000000" joinstyle="miter"/>
                        <v:imagedata o:title=""/>
                        <o:lock v:ext="edit" aspectratio="f"/>
                        <v:textbox>
                          <w:txbxContent>
                            <w:p w14:paraId="26A82DFF">
                              <w:pPr>
                                <w:jc w:val="center"/>
                                <w:rPr>
                                  <w:rFonts w:hint="default" w:ascii="Times New Roman" w:hAnsi="Times New Roman" w:cs="Times New Roman" w:eastAsiaTheme="minorEastAsia"/>
                                  <w:lang w:val="en-US" w:eastAsia="zh-CN"/>
                                </w:rPr>
                              </w:pPr>
                              <w:r>
                                <w:rPr>
                                  <w:rFonts w:hint="eastAsia" w:ascii="Times New Roman" w:hAnsi="Times New Roman" w:cs="Times New Roman"/>
                                  <w:szCs w:val="21"/>
                                  <w:lang w:eastAsia="zh-CN"/>
                                </w:rPr>
                                <w:t>工件表面：</w:t>
                              </w:r>
                              <w:r>
                                <w:rPr>
                                  <w:rFonts w:ascii="Times New Roman" w:hAnsi="Times New Roman" w:cs="Times New Roman"/>
                                  <w:color w:val="000000"/>
                                  <w:szCs w:val="21"/>
                                </w:rPr>
                                <w:t>（</w:t>
                              </w:r>
                              <w:r>
                                <w:rPr>
                                  <w:rFonts w:hint="eastAsia" w:ascii="Times New Roman" w:hAnsi="Times New Roman" w:cs="Times New Roman"/>
                                  <w:color w:val="000000"/>
                                  <w:szCs w:val="21"/>
                                  <w:lang w:val="en-US" w:eastAsia="zh-CN"/>
                                </w:rPr>
                                <w:t>70%</w:t>
                              </w:r>
                              <w:r>
                                <w:rPr>
                                  <w:rFonts w:ascii="Times New Roman" w:hAnsi="Times New Roman" w:cs="Times New Roman"/>
                                  <w:color w:val="000000"/>
                                  <w:szCs w:val="21"/>
                                </w:rPr>
                                <w:t>）</w:t>
                              </w:r>
                              <w:r>
                                <w:rPr>
                                  <w:rFonts w:ascii="Times New Roman" w:hAnsi="Times New Roman" w:cs="Times New Roman"/>
                                </w:rPr>
                                <w:t>：</w:t>
                              </w:r>
                              <w:r>
                                <w:rPr>
                                  <w:rFonts w:hint="eastAsia" w:ascii="Times New Roman" w:hAnsi="Times New Roman" w:cs="Times New Roman"/>
                                  <w:lang w:val="en-US" w:eastAsia="zh-CN"/>
                                </w:rPr>
                                <w:t>3.228t</w:t>
                              </w:r>
                            </w:p>
                          </w:txbxContent>
                        </v:textbox>
                      </v:shape>
                      <w10:wrap type="none"/>
                      <w10:anchorlock/>
                    </v:group>
                  </w:pict>
                </mc:Fallback>
              </mc:AlternateContent>
            </w:r>
          </w:p>
          <w:p w14:paraId="79BFA82D">
            <w:pPr>
              <w:autoSpaceDE w:val="0"/>
              <w:autoSpaceDN w:val="0"/>
              <w:adjustRightInd w:val="0"/>
              <w:snapToGrid w:val="0"/>
              <w:jc w:val="center"/>
              <w:rPr>
                <w:rFonts w:hint="default" w:ascii="Times New Roman" w:hAnsi="Times New Roman" w:cs="Times New Roman"/>
                <w:color w:val="FF0000"/>
                <w:szCs w:val="21"/>
                <w:lang w:val="en-US" w:eastAsia="zh-CN"/>
              </w:rPr>
            </w:pPr>
            <w:r>
              <w:rPr>
                <w:rFonts w:ascii="Times New Roman" w:hAnsi="Times New Roman" w:cs="Times New Roman"/>
                <w:b/>
                <w:bCs/>
                <w:color w:val="FF0000"/>
              </w:rPr>
              <w:t xml:space="preserve">图2-1 </w:t>
            </w:r>
            <w:r>
              <w:rPr>
                <w:rFonts w:hint="eastAsia" w:ascii="Times New Roman" w:hAnsi="Times New Roman" w:cs="Times New Roman"/>
                <w:b/>
                <w:bCs/>
                <w:color w:val="FF0000"/>
              </w:rPr>
              <w:t xml:space="preserve"> </w:t>
            </w:r>
            <w:r>
              <w:rPr>
                <w:rFonts w:hint="eastAsia" w:ascii="Times New Roman" w:hAnsi="Times New Roman" w:cs="Times New Roman"/>
                <w:b/>
                <w:bCs/>
                <w:color w:val="FF0000"/>
                <w:lang w:val="en-US" w:eastAsia="zh-CN"/>
              </w:rPr>
              <w:t>水性漆用料平衡图</w:t>
            </w:r>
            <w:r>
              <w:rPr>
                <w:rFonts w:hint="eastAsia" w:ascii="Times New Roman" w:hAnsi="Times New Roman" w:cs="Times New Roman"/>
                <w:b/>
                <w:bCs/>
                <w:color w:val="FF0000"/>
              </w:rPr>
              <w:t xml:space="preserve">   </w:t>
            </w:r>
            <w:r>
              <w:rPr>
                <w:rFonts w:ascii="Times New Roman" w:hAnsi="Times New Roman" w:eastAsia="宋体" w:cs="Times New Roman"/>
                <w:b/>
                <w:color w:val="FF0000"/>
                <w:szCs w:val="21"/>
              </w:rPr>
              <w:t>单位m</w:t>
            </w:r>
            <w:r>
              <w:rPr>
                <w:rFonts w:ascii="Times New Roman" w:hAnsi="Times New Roman" w:eastAsia="宋体" w:cs="Times New Roman"/>
                <w:b/>
                <w:color w:val="FF0000"/>
                <w:szCs w:val="21"/>
                <w:vertAlign w:val="superscript"/>
              </w:rPr>
              <w:t>3</w:t>
            </w:r>
            <w:r>
              <w:rPr>
                <w:rFonts w:ascii="Times New Roman" w:hAnsi="Times New Roman" w:eastAsia="宋体" w:cs="Times New Roman"/>
                <w:b/>
                <w:color w:val="FF0000"/>
                <w:szCs w:val="21"/>
              </w:rPr>
              <w:t>/a</w:t>
            </w:r>
          </w:p>
          <w:p w14:paraId="4772F24A">
            <w:pPr>
              <w:pStyle w:val="39"/>
              <w:autoSpaceDE w:val="0"/>
              <w:autoSpaceDN w:val="0"/>
              <w:adjustRightInd w:val="0"/>
              <w:snapToGrid w:val="0"/>
              <w:spacing w:line="360" w:lineRule="auto"/>
              <w:rPr>
                <w:rFonts w:ascii="Times New Roman" w:hAnsi="Times New Roman" w:cs="Times New Roman" w:eastAsiaTheme="minorEastAsia"/>
                <w:b/>
                <w:bCs/>
                <w:spacing w:val="-3"/>
                <w:sz w:val="24"/>
                <w:lang w:val="en-US"/>
              </w:rPr>
            </w:pPr>
            <w:r>
              <w:rPr>
                <w:rFonts w:ascii="Times New Roman" w:hAnsi="Times New Roman" w:cs="Times New Roman" w:eastAsiaTheme="minorEastAsia"/>
                <w:b/>
                <w:bCs/>
                <w:spacing w:val="-3"/>
                <w:sz w:val="24"/>
                <w:lang w:val="en-US"/>
              </w:rPr>
              <w:t>5、给排水及水平衡</w:t>
            </w:r>
          </w:p>
          <w:p w14:paraId="137900D1">
            <w:pPr>
              <w:adjustRightInd w:val="0"/>
              <w:snapToGrid w:val="0"/>
              <w:spacing w:line="360" w:lineRule="auto"/>
              <w:ind w:firstLine="480" w:firstLineChars="200"/>
              <w:rPr>
                <w:rFonts w:ascii="Times New Roman" w:hAnsi="Times New Roman" w:eastAsia="宋体" w:cs="Times New Roman"/>
                <w:sz w:val="24"/>
                <w:lang w:val="zh-CN"/>
              </w:rPr>
            </w:pPr>
            <w:r>
              <w:rPr>
                <w:rFonts w:ascii="Times New Roman" w:hAnsi="Times New Roman" w:eastAsia="宋体" w:cs="Times New Roman"/>
                <w:sz w:val="24"/>
                <w:lang w:val="zh-CN"/>
              </w:rPr>
              <w:t>（1）给排水工程</w:t>
            </w:r>
          </w:p>
          <w:p w14:paraId="0C83B720">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本项目用水由</w:t>
            </w:r>
            <w:r>
              <w:rPr>
                <w:rFonts w:hint="eastAsia" w:ascii="Times New Roman" w:hAnsi="Times New Roman" w:eastAsia="宋体" w:cs="Times New Roman"/>
                <w:sz w:val="24"/>
              </w:rPr>
              <w:t>姜谭经济技术开发区</w:t>
            </w:r>
            <w:r>
              <w:rPr>
                <w:rFonts w:ascii="Times New Roman" w:hAnsi="Times New Roman" w:eastAsia="宋体" w:cs="Times New Roman"/>
                <w:sz w:val="24"/>
              </w:rPr>
              <w:t>供水管网统一供给，可满足项目用水需求。</w:t>
            </w:r>
          </w:p>
          <w:p w14:paraId="0649B120">
            <w:pPr>
              <w:tabs>
                <w:tab w:val="left" w:pos="1860"/>
              </w:tabs>
              <w:adjustRightInd w:val="0"/>
              <w:snapToGrid w:val="0"/>
              <w:spacing w:line="360" w:lineRule="auto"/>
              <w:ind w:firstLine="480" w:firstLineChars="200"/>
              <w:rPr>
                <w:rFonts w:ascii="Times New Roman" w:hAnsi="Times New Roman" w:eastAsia="宋体" w:cs="Times New Roman"/>
                <w:sz w:val="24"/>
                <w:lang w:val="zh-CN"/>
              </w:rPr>
            </w:pPr>
            <w:r>
              <w:rPr>
                <w:rFonts w:ascii="Times New Roman" w:hAnsi="Times New Roman" w:eastAsia="宋体" w:cs="Times New Roman"/>
                <w:sz w:val="24"/>
              </w:rPr>
              <w:t>1）</w:t>
            </w:r>
            <w:r>
              <w:rPr>
                <w:rFonts w:ascii="Times New Roman" w:hAnsi="Times New Roman" w:eastAsia="宋体" w:cs="Times New Roman"/>
                <w:sz w:val="24"/>
                <w:lang w:val="zh-CN"/>
              </w:rPr>
              <w:t>给水</w:t>
            </w:r>
          </w:p>
          <w:p w14:paraId="4BADAEF3">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①生活用水</w:t>
            </w:r>
          </w:p>
          <w:p w14:paraId="4632863E">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w:t>
            </w:r>
            <w:r>
              <w:rPr>
                <w:rFonts w:hint="eastAsia" w:ascii="Times New Roman" w:hAnsi="Times New Roman" w:cs="Times New Roman"/>
                <w:sz w:val="24"/>
              </w:rPr>
              <w:t>不新增员工人数</w:t>
            </w:r>
            <w:r>
              <w:rPr>
                <w:rFonts w:ascii="Times New Roman" w:hAnsi="Times New Roman" w:cs="Times New Roman"/>
                <w:sz w:val="24"/>
              </w:rPr>
              <w:t>，</w:t>
            </w:r>
            <w:r>
              <w:rPr>
                <w:rFonts w:hint="eastAsia" w:ascii="Times New Roman" w:hAnsi="Times New Roman" w:cs="Times New Roman"/>
                <w:sz w:val="24"/>
              </w:rPr>
              <w:t>从原有项目调配3人，不增加生活用水量。原有生活用水量</w:t>
            </w:r>
            <w:r>
              <w:rPr>
                <w:rFonts w:ascii="Times New Roman" w:hAnsi="Times New Roman" w:cs="Times New Roman"/>
                <w:sz w:val="24"/>
              </w:rPr>
              <w:t>为</w:t>
            </w:r>
            <w:r>
              <w:rPr>
                <w:rFonts w:hint="eastAsia" w:ascii="Times New Roman" w:hAnsi="Times New Roman" w:cs="Times New Roman"/>
                <w:sz w:val="24"/>
              </w:rPr>
              <w:t>1.05</w:t>
            </w:r>
            <w:r>
              <w:rPr>
                <w:rFonts w:ascii="Times New Roman" w:hAnsi="Times New Roman" w:cs="Times New Roman"/>
                <w:sz w:val="24"/>
              </w:rPr>
              <w:t>m</w:t>
            </w:r>
            <w:r>
              <w:rPr>
                <w:rFonts w:ascii="Times New Roman" w:hAnsi="Times New Roman" w:cs="Times New Roman"/>
                <w:sz w:val="24"/>
                <w:vertAlign w:val="superscript"/>
              </w:rPr>
              <w:t>3</w:t>
            </w:r>
            <w:r>
              <w:rPr>
                <w:rFonts w:ascii="Times New Roman" w:hAnsi="Times New Roman" w:cs="Times New Roman"/>
                <w:sz w:val="24"/>
              </w:rPr>
              <w:t>/d，</w:t>
            </w:r>
            <w:r>
              <w:rPr>
                <w:rFonts w:hint="eastAsia" w:ascii="Times New Roman" w:hAnsi="Times New Roman" w:cs="Times New Roman"/>
                <w:sz w:val="24"/>
              </w:rPr>
              <w:t>315</w:t>
            </w:r>
            <w:r>
              <w:rPr>
                <w:rFonts w:ascii="Times New Roman" w:hAnsi="Times New Roman" w:cs="Times New Roman"/>
                <w:sz w:val="24"/>
              </w:rPr>
              <w:t>m</w:t>
            </w:r>
            <w:r>
              <w:rPr>
                <w:rFonts w:ascii="Times New Roman" w:hAnsi="Times New Roman" w:cs="Times New Roman"/>
                <w:sz w:val="24"/>
                <w:vertAlign w:val="superscript"/>
              </w:rPr>
              <w:t>3</w:t>
            </w:r>
            <w:r>
              <w:rPr>
                <w:rFonts w:ascii="Times New Roman" w:hAnsi="Times New Roman" w:cs="Times New Roman"/>
                <w:sz w:val="24"/>
              </w:rPr>
              <w:t>/a。</w:t>
            </w:r>
          </w:p>
          <w:p w14:paraId="21628B2D">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cs="Times New Roman"/>
                <w:sz w:val="24"/>
              </w:rPr>
              <w:t>②</w:t>
            </w:r>
            <w:r>
              <w:rPr>
                <w:rFonts w:hint="eastAsia" w:ascii="Times New Roman" w:hAnsi="Times New Roman" w:eastAsia="宋体" w:cs="Times New Roman"/>
                <w:sz w:val="24"/>
              </w:rPr>
              <w:t>喷漆枪头清洗用水</w:t>
            </w:r>
          </w:p>
          <w:p w14:paraId="166B1253">
            <w:pPr>
              <w:pStyle w:val="25"/>
              <w:adjustRightInd w:val="0"/>
              <w:snapToGrid w:val="0"/>
              <w:spacing w:line="360" w:lineRule="auto"/>
              <w:ind w:firstLine="480"/>
              <w:rPr>
                <w:rFonts w:ascii="Times New Roman" w:hAnsi="Times New Roman" w:eastAsia="宋体" w:cs="Times New Roman"/>
                <w:sz w:val="24"/>
              </w:rPr>
            </w:pPr>
            <w:r>
              <w:rPr>
                <w:rFonts w:hint="eastAsia" w:ascii="Times New Roman" w:hAnsi="Times New Roman" w:eastAsia="宋体" w:cs="Times New Roman"/>
                <w:sz w:val="24"/>
              </w:rPr>
              <w:t>为了避免残留的漆料固化在枪头上，自动喷漆枪头每天使用结束后对枪头进行清洗，每次清洗在漆杯加入2L纯净水（外购），充分摇匀后直接将水从喷枪喷出至废水收集桶，容积为2m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，设置4个喷枪，则清洗用水量为8L/d（2.4m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/a），产污系数为0.9，废水产生量为7.2L/d（2.16m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/a），该部分废水全部回用至调漆工序，不外排。</w:t>
            </w:r>
          </w:p>
          <w:p w14:paraId="27713AE4">
            <w:pPr>
              <w:pStyle w:val="25"/>
              <w:adjustRightInd w:val="0"/>
              <w:snapToGrid w:val="0"/>
              <w:spacing w:line="360" w:lineRule="auto"/>
              <w:ind w:firstLine="480"/>
              <w:rPr>
                <w:rFonts w:ascii="Times New Roman" w:hAnsi="Times New Roman" w:eastAsia="宋体" w:cs="Times New Roman"/>
                <w:sz w:val="24"/>
              </w:rPr>
            </w:pPr>
            <w:r>
              <w:rPr>
                <w:rFonts w:ascii="Times New Roman" w:hAnsi="Times New Roman" w:eastAsia="宋体" w:cs="Times New Roman"/>
                <w:sz w:val="24"/>
              </w:rPr>
              <w:t>③</w:t>
            </w:r>
            <w:r>
              <w:rPr>
                <w:rFonts w:hint="eastAsia" w:ascii="Times New Roman" w:hAnsi="Times New Roman" w:eastAsia="宋体" w:cs="Times New Roman"/>
                <w:sz w:val="24"/>
              </w:rPr>
              <w:t>调漆用水</w:t>
            </w:r>
          </w:p>
          <w:p w14:paraId="76E10393">
            <w:pPr>
              <w:pStyle w:val="25"/>
              <w:adjustRightInd w:val="0"/>
              <w:snapToGrid w:val="0"/>
              <w:spacing w:line="360" w:lineRule="auto"/>
              <w:ind w:firstLine="480"/>
              <w:rPr>
                <w:rFonts w:ascii="Times New Roman" w:hAnsi="Times New Roman" w:eastAsia="宋体" w:cs="Times New Roman"/>
                <w:sz w:val="24"/>
              </w:rPr>
            </w:pPr>
            <w:r>
              <w:rPr>
                <w:rFonts w:hint="eastAsia" w:ascii="Times New Roman" w:hAnsi="Times New Roman" w:eastAsia="宋体" w:cs="Times New Roman"/>
                <w:sz w:val="24"/>
              </w:rPr>
              <w:t>本项目在喷漆房内进行调漆，根据水性漆厂家提供的资料，水性漆与水的配比为1:0.45，本项目水性漆用量为10t，则调漆用水量为4.5m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/a，该部分用水来源主要有外购的2.34m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纯净水以及枪头清洗废水（2.16m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/a）。</w:t>
            </w:r>
          </w:p>
          <w:p w14:paraId="5F0C75C7">
            <w:pPr>
              <w:pStyle w:val="25"/>
              <w:adjustRightInd w:val="0"/>
              <w:snapToGrid w:val="0"/>
              <w:spacing w:line="360" w:lineRule="auto"/>
              <w:ind w:firstLine="480"/>
              <w:rPr>
                <w:rFonts w:ascii="Times New Roman" w:hAnsi="Times New Roman" w:eastAsia="宋体" w:cs="Times New Roman"/>
                <w:sz w:val="24"/>
              </w:rPr>
            </w:pPr>
            <w:r>
              <w:rPr>
                <w:rFonts w:ascii="Times New Roman" w:hAnsi="Times New Roman" w:eastAsia="宋体" w:cs="Times New Roman"/>
                <w:sz w:val="24"/>
              </w:rPr>
              <w:t>2）</w:t>
            </w:r>
            <w:r>
              <w:rPr>
                <w:rFonts w:ascii="Times New Roman" w:hAnsi="Times New Roman" w:eastAsia="宋体" w:cs="Times New Roman"/>
                <w:sz w:val="24"/>
                <w:lang w:val="zh-CN"/>
              </w:rPr>
              <w:t>排水</w:t>
            </w:r>
          </w:p>
          <w:p w14:paraId="335F4175">
            <w:pPr>
              <w:adjustRightInd w:val="0"/>
              <w:snapToGrid w:val="0"/>
              <w:spacing w:line="360" w:lineRule="auto"/>
              <w:ind w:firstLine="480" w:firstLineChars="200"/>
              <w:rPr>
                <w:rFonts w:hint="eastAsia" w:ascii="Times New Roman" w:hAnsi="Times New Roman" w:eastAsia="宋体" w:cs="Times New Roman"/>
                <w:sz w:val="24"/>
                <w:lang w:eastAsia="zh-CN"/>
              </w:rPr>
            </w:pPr>
            <w:r>
              <w:rPr>
                <w:rFonts w:ascii="Times New Roman" w:hAnsi="Times New Roman" w:eastAsia="PingFang SC" w:cs="Times New Roman"/>
                <w:sz w:val="24"/>
              </w:rPr>
              <w:t>①</w:t>
            </w:r>
            <w:r>
              <w:rPr>
                <w:rFonts w:hint="eastAsia" w:ascii="Times New Roman" w:hAnsi="Times New Roman" w:eastAsia="宋体" w:cs="Times New Roman"/>
                <w:sz w:val="24"/>
              </w:rPr>
              <w:t>喷漆枪头清洗废水：收集桶收集后全部回用至调漆工序，不外排</w:t>
            </w:r>
            <w:r>
              <w:rPr>
                <w:rFonts w:hint="eastAsia" w:ascii="Times New Roman" w:hAnsi="Times New Roman" w:eastAsia="宋体" w:cs="Times New Roman"/>
                <w:sz w:val="24"/>
                <w:lang w:eastAsia="zh-CN"/>
              </w:rPr>
              <w:t>。</w:t>
            </w:r>
          </w:p>
          <w:p w14:paraId="5E92D36F">
            <w:pPr>
              <w:adjustRightInd w:val="0"/>
              <w:snapToGrid w:val="0"/>
              <w:spacing w:line="360" w:lineRule="auto"/>
              <w:ind w:firstLine="480" w:firstLineChars="200"/>
              <w:rPr>
                <w:rFonts w:ascii="Times New Roman" w:hAnsi="Times New Roman" w:eastAsia="宋体" w:cs="Times New Roman"/>
                <w:bCs/>
                <w:sz w:val="24"/>
                <w:lang w:val="zh-CN"/>
              </w:rPr>
            </w:pPr>
            <w:r>
              <w:rPr>
                <w:rFonts w:hint="eastAsia" w:ascii="Times New Roman" w:hAnsi="Times New Roman" w:eastAsia="宋体" w:cs="Times New Roman"/>
                <w:sz w:val="24"/>
                <w:lang w:val="en-US" w:eastAsia="zh-CN"/>
              </w:rPr>
              <w:t>项目</w:t>
            </w:r>
            <w:r>
              <w:rPr>
                <w:rFonts w:ascii="Times New Roman" w:hAnsi="Times New Roman" w:eastAsia="宋体" w:cs="Times New Roman"/>
                <w:sz w:val="24"/>
                <w:lang w:val="zh-CN"/>
              </w:rPr>
              <w:t>用水、排水情况见下表</w:t>
            </w:r>
            <w:r>
              <w:rPr>
                <w:rFonts w:ascii="Times New Roman" w:hAnsi="Times New Roman" w:eastAsia="宋体" w:cs="Times New Roman"/>
                <w:sz w:val="24"/>
              </w:rPr>
              <w:t>。</w:t>
            </w:r>
          </w:p>
          <w:p w14:paraId="28D07550">
            <w:pPr>
              <w:autoSpaceDE w:val="0"/>
              <w:autoSpaceDN w:val="0"/>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lang w:val="zh-CN"/>
              </w:rPr>
              <w:t>表</w:t>
            </w:r>
            <w:r>
              <w:rPr>
                <w:rFonts w:ascii="Times New Roman" w:hAnsi="Times New Roman" w:eastAsia="宋体" w:cs="Times New Roman"/>
                <w:b/>
                <w:szCs w:val="21"/>
              </w:rPr>
              <w:t>2-</w:t>
            </w:r>
            <w:r>
              <w:rPr>
                <w:rFonts w:hint="eastAsia" w:ascii="Times New Roman" w:hAnsi="Times New Roman" w:eastAsia="宋体" w:cs="Times New Roman"/>
                <w:b/>
                <w:szCs w:val="21"/>
                <w:lang w:val="en-US" w:eastAsia="zh-CN"/>
              </w:rPr>
              <w:t>10</w:t>
            </w:r>
            <w:r>
              <w:rPr>
                <w:rFonts w:ascii="Times New Roman" w:hAnsi="Times New Roman" w:eastAsia="宋体" w:cs="Times New Roman"/>
                <w:b/>
                <w:szCs w:val="21"/>
              </w:rPr>
              <w:t xml:space="preserve">  </w:t>
            </w:r>
            <w:r>
              <w:rPr>
                <w:rFonts w:ascii="Times New Roman" w:hAnsi="Times New Roman" w:eastAsia="宋体" w:cs="Times New Roman"/>
                <w:b/>
                <w:szCs w:val="21"/>
                <w:lang w:val="zh-CN"/>
              </w:rPr>
              <w:t>项目用水、排水情况表</w:t>
            </w:r>
            <w:r>
              <w:rPr>
                <w:rFonts w:ascii="Times New Roman" w:hAnsi="Times New Roman" w:eastAsia="宋体" w:cs="Times New Roman"/>
                <w:b/>
                <w:szCs w:val="21"/>
              </w:rPr>
              <w:t xml:space="preserve">  单位m</w:t>
            </w:r>
            <w:r>
              <w:rPr>
                <w:rFonts w:ascii="Times New Roman" w:hAnsi="Times New Roman" w:eastAsia="宋体" w:cs="Times New Roman"/>
                <w:b/>
                <w:szCs w:val="21"/>
                <w:vertAlign w:val="superscript"/>
              </w:rPr>
              <w:t>3</w:t>
            </w:r>
            <w:r>
              <w:rPr>
                <w:rFonts w:ascii="Times New Roman" w:hAnsi="Times New Roman" w:eastAsia="宋体" w:cs="Times New Roman"/>
                <w:b/>
                <w:szCs w:val="21"/>
              </w:rPr>
              <w:t>/a</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13"/>
              <w:gridCol w:w="1129"/>
              <w:gridCol w:w="1305"/>
              <w:gridCol w:w="1364"/>
              <w:gridCol w:w="1214"/>
              <w:gridCol w:w="1580"/>
            </w:tblGrid>
            <w:tr w14:paraId="38FD9A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13" w:type="pct"/>
                  <w:tcBorders>
                    <w:tl2br w:val="nil"/>
                    <w:tr2bl w:val="nil"/>
                  </w:tcBorders>
                  <w:vAlign w:val="center"/>
                </w:tcPr>
                <w:p w14:paraId="7D6B3810">
                  <w:pPr>
                    <w:autoSpaceDE w:val="0"/>
                    <w:adjustRightInd w:val="0"/>
                    <w:snapToGrid w:val="0"/>
                    <w:jc w:val="center"/>
                    <w:rPr>
                      <w:rFonts w:ascii="Times New Roman" w:hAnsi="Times New Roman" w:cs="Times New Roman"/>
                      <w:b/>
                      <w:bCs/>
                      <w:szCs w:val="21"/>
                    </w:rPr>
                  </w:pPr>
                  <w:r>
                    <w:rPr>
                      <w:rFonts w:ascii="Times New Roman" w:hAnsi="Times New Roman" w:cs="Times New Roman"/>
                      <w:b/>
                      <w:bCs/>
                      <w:szCs w:val="21"/>
                    </w:rPr>
                    <w:t>用水项目</w:t>
                  </w:r>
                </w:p>
              </w:tc>
              <w:tc>
                <w:tcPr>
                  <w:tcW w:w="648" w:type="pct"/>
                  <w:tcBorders>
                    <w:tl2br w:val="nil"/>
                    <w:tr2bl w:val="nil"/>
                  </w:tcBorders>
                  <w:vAlign w:val="center"/>
                </w:tcPr>
                <w:p w14:paraId="687E2122">
                  <w:pPr>
                    <w:autoSpaceDE w:val="0"/>
                    <w:adjustRightInd w:val="0"/>
                    <w:snapToGrid w:val="0"/>
                    <w:jc w:val="center"/>
                    <w:rPr>
                      <w:rFonts w:ascii="Times New Roman" w:hAnsi="Times New Roman" w:cs="Times New Roman"/>
                      <w:b/>
                      <w:bCs/>
                      <w:szCs w:val="21"/>
                    </w:rPr>
                  </w:pPr>
                  <w:r>
                    <w:rPr>
                      <w:rFonts w:ascii="Times New Roman" w:hAnsi="Times New Roman" w:cs="Times New Roman"/>
                      <w:b/>
                      <w:bCs/>
                      <w:szCs w:val="21"/>
                    </w:rPr>
                    <w:t>新鲜水用量</w:t>
                  </w:r>
                </w:p>
              </w:tc>
              <w:tc>
                <w:tcPr>
                  <w:tcW w:w="749" w:type="pct"/>
                  <w:tcBorders>
                    <w:tl2br w:val="nil"/>
                    <w:tr2bl w:val="nil"/>
                  </w:tcBorders>
                  <w:vAlign w:val="center"/>
                </w:tcPr>
                <w:p w14:paraId="71FEC3C9">
                  <w:pPr>
                    <w:autoSpaceDE w:val="0"/>
                    <w:adjustRightInd w:val="0"/>
                    <w:snapToGrid w:val="0"/>
                    <w:jc w:val="center"/>
                    <w:rPr>
                      <w:rFonts w:ascii="Times New Roman" w:hAnsi="Times New Roman" w:cs="Times New Roman"/>
                      <w:b/>
                      <w:bCs/>
                      <w:szCs w:val="21"/>
                    </w:rPr>
                  </w:pPr>
                  <w:r>
                    <w:rPr>
                      <w:rFonts w:hint="eastAsia" w:ascii="Times New Roman" w:hAnsi="Times New Roman" w:cs="Times New Roman"/>
                      <w:b/>
                      <w:bCs/>
                      <w:szCs w:val="21"/>
                    </w:rPr>
                    <w:t>回用水量</w:t>
                  </w:r>
                </w:p>
              </w:tc>
              <w:tc>
                <w:tcPr>
                  <w:tcW w:w="783" w:type="pct"/>
                  <w:tcBorders>
                    <w:tl2br w:val="nil"/>
                    <w:tr2bl w:val="nil"/>
                  </w:tcBorders>
                  <w:vAlign w:val="center"/>
                </w:tcPr>
                <w:p w14:paraId="15AA18F1">
                  <w:pPr>
                    <w:autoSpaceDE w:val="0"/>
                    <w:adjustRightInd w:val="0"/>
                    <w:snapToGrid w:val="0"/>
                    <w:jc w:val="center"/>
                    <w:rPr>
                      <w:rFonts w:ascii="Times New Roman" w:hAnsi="Times New Roman" w:cs="Times New Roman"/>
                      <w:b/>
                      <w:bCs/>
                      <w:szCs w:val="21"/>
                    </w:rPr>
                  </w:pPr>
                  <w:r>
                    <w:rPr>
                      <w:rFonts w:hint="eastAsia" w:ascii="Times New Roman" w:hAnsi="Times New Roman" w:cs="Times New Roman"/>
                      <w:b/>
                      <w:bCs/>
                      <w:szCs w:val="21"/>
                      <w:lang w:val="en-US" w:eastAsia="zh-CN"/>
                    </w:rPr>
                    <w:t>消</w:t>
                  </w:r>
                  <w:r>
                    <w:rPr>
                      <w:rFonts w:ascii="Times New Roman" w:hAnsi="Times New Roman" w:cs="Times New Roman"/>
                      <w:b/>
                      <w:bCs/>
                      <w:szCs w:val="21"/>
                    </w:rPr>
                    <w:t>耗量</w:t>
                  </w:r>
                </w:p>
              </w:tc>
              <w:tc>
                <w:tcPr>
                  <w:tcW w:w="697" w:type="pct"/>
                  <w:tcBorders>
                    <w:tl2br w:val="nil"/>
                    <w:tr2bl w:val="nil"/>
                  </w:tcBorders>
                  <w:vAlign w:val="center"/>
                </w:tcPr>
                <w:p w14:paraId="4A4E40FD">
                  <w:pPr>
                    <w:autoSpaceDE w:val="0"/>
                    <w:adjustRightInd w:val="0"/>
                    <w:snapToGrid w:val="0"/>
                    <w:jc w:val="center"/>
                    <w:rPr>
                      <w:rFonts w:ascii="Times New Roman" w:hAnsi="Times New Roman" w:cs="Times New Roman"/>
                      <w:b/>
                      <w:bCs/>
                      <w:szCs w:val="21"/>
                    </w:rPr>
                  </w:pPr>
                  <w:r>
                    <w:rPr>
                      <w:rFonts w:ascii="Times New Roman" w:hAnsi="Times New Roman" w:cs="Times New Roman"/>
                      <w:b/>
                      <w:bCs/>
                      <w:szCs w:val="21"/>
                    </w:rPr>
                    <w:t>废水产生量</w:t>
                  </w:r>
                </w:p>
              </w:tc>
              <w:tc>
                <w:tcPr>
                  <w:tcW w:w="907" w:type="pct"/>
                  <w:tcBorders>
                    <w:tl2br w:val="nil"/>
                    <w:tr2bl w:val="nil"/>
                  </w:tcBorders>
                  <w:vAlign w:val="center"/>
                </w:tcPr>
                <w:p w14:paraId="45A04ACC">
                  <w:pPr>
                    <w:autoSpaceDE w:val="0"/>
                    <w:adjustRightInd w:val="0"/>
                    <w:snapToGrid w:val="0"/>
                    <w:jc w:val="center"/>
                    <w:rPr>
                      <w:rFonts w:ascii="Times New Roman" w:hAnsi="Times New Roman" w:cs="Times New Roman"/>
                      <w:b/>
                      <w:bCs/>
                      <w:szCs w:val="21"/>
                    </w:rPr>
                  </w:pPr>
                  <w:r>
                    <w:rPr>
                      <w:rFonts w:ascii="Times New Roman" w:hAnsi="Times New Roman" w:cs="Times New Roman"/>
                      <w:b/>
                      <w:bCs/>
                      <w:szCs w:val="21"/>
                    </w:rPr>
                    <w:t>废水排放量</w:t>
                  </w:r>
                </w:p>
              </w:tc>
            </w:tr>
            <w:tr w14:paraId="4A6033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13" w:type="pct"/>
                  <w:tcBorders>
                    <w:tl2br w:val="nil"/>
                    <w:tr2bl w:val="nil"/>
                  </w:tcBorders>
                  <w:vAlign w:val="center"/>
                </w:tcPr>
                <w:p w14:paraId="3F000A4D">
                  <w:pPr>
                    <w:autoSpaceDE w:val="0"/>
                    <w:adjustRightInd w:val="0"/>
                    <w:snapToGrid w:val="0"/>
                    <w:ind w:left="-111" w:leftChars="-53" w:right="-105" w:rightChars="-50"/>
                    <w:jc w:val="center"/>
                    <w:rPr>
                      <w:rFonts w:ascii="Times New Roman" w:hAnsi="Times New Roman" w:eastAsia="宋体" w:cs="Times New Roman"/>
                      <w:szCs w:val="21"/>
                    </w:rPr>
                  </w:pPr>
                  <w:r>
                    <w:rPr>
                      <w:rFonts w:hint="eastAsia" w:ascii="Times New Roman" w:hAnsi="Times New Roman" w:eastAsia="宋体" w:cs="Times New Roman"/>
                      <w:szCs w:val="21"/>
                    </w:rPr>
                    <w:t>喷漆枪头清洗用水</w:t>
                  </w:r>
                </w:p>
              </w:tc>
              <w:tc>
                <w:tcPr>
                  <w:tcW w:w="648" w:type="pct"/>
                  <w:tcBorders>
                    <w:tl2br w:val="nil"/>
                    <w:tr2bl w:val="nil"/>
                  </w:tcBorders>
                  <w:vAlign w:val="center"/>
                </w:tcPr>
                <w:p w14:paraId="6BCC0767">
                  <w:pPr>
                    <w:autoSpaceDE w:val="0"/>
                    <w:adjustRightInd w:val="0"/>
                    <w:snapToGrid w:val="0"/>
                    <w:ind w:left="-124" w:leftChars="-59" w:right="-23" w:rightChars="-11"/>
                    <w:jc w:val="center"/>
                    <w:rPr>
                      <w:rFonts w:ascii="Times New Roman" w:hAnsi="Times New Roman" w:eastAsia="宋体" w:cs="Times New Roman"/>
                      <w:szCs w:val="21"/>
                    </w:rPr>
                  </w:pPr>
                  <w:r>
                    <w:rPr>
                      <w:rFonts w:hint="eastAsia" w:ascii="Times New Roman" w:hAnsi="Times New Roman" w:eastAsia="宋体" w:cs="Times New Roman"/>
                      <w:szCs w:val="21"/>
                    </w:rPr>
                    <w:t>2.4</w:t>
                  </w:r>
                </w:p>
              </w:tc>
              <w:tc>
                <w:tcPr>
                  <w:tcW w:w="749" w:type="pct"/>
                  <w:tcBorders>
                    <w:tl2br w:val="nil"/>
                    <w:tr2bl w:val="nil"/>
                  </w:tcBorders>
                  <w:vAlign w:val="center"/>
                </w:tcPr>
                <w:p w14:paraId="0C5978BB">
                  <w:pPr>
                    <w:autoSpaceDE w:val="0"/>
                    <w:adjustRightInd w:val="0"/>
                    <w:snapToGrid w:val="0"/>
                    <w:ind w:left="-124" w:leftChars="-59" w:right="-23" w:rightChars="-11"/>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783" w:type="pct"/>
                  <w:tcBorders>
                    <w:tl2br w:val="nil"/>
                    <w:tr2bl w:val="nil"/>
                  </w:tcBorders>
                  <w:vAlign w:val="center"/>
                </w:tcPr>
                <w:p w14:paraId="122D6E55">
                  <w:pPr>
                    <w:autoSpaceDE w:val="0"/>
                    <w:adjustRightInd w:val="0"/>
                    <w:snapToGrid w:val="0"/>
                    <w:ind w:left="-111" w:leftChars="-53" w:right="-105" w:rightChars="-5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0.24</w:t>
                  </w:r>
                </w:p>
              </w:tc>
              <w:tc>
                <w:tcPr>
                  <w:tcW w:w="697" w:type="pct"/>
                  <w:tcBorders>
                    <w:tl2br w:val="nil"/>
                    <w:tr2bl w:val="nil"/>
                  </w:tcBorders>
                  <w:vAlign w:val="center"/>
                </w:tcPr>
                <w:p w14:paraId="3E628DBA">
                  <w:pPr>
                    <w:autoSpaceDE w:val="0"/>
                    <w:adjustRightInd w:val="0"/>
                    <w:snapToGrid w:val="0"/>
                    <w:ind w:left="-105" w:leftChars="-50" w:right="-23" w:rightChars="-11"/>
                    <w:jc w:val="center"/>
                    <w:rPr>
                      <w:rFonts w:ascii="Times New Roman" w:hAnsi="Times New Roman" w:eastAsia="宋体" w:cs="Times New Roman"/>
                      <w:szCs w:val="21"/>
                    </w:rPr>
                  </w:pPr>
                  <w:r>
                    <w:rPr>
                      <w:rFonts w:hint="eastAsia" w:ascii="Times New Roman" w:hAnsi="Times New Roman" w:eastAsia="宋体" w:cs="Times New Roman"/>
                      <w:szCs w:val="21"/>
                    </w:rPr>
                    <w:t>2.16</w:t>
                  </w:r>
                </w:p>
              </w:tc>
              <w:tc>
                <w:tcPr>
                  <w:tcW w:w="907" w:type="pct"/>
                  <w:tcBorders>
                    <w:tl2br w:val="nil"/>
                    <w:tr2bl w:val="nil"/>
                  </w:tcBorders>
                  <w:vAlign w:val="center"/>
                </w:tcPr>
                <w:p w14:paraId="1EBE0DCD">
                  <w:pPr>
                    <w:autoSpaceDE w:val="0"/>
                    <w:adjustRightInd w:val="0"/>
                    <w:snapToGrid w:val="0"/>
                    <w:ind w:left="-105" w:leftChars="-50" w:right="-23" w:rightChars="-11"/>
                    <w:jc w:val="center"/>
                    <w:rPr>
                      <w:rFonts w:ascii="Times New Roman" w:hAnsi="Times New Roman" w:cs="Times New Roman"/>
                      <w:szCs w:val="21"/>
                    </w:rPr>
                  </w:pPr>
                  <w:r>
                    <w:rPr>
                      <w:rFonts w:hint="eastAsia" w:ascii="Times New Roman" w:hAnsi="Times New Roman" w:eastAsia="宋体" w:cs="Times New Roman"/>
                      <w:kern w:val="0"/>
                      <w:szCs w:val="21"/>
                      <w:lang w:bidi="ar"/>
                    </w:rPr>
                    <w:t>0（该废水回用至</w:t>
                  </w:r>
                  <w:r>
                    <w:rPr>
                      <w:rFonts w:hint="eastAsia" w:ascii="Times New Roman" w:hAnsi="Times New Roman" w:eastAsia="宋体" w:cs="Times New Roman"/>
                      <w:szCs w:val="21"/>
                    </w:rPr>
                    <w:t>调漆工序</w:t>
                  </w:r>
                  <w:r>
                    <w:rPr>
                      <w:rFonts w:hint="eastAsia" w:ascii="Times New Roman" w:hAnsi="Times New Roman" w:eastAsia="宋体" w:cs="Times New Roman"/>
                      <w:kern w:val="0"/>
                      <w:szCs w:val="21"/>
                      <w:lang w:bidi="ar"/>
                    </w:rPr>
                    <w:t>）</w:t>
                  </w:r>
                </w:p>
              </w:tc>
            </w:tr>
            <w:tr w14:paraId="7891AC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13" w:type="pct"/>
                  <w:tcBorders>
                    <w:tl2br w:val="nil"/>
                    <w:tr2bl w:val="nil"/>
                  </w:tcBorders>
                  <w:vAlign w:val="center"/>
                </w:tcPr>
                <w:p w14:paraId="0181F11F">
                  <w:pPr>
                    <w:autoSpaceDE w:val="0"/>
                    <w:adjustRightInd w:val="0"/>
                    <w:snapToGrid w:val="0"/>
                    <w:ind w:left="-111" w:leftChars="-53" w:right="-105" w:rightChars="-50"/>
                    <w:jc w:val="center"/>
                    <w:rPr>
                      <w:rFonts w:ascii="Times New Roman" w:hAnsi="Times New Roman" w:eastAsia="宋体" w:cs="Times New Roman"/>
                      <w:szCs w:val="21"/>
                    </w:rPr>
                  </w:pPr>
                  <w:r>
                    <w:rPr>
                      <w:rFonts w:hint="eastAsia" w:ascii="Times New Roman" w:hAnsi="Times New Roman" w:eastAsia="宋体" w:cs="Times New Roman"/>
                      <w:szCs w:val="21"/>
                    </w:rPr>
                    <w:t>调漆用水</w:t>
                  </w:r>
                </w:p>
              </w:tc>
              <w:tc>
                <w:tcPr>
                  <w:tcW w:w="648" w:type="pct"/>
                  <w:tcBorders>
                    <w:tl2br w:val="nil"/>
                    <w:tr2bl w:val="nil"/>
                  </w:tcBorders>
                  <w:vAlign w:val="center"/>
                </w:tcPr>
                <w:p w14:paraId="60575146">
                  <w:pPr>
                    <w:autoSpaceDE w:val="0"/>
                    <w:adjustRightInd w:val="0"/>
                    <w:snapToGrid w:val="0"/>
                    <w:ind w:left="-124" w:leftChars="-59" w:right="-23" w:rightChars="-11"/>
                    <w:jc w:val="center"/>
                    <w:rPr>
                      <w:rFonts w:ascii="Times New Roman" w:hAnsi="Times New Roman" w:eastAsia="宋体" w:cs="Times New Roman"/>
                      <w:szCs w:val="21"/>
                    </w:rPr>
                  </w:pPr>
                  <w:r>
                    <w:rPr>
                      <w:rFonts w:hint="eastAsia" w:ascii="Times New Roman" w:hAnsi="Times New Roman" w:eastAsia="宋体" w:cs="Times New Roman"/>
                      <w:szCs w:val="21"/>
                    </w:rPr>
                    <w:t>2.34</w:t>
                  </w:r>
                </w:p>
              </w:tc>
              <w:tc>
                <w:tcPr>
                  <w:tcW w:w="749" w:type="pct"/>
                  <w:tcBorders>
                    <w:tl2br w:val="nil"/>
                    <w:tr2bl w:val="nil"/>
                  </w:tcBorders>
                  <w:vAlign w:val="center"/>
                </w:tcPr>
                <w:p w14:paraId="2A8B8F8B">
                  <w:pPr>
                    <w:autoSpaceDE w:val="0"/>
                    <w:adjustRightInd w:val="0"/>
                    <w:snapToGrid w:val="0"/>
                    <w:ind w:left="-124" w:leftChars="-59" w:right="-23" w:rightChars="-11"/>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2.16</w:t>
                  </w:r>
                </w:p>
              </w:tc>
              <w:tc>
                <w:tcPr>
                  <w:tcW w:w="783" w:type="pct"/>
                  <w:tcBorders>
                    <w:tl2br w:val="nil"/>
                    <w:tr2bl w:val="nil"/>
                  </w:tcBorders>
                  <w:vAlign w:val="center"/>
                </w:tcPr>
                <w:p w14:paraId="707F929E">
                  <w:pPr>
                    <w:autoSpaceDE w:val="0"/>
                    <w:adjustRightInd w:val="0"/>
                    <w:snapToGrid w:val="0"/>
                    <w:ind w:left="-111" w:leftChars="-53" w:right="-105" w:rightChars="-5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4.5（蒸发）</w:t>
                  </w:r>
                </w:p>
              </w:tc>
              <w:tc>
                <w:tcPr>
                  <w:tcW w:w="697" w:type="pct"/>
                  <w:tcBorders>
                    <w:tl2br w:val="nil"/>
                    <w:tr2bl w:val="nil"/>
                  </w:tcBorders>
                  <w:vAlign w:val="center"/>
                </w:tcPr>
                <w:p w14:paraId="2CBF910E">
                  <w:pPr>
                    <w:autoSpaceDE w:val="0"/>
                    <w:adjustRightInd w:val="0"/>
                    <w:snapToGrid w:val="0"/>
                    <w:ind w:left="-105" w:leftChars="-50" w:right="-23" w:rightChars="-11"/>
                    <w:jc w:val="center"/>
                    <w:rPr>
                      <w:rFonts w:ascii="Times New Roman" w:hAnsi="Times New Roman" w:eastAsia="宋体" w:cs="Times New Roman"/>
                      <w:szCs w:val="21"/>
                    </w:rPr>
                  </w:pPr>
                  <w:r>
                    <w:rPr>
                      <w:rFonts w:ascii="Times New Roman" w:hAnsi="Times New Roman" w:eastAsia="宋体" w:cs="Times New Roman"/>
                      <w:kern w:val="0"/>
                      <w:szCs w:val="21"/>
                      <w:lang w:bidi="ar"/>
                    </w:rPr>
                    <w:t>/</w:t>
                  </w:r>
                </w:p>
              </w:tc>
              <w:tc>
                <w:tcPr>
                  <w:tcW w:w="907" w:type="pct"/>
                  <w:tcBorders>
                    <w:tl2br w:val="nil"/>
                    <w:tr2bl w:val="nil"/>
                  </w:tcBorders>
                  <w:vAlign w:val="center"/>
                </w:tcPr>
                <w:p w14:paraId="45A3A2C1">
                  <w:pPr>
                    <w:autoSpaceDE w:val="0"/>
                    <w:adjustRightInd w:val="0"/>
                    <w:snapToGrid w:val="0"/>
                    <w:ind w:left="-105" w:leftChars="-50" w:right="-23" w:rightChars="-11"/>
                    <w:jc w:val="center"/>
                    <w:rPr>
                      <w:rFonts w:ascii="Times New Roman" w:hAnsi="Times New Roman" w:eastAsia="宋体" w:cs="Times New Roman"/>
                      <w:szCs w:val="21"/>
                    </w:rPr>
                  </w:pPr>
                  <w:r>
                    <w:rPr>
                      <w:rFonts w:ascii="Times New Roman" w:hAnsi="Times New Roman" w:eastAsia="宋体" w:cs="Times New Roman"/>
                      <w:kern w:val="0"/>
                      <w:szCs w:val="21"/>
                      <w:lang w:bidi="ar"/>
                    </w:rPr>
                    <w:t>/</w:t>
                  </w:r>
                </w:p>
              </w:tc>
            </w:tr>
            <w:tr w14:paraId="42A79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13" w:type="pct"/>
                  <w:tcBorders>
                    <w:tl2br w:val="nil"/>
                    <w:tr2bl w:val="nil"/>
                  </w:tcBorders>
                  <w:vAlign w:val="center"/>
                </w:tcPr>
                <w:p w14:paraId="1B778D6D">
                  <w:pPr>
                    <w:autoSpaceDE w:val="0"/>
                    <w:adjustRightInd w:val="0"/>
                    <w:snapToGrid w:val="0"/>
                    <w:ind w:left="-111" w:leftChars="-53" w:right="-105" w:rightChars="-50"/>
                    <w:jc w:val="center"/>
                    <w:rPr>
                      <w:rFonts w:ascii="Times New Roman" w:hAnsi="Times New Roman" w:eastAsia="宋体" w:cs="Times New Roman"/>
                      <w:szCs w:val="21"/>
                    </w:rPr>
                  </w:pPr>
                  <w:r>
                    <w:rPr>
                      <w:rFonts w:ascii="Times New Roman" w:hAnsi="Times New Roman" w:eastAsia="宋体" w:cs="Times New Roman"/>
                      <w:szCs w:val="21"/>
                    </w:rPr>
                    <w:t>合计</w:t>
                  </w:r>
                </w:p>
              </w:tc>
              <w:tc>
                <w:tcPr>
                  <w:tcW w:w="648" w:type="pct"/>
                  <w:tcBorders>
                    <w:tl2br w:val="nil"/>
                    <w:tr2bl w:val="nil"/>
                  </w:tcBorders>
                  <w:vAlign w:val="center"/>
                </w:tcPr>
                <w:p w14:paraId="4E5C05D8">
                  <w:pPr>
                    <w:autoSpaceDE w:val="0"/>
                    <w:adjustRightInd w:val="0"/>
                    <w:snapToGrid w:val="0"/>
                    <w:ind w:left="-124" w:leftChars="-59" w:right="-23" w:rightChars="-11"/>
                    <w:jc w:val="center"/>
                    <w:rPr>
                      <w:rFonts w:ascii="Times New Roman" w:hAnsi="Times New Roman" w:eastAsia="宋体" w:cs="Times New Roman"/>
                      <w:szCs w:val="21"/>
                    </w:rPr>
                  </w:pPr>
                  <w:r>
                    <w:rPr>
                      <w:rFonts w:hint="eastAsia" w:ascii="Times New Roman" w:hAnsi="Times New Roman" w:eastAsia="宋体" w:cs="Times New Roman"/>
                      <w:szCs w:val="21"/>
                    </w:rPr>
                    <w:t>4.74</w:t>
                  </w:r>
                </w:p>
              </w:tc>
              <w:tc>
                <w:tcPr>
                  <w:tcW w:w="749" w:type="pct"/>
                  <w:tcBorders>
                    <w:tl2br w:val="nil"/>
                    <w:tr2bl w:val="nil"/>
                  </w:tcBorders>
                  <w:vAlign w:val="center"/>
                </w:tcPr>
                <w:p w14:paraId="7A68FA85">
                  <w:pPr>
                    <w:autoSpaceDE w:val="0"/>
                    <w:adjustRightInd w:val="0"/>
                    <w:snapToGrid w:val="0"/>
                    <w:ind w:left="-124" w:leftChars="-59" w:right="-23" w:rightChars="-11"/>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2.16</w:t>
                  </w:r>
                </w:p>
              </w:tc>
              <w:tc>
                <w:tcPr>
                  <w:tcW w:w="783" w:type="pct"/>
                  <w:tcBorders>
                    <w:tl2br w:val="nil"/>
                    <w:tr2bl w:val="nil"/>
                  </w:tcBorders>
                  <w:vAlign w:val="center"/>
                </w:tcPr>
                <w:p w14:paraId="21E2523C">
                  <w:pPr>
                    <w:autoSpaceDE w:val="0"/>
                    <w:adjustRightInd w:val="0"/>
                    <w:snapToGrid w:val="0"/>
                    <w:ind w:left="-124" w:leftChars="-59" w:right="-23" w:rightChars="-11"/>
                    <w:jc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4.74</w:t>
                  </w:r>
                </w:p>
              </w:tc>
              <w:tc>
                <w:tcPr>
                  <w:tcW w:w="697" w:type="pct"/>
                  <w:tcBorders>
                    <w:tl2br w:val="nil"/>
                    <w:tr2bl w:val="nil"/>
                  </w:tcBorders>
                  <w:vAlign w:val="center"/>
                </w:tcPr>
                <w:p w14:paraId="3701E84A">
                  <w:pPr>
                    <w:autoSpaceDE w:val="0"/>
                    <w:adjustRightInd w:val="0"/>
                    <w:snapToGrid w:val="0"/>
                    <w:ind w:left="-105" w:leftChars="-50" w:right="-23" w:rightChars="-11"/>
                    <w:jc w:val="center"/>
                    <w:rPr>
                      <w:rFonts w:ascii="Times New Roman" w:hAnsi="Times New Roman" w:eastAsia="宋体" w:cs="Times New Roman"/>
                      <w:szCs w:val="21"/>
                    </w:rPr>
                  </w:pPr>
                  <w:r>
                    <w:rPr>
                      <w:rFonts w:hint="eastAsia" w:ascii="Times New Roman" w:hAnsi="Times New Roman" w:cs="Times New Roman"/>
                      <w:szCs w:val="21"/>
                    </w:rPr>
                    <w:t>2.16</w:t>
                  </w:r>
                </w:p>
              </w:tc>
              <w:tc>
                <w:tcPr>
                  <w:tcW w:w="907" w:type="pct"/>
                  <w:tcBorders>
                    <w:tl2br w:val="nil"/>
                    <w:tr2bl w:val="nil"/>
                  </w:tcBorders>
                  <w:vAlign w:val="center"/>
                </w:tcPr>
                <w:p w14:paraId="72991B06">
                  <w:pPr>
                    <w:autoSpaceDE w:val="0"/>
                    <w:adjustRightInd w:val="0"/>
                    <w:snapToGrid w:val="0"/>
                    <w:ind w:left="-105" w:leftChars="-50" w:right="-23" w:rightChars="-11"/>
                    <w:jc w:val="center"/>
                    <w:rPr>
                      <w:rFonts w:ascii="Times New Roman" w:hAnsi="Times New Roman" w:eastAsia="宋体" w:cs="Times New Roman"/>
                      <w:szCs w:val="21"/>
                    </w:rPr>
                  </w:pPr>
                  <w:r>
                    <w:rPr>
                      <w:rFonts w:hint="eastAsia" w:ascii="Times New Roman" w:hAnsi="Times New Roman" w:eastAsia="宋体" w:cs="Times New Roman"/>
                      <w:szCs w:val="21"/>
                    </w:rPr>
                    <w:t>0</w:t>
                  </w:r>
                </w:p>
              </w:tc>
            </w:tr>
          </w:tbl>
          <w:p w14:paraId="0DDB3B1B">
            <w:pPr>
              <w:pStyle w:val="2"/>
              <w:jc w:val="center"/>
              <w:rPr>
                <w:rFonts w:ascii="Times New Roman" w:hAnsi="Times New Roman" w:cs="Times New Roman"/>
              </w:rPr>
            </w:pPr>
            <w:r>
              <w:rPr>
                <w:rFonts w:hint="eastAsia" w:ascii="Times New Roman" w:hAnsi="Times New Roman" w:cs="Times New Roman" w:eastAsiaTheme="minorEastAsia"/>
                <w:lang w:eastAsia="zh-CN"/>
              </w:rPr>
              <w:drawing>
                <wp:inline distT="0" distB="0" distL="114300" distR="114300">
                  <wp:extent cx="3268980" cy="2101215"/>
                  <wp:effectExtent l="0" t="0" r="7620" b="1905"/>
                  <wp:docPr id="18" name="图片 18" descr="174979588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49795886498"/>
                          <pic:cNvPicPr>
                            <a:picLocks noChangeAspect="1"/>
                          </pic:cNvPicPr>
                        </pic:nvPicPr>
                        <pic:blipFill>
                          <a:blip r:embed="rId12"/>
                          <a:stretch>
                            <a:fillRect/>
                          </a:stretch>
                        </pic:blipFill>
                        <pic:spPr>
                          <a:xfrm>
                            <a:off x="0" y="0"/>
                            <a:ext cx="3268980" cy="2101215"/>
                          </a:xfrm>
                          <a:prstGeom prst="rect">
                            <a:avLst/>
                          </a:prstGeom>
                        </pic:spPr>
                      </pic:pic>
                    </a:graphicData>
                  </a:graphic>
                </wp:inline>
              </w:drawing>
            </w:r>
          </w:p>
          <w:p w14:paraId="14200E82">
            <w:pPr>
              <w:autoSpaceDE w:val="0"/>
              <w:autoSpaceDN w:val="0"/>
              <w:adjustRightInd w:val="0"/>
              <w:snapToGrid w:val="0"/>
              <w:jc w:val="center"/>
              <w:rPr>
                <w:rFonts w:ascii="Times New Roman" w:hAnsi="Times New Roman" w:cs="Times New Roman"/>
                <w:b/>
              </w:rPr>
            </w:pPr>
            <w:r>
              <w:rPr>
                <w:rFonts w:ascii="Times New Roman" w:hAnsi="Times New Roman" w:cs="Times New Roman"/>
                <w:b/>
                <w:bCs/>
              </w:rPr>
              <w:t>图2-</w:t>
            </w:r>
            <w:r>
              <w:rPr>
                <w:rFonts w:hint="eastAsia" w:ascii="Times New Roman" w:hAnsi="Times New Roman" w:cs="Times New Roman"/>
                <w:b/>
                <w:bCs/>
                <w:lang w:val="en-US" w:eastAsia="zh-CN"/>
              </w:rPr>
              <w:t>2</w:t>
            </w:r>
            <w:r>
              <w:rPr>
                <w:rFonts w:ascii="Times New Roman" w:hAnsi="Times New Roman" w:cs="Times New Roman"/>
                <w:b/>
                <w:bCs/>
              </w:rPr>
              <w:t xml:space="preserve"> </w:t>
            </w:r>
            <w:r>
              <w:rPr>
                <w:rFonts w:hint="eastAsia" w:ascii="Times New Roman" w:hAnsi="Times New Roman" w:cs="Times New Roman"/>
                <w:b/>
                <w:bCs/>
              </w:rPr>
              <w:t xml:space="preserve">   </w:t>
            </w:r>
            <w:r>
              <w:rPr>
                <w:rFonts w:ascii="Times New Roman" w:hAnsi="Times New Roman" w:cs="Times New Roman"/>
                <w:b/>
                <w:bCs/>
              </w:rPr>
              <w:t>项目水平衡图</w:t>
            </w:r>
            <w:r>
              <w:rPr>
                <w:rFonts w:hint="eastAsia" w:ascii="Times New Roman" w:hAnsi="Times New Roman" w:cs="Times New Roman"/>
                <w:b/>
                <w:bCs/>
              </w:rPr>
              <w:t xml:space="preserve">   </w:t>
            </w:r>
            <w:r>
              <w:rPr>
                <w:rFonts w:ascii="Times New Roman" w:hAnsi="Times New Roman" w:eastAsia="宋体" w:cs="Times New Roman"/>
                <w:b/>
                <w:szCs w:val="21"/>
              </w:rPr>
              <w:t>单位m</w:t>
            </w:r>
            <w:r>
              <w:rPr>
                <w:rFonts w:ascii="Times New Roman" w:hAnsi="Times New Roman" w:eastAsia="宋体" w:cs="Times New Roman"/>
                <w:b/>
                <w:szCs w:val="21"/>
                <w:vertAlign w:val="superscript"/>
              </w:rPr>
              <w:t>3</w:t>
            </w:r>
            <w:r>
              <w:rPr>
                <w:rFonts w:ascii="Times New Roman" w:hAnsi="Times New Roman" w:eastAsia="宋体" w:cs="Times New Roman"/>
                <w:b/>
                <w:szCs w:val="21"/>
              </w:rPr>
              <w:t>/a</w:t>
            </w:r>
          </w:p>
          <w:p w14:paraId="04008ED1">
            <w:pPr>
              <w:pStyle w:val="39"/>
              <w:autoSpaceDE w:val="0"/>
              <w:autoSpaceDN w:val="0"/>
              <w:adjustRightInd w:val="0"/>
              <w:snapToGrid w:val="0"/>
              <w:spacing w:line="360" w:lineRule="auto"/>
              <w:ind w:firstLine="470" w:firstLineChars="200"/>
              <w:rPr>
                <w:rFonts w:ascii="Times New Roman" w:hAnsi="Times New Roman" w:cs="Times New Roman" w:eastAsiaTheme="minorEastAsia"/>
                <w:b/>
                <w:bCs/>
                <w:spacing w:val="-3"/>
                <w:sz w:val="24"/>
                <w:lang w:val="en-US"/>
              </w:rPr>
            </w:pPr>
            <w:r>
              <w:rPr>
                <w:rFonts w:ascii="Times New Roman" w:hAnsi="Times New Roman" w:cs="Times New Roman" w:eastAsiaTheme="minorEastAsia"/>
                <w:b/>
                <w:bCs/>
                <w:spacing w:val="-3"/>
                <w:sz w:val="24"/>
                <w:lang w:val="en-US"/>
              </w:rPr>
              <w:t>6、供电</w:t>
            </w:r>
          </w:p>
          <w:p w14:paraId="2C7870B4">
            <w:pPr>
              <w:pStyle w:val="39"/>
              <w:autoSpaceDE w:val="0"/>
              <w:autoSpaceDN w:val="0"/>
              <w:adjustRightInd w:val="0"/>
              <w:snapToGrid w:val="0"/>
              <w:spacing w:line="360" w:lineRule="auto"/>
              <w:ind w:firstLine="480" w:firstLineChars="200"/>
              <w:rPr>
                <w:rFonts w:ascii="Times New Roman" w:hAnsi="Times New Roman" w:cs="Times New Roman" w:eastAsiaTheme="minorEastAsia"/>
                <w:spacing w:val="-3"/>
                <w:sz w:val="24"/>
                <w:lang w:val="en-US"/>
              </w:rPr>
            </w:pPr>
            <w:r>
              <w:rPr>
                <w:rFonts w:ascii="Times New Roman" w:hAnsi="Times New Roman" w:eastAsia="宋体" w:cs="Times New Roman"/>
                <w:kern w:val="0"/>
                <w:sz w:val="24"/>
              </w:rPr>
              <w:t>由</w:t>
            </w:r>
            <w:r>
              <w:rPr>
                <w:rFonts w:ascii="Times New Roman" w:hAnsi="Times New Roman" w:eastAsia="宋体" w:cs="Times New Roman"/>
                <w:kern w:val="0"/>
                <w:sz w:val="24"/>
                <w:lang w:val="en-US"/>
              </w:rPr>
              <w:t>市政</w:t>
            </w:r>
            <w:r>
              <w:rPr>
                <w:rFonts w:ascii="Times New Roman" w:hAnsi="Times New Roman" w:eastAsia="宋体" w:cs="Times New Roman"/>
                <w:kern w:val="0"/>
                <w:sz w:val="24"/>
              </w:rPr>
              <w:t>电网提供</w:t>
            </w:r>
            <w:r>
              <w:rPr>
                <w:rFonts w:ascii="Times New Roman" w:hAnsi="Times New Roman" w:cs="Times New Roman" w:eastAsiaTheme="minorEastAsia"/>
                <w:spacing w:val="-3"/>
                <w:sz w:val="24"/>
                <w:lang w:val="en-US"/>
              </w:rPr>
              <w:t>。</w:t>
            </w:r>
          </w:p>
          <w:p w14:paraId="61826CC7">
            <w:pPr>
              <w:pStyle w:val="39"/>
              <w:numPr>
                <w:ilvl w:val="0"/>
                <w:numId w:val="3"/>
              </w:numPr>
              <w:autoSpaceDE w:val="0"/>
              <w:autoSpaceDN w:val="0"/>
              <w:adjustRightInd w:val="0"/>
              <w:snapToGrid w:val="0"/>
              <w:spacing w:line="360" w:lineRule="auto"/>
              <w:ind w:firstLine="470" w:firstLineChars="200"/>
              <w:rPr>
                <w:rFonts w:ascii="Times New Roman" w:hAnsi="Times New Roman" w:cs="Times New Roman" w:eastAsiaTheme="minorEastAsia"/>
                <w:b/>
                <w:bCs/>
                <w:spacing w:val="-3"/>
                <w:sz w:val="24"/>
                <w:lang w:val="en-US"/>
              </w:rPr>
            </w:pPr>
            <w:r>
              <w:rPr>
                <w:rFonts w:ascii="Times New Roman" w:hAnsi="Times New Roman" w:cs="Times New Roman" w:eastAsiaTheme="minorEastAsia"/>
                <w:b/>
                <w:bCs/>
                <w:spacing w:val="-3"/>
                <w:sz w:val="24"/>
                <w:lang w:val="en-US"/>
              </w:rPr>
              <w:t>供</w:t>
            </w:r>
            <w:r>
              <w:rPr>
                <w:rFonts w:hint="eastAsia" w:ascii="Times New Roman" w:hAnsi="Times New Roman" w:cs="Times New Roman" w:eastAsiaTheme="minorEastAsia"/>
                <w:b/>
                <w:bCs/>
                <w:spacing w:val="-3"/>
                <w:sz w:val="24"/>
                <w:lang w:val="en-US"/>
              </w:rPr>
              <w:t>热</w:t>
            </w:r>
          </w:p>
          <w:p w14:paraId="622EC60A">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员工生活：</w:t>
            </w:r>
            <w:r>
              <w:rPr>
                <w:rFonts w:ascii="Times New Roman" w:hAnsi="Times New Roman" w:eastAsia="宋体" w:cs="Times New Roman"/>
                <w:sz w:val="24"/>
              </w:rPr>
              <w:t>本项目厂房不采暖，办公室冬季采暖、夏季制冷均采用分体空调。</w:t>
            </w:r>
          </w:p>
          <w:p w14:paraId="08EBA2BB">
            <w:pPr>
              <w:pStyle w:val="39"/>
              <w:autoSpaceDE w:val="0"/>
              <w:autoSpaceDN w:val="0"/>
              <w:adjustRightInd w:val="0"/>
              <w:snapToGrid w:val="0"/>
              <w:spacing w:line="360" w:lineRule="auto"/>
              <w:ind w:firstLine="468" w:firstLineChars="200"/>
              <w:rPr>
                <w:rFonts w:ascii="Times New Roman" w:hAnsi="Times New Roman" w:cs="Times New Roman" w:eastAsiaTheme="minorEastAsia"/>
                <w:spacing w:val="-3"/>
                <w:sz w:val="24"/>
                <w:lang w:val="en-US"/>
              </w:rPr>
            </w:pPr>
            <w:r>
              <w:rPr>
                <w:rFonts w:hint="eastAsia" w:ascii="Times New Roman" w:hAnsi="Times New Roman" w:cs="Times New Roman" w:eastAsiaTheme="minorEastAsia"/>
                <w:spacing w:val="-3"/>
                <w:sz w:val="24"/>
                <w:lang w:val="en-US"/>
              </w:rPr>
              <w:t>生产工艺：本项目喷砂及自动喷漆均使用电能。</w:t>
            </w:r>
          </w:p>
          <w:p w14:paraId="0974693E">
            <w:pPr>
              <w:pStyle w:val="39"/>
              <w:autoSpaceDE w:val="0"/>
              <w:autoSpaceDN w:val="0"/>
              <w:adjustRightInd w:val="0"/>
              <w:snapToGrid w:val="0"/>
              <w:spacing w:line="360" w:lineRule="auto"/>
              <w:ind w:firstLine="470" w:firstLineChars="200"/>
              <w:rPr>
                <w:rFonts w:ascii="Times New Roman" w:hAnsi="Times New Roman" w:cs="Times New Roman" w:eastAsiaTheme="minorEastAsia"/>
                <w:b/>
                <w:bCs/>
                <w:spacing w:val="-3"/>
                <w:sz w:val="24"/>
                <w:lang w:val="en-US"/>
              </w:rPr>
            </w:pPr>
            <w:r>
              <w:rPr>
                <w:rFonts w:ascii="Times New Roman" w:hAnsi="Times New Roman" w:cs="Times New Roman" w:eastAsiaTheme="minorEastAsia"/>
                <w:b/>
                <w:bCs/>
                <w:spacing w:val="-3"/>
                <w:sz w:val="24"/>
                <w:lang w:val="en-US"/>
              </w:rPr>
              <w:t>8、劳动定员以及工作制度</w:t>
            </w:r>
          </w:p>
          <w:p w14:paraId="103F420D">
            <w:pPr>
              <w:pStyle w:val="39"/>
              <w:autoSpaceDE w:val="0"/>
              <w:autoSpaceDN w:val="0"/>
              <w:adjustRightInd w:val="0"/>
              <w:snapToGrid w:val="0"/>
              <w:spacing w:line="360" w:lineRule="auto"/>
              <w:ind w:firstLine="480" w:firstLineChars="200"/>
              <w:rPr>
                <w:rFonts w:ascii="Times New Roman" w:hAnsi="Times New Roman" w:eastAsia="宋体" w:cs="Times New Roman"/>
                <w:sz w:val="24"/>
                <w:lang w:val="en-US" w:bidi="ar-SA"/>
              </w:rPr>
            </w:pPr>
            <w:r>
              <w:rPr>
                <w:rFonts w:ascii="Times New Roman" w:hAnsi="Times New Roman" w:eastAsia="宋体" w:cs="Times New Roman"/>
                <w:sz w:val="24"/>
                <w:lang w:val="en-US" w:bidi="ar-SA"/>
              </w:rPr>
              <w:t>本项目</w:t>
            </w:r>
            <w:r>
              <w:rPr>
                <w:rFonts w:hint="eastAsia" w:ascii="Times New Roman" w:hAnsi="Times New Roman" w:eastAsia="宋体" w:cs="Times New Roman"/>
                <w:sz w:val="24"/>
                <w:lang w:val="en-US" w:bidi="ar-SA"/>
              </w:rPr>
              <w:t>无新增人员，从原有项目调配3人。现有项目</w:t>
            </w:r>
            <w:r>
              <w:rPr>
                <w:rFonts w:ascii="Times New Roman" w:hAnsi="Times New Roman" w:eastAsia="宋体" w:cs="Times New Roman"/>
                <w:sz w:val="24"/>
                <w:lang w:val="en-US" w:bidi="ar-SA"/>
              </w:rPr>
              <w:t>员工</w:t>
            </w:r>
            <w:r>
              <w:rPr>
                <w:rFonts w:hint="eastAsia" w:ascii="Times New Roman" w:hAnsi="Times New Roman" w:eastAsia="宋体" w:cs="Times New Roman"/>
                <w:sz w:val="24"/>
                <w:lang w:val="en-US" w:bidi="ar-SA"/>
              </w:rPr>
              <w:t>30</w:t>
            </w:r>
            <w:r>
              <w:rPr>
                <w:rFonts w:ascii="Times New Roman" w:hAnsi="Times New Roman" w:eastAsia="宋体" w:cs="Times New Roman"/>
                <w:sz w:val="24"/>
                <w:lang w:val="en-US" w:bidi="ar-SA"/>
              </w:rPr>
              <w:t>人，</w:t>
            </w:r>
            <w:r>
              <w:rPr>
                <w:rFonts w:hint="eastAsia" w:ascii="Times New Roman" w:hAnsi="Times New Roman" w:eastAsia="宋体" w:cs="Times New Roman"/>
                <w:sz w:val="24"/>
                <w:lang w:val="en-US" w:bidi="ar-SA"/>
              </w:rPr>
              <w:t>单班8小时制，无食宿，</w:t>
            </w:r>
            <w:r>
              <w:rPr>
                <w:rFonts w:ascii="Times New Roman" w:hAnsi="Times New Roman" w:eastAsia="宋体" w:cs="Times New Roman"/>
                <w:sz w:val="24"/>
                <w:lang w:val="en-US" w:bidi="ar-SA"/>
              </w:rPr>
              <w:t>全年</w:t>
            </w:r>
            <w:r>
              <w:rPr>
                <w:rFonts w:hint="eastAsia" w:ascii="Times New Roman" w:hAnsi="Times New Roman" w:eastAsia="宋体" w:cs="Times New Roman"/>
                <w:sz w:val="24"/>
                <w:lang w:val="en-US" w:bidi="ar-SA"/>
              </w:rPr>
              <w:t>最大</w:t>
            </w:r>
            <w:r>
              <w:rPr>
                <w:rFonts w:ascii="Times New Roman" w:hAnsi="Times New Roman" w:eastAsia="宋体" w:cs="Times New Roman"/>
                <w:sz w:val="24"/>
                <w:lang w:val="en-US" w:bidi="ar-SA"/>
              </w:rPr>
              <w:t>工作日300天。</w:t>
            </w:r>
          </w:p>
          <w:p w14:paraId="0D5688A2">
            <w:pPr>
              <w:pStyle w:val="39"/>
              <w:autoSpaceDE w:val="0"/>
              <w:autoSpaceDN w:val="0"/>
              <w:adjustRightInd w:val="0"/>
              <w:snapToGrid w:val="0"/>
              <w:spacing w:line="360" w:lineRule="auto"/>
              <w:ind w:firstLine="470" w:firstLineChars="200"/>
              <w:rPr>
                <w:rFonts w:ascii="Times New Roman" w:hAnsi="Times New Roman" w:cs="Times New Roman" w:eastAsiaTheme="minorEastAsia"/>
                <w:b/>
                <w:bCs/>
                <w:spacing w:val="-3"/>
                <w:sz w:val="24"/>
                <w:lang w:val="en-US"/>
              </w:rPr>
            </w:pPr>
            <w:r>
              <w:rPr>
                <w:rFonts w:hint="eastAsia" w:ascii="Times New Roman" w:hAnsi="Times New Roman" w:cs="Times New Roman" w:eastAsiaTheme="minorEastAsia"/>
                <w:b/>
                <w:bCs/>
                <w:spacing w:val="-3"/>
                <w:sz w:val="24"/>
                <w:lang w:val="en-US"/>
              </w:rPr>
              <w:t>9</w:t>
            </w:r>
            <w:r>
              <w:rPr>
                <w:rFonts w:ascii="Times New Roman" w:hAnsi="Times New Roman" w:cs="Times New Roman" w:eastAsiaTheme="minorEastAsia"/>
                <w:b/>
                <w:bCs/>
                <w:spacing w:val="-3"/>
                <w:sz w:val="24"/>
                <w:lang w:val="en-US"/>
              </w:rPr>
              <w:t>、厂区平面布置</w:t>
            </w:r>
          </w:p>
          <w:p w14:paraId="0F04C2C1">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根据本项目产品方案及生产规模、场地现状，</w:t>
            </w:r>
            <w:r>
              <w:rPr>
                <w:rFonts w:hint="eastAsia" w:ascii="Times New Roman" w:hAnsi="Times New Roman" w:eastAsia="宋体" w:cs="Times New Roman"/>
                <w:sz w:val="24"/>
              </w:rPr>
              <w:t>本项目拟在在建项目原有租赁车间东侧空地设置喷砂区和自动喷漆区（带烘干）。项目整体布局紧凑，厂内供电、排水等基础设施配套齐全，建筑结构基本完善，可</w:t>
            </w:r>
            <w:r>
              <w:rPr>
                <w:rFonts w:ascii="Times New Roman" w:hAnsi="Times New Roman" w:eastAsia="宋体" w:cs="Times New Roman"/>
                <w:sz w:val="24"/>
              </w:rPr>
              <w:t>做到工艺顺畅，功能分区明确，人流、物流通畅</w:t>
            </w:r>
            <w:r>
              <w:rPr>
                <w:rFonts w:hint="eastAsia" w:ascii="Times New Roman" w:hAnsi="Times New Roman" w:eastAsia="宋体" w:cs="Times New Roman"/>
                <w:sz w:val="24"/>
              </w:rPr>
              <w:t>，便于生产管理。</w:t>
            </w:r>
          </w:p>
          <w:p w14:paraId="65501D61">
            <w:pPr>
              <w:adjustRightInd w:val="0"/>
              <w:snapToGrid w:val="0"/>
              <w:spacing w:line="360" w:lineRule="auto"/>
              <w:ind w:firstLine="480" w:firstLineChars="200"/>
              <w:rPr>
                <w:rFonts w:ascii="Times New Roman" w:hAnsi="Times New Roman" w:eastAsia="宋体" w:cs="Times New Roman"/>
                <w:sz w:val="24"/>
                <w:lang w:val="zh-TW"/>
              </w:rPr>
            </w:pPr>
            <w:r>
              <w:rPr>
                <w:rFonts w:hint="eastAsia" w:ascii="Times New Roman" w:hAnsi="Times New Roman" w:eastAsia="宋体" w:cs="Times New Roman"/>
                <w:sz w:val="24"/>
                <w:lang w:val="zh-TW"/>
              </w:rPr>
              <w:t>危废贮存库拟设</w:t>
            </w:r>
            <w:r>
              <w:rPr>
                <w:rFonts w:hint="eastAsia" w:ascii="Times New Roman" w:hAnsi="Times New Roman" w:eastAsia="宋体" w:cs="Times New Roman"/>
                <w:color w:val="auto"/>
                <w:sz w:val="24"/>
                <w:lang w:val="zh-TW"/>
              </w:rPr>
              <w:t>于车间</w:t>
            </w:r>
            <w:r>
              <w:rPr>
                <w:rFonts w:hint="eastAsia" w:ascii="Times New Roman" w:hAnsi="Times New Roman" w:eastAsia="宋体" w:cs="Times New Roman"/>
                <w:color w:val="auto"/>
                <w:sz w:val="24"/>
              </w:rPr>
              <w:t>外南侧，</w:t>
            </w:r>
            <w:r>
              <w:rPr>
                <w:rFonts w:hint="eastAsia" w:ascii="Times New Roman" w:hAnsi="Times New Roman" w:eastAsia="宋体" w:cs="Times New Roman"/>
                <w:color w:val="auto"/>
                <w:sz w:val="24"/>
                <w:lang w:val="zh-TW"/>
              </w:rPr>
              <w:t>避</w:t>
            </w:r>
            <w:r>
              <w:rPr>
                <w:rFonts w:hint="eastAsia" w:ascii="Times New Roman" w:hAnsi="Times New Roman" w:eastAsia="宋体" w:cs="Times New Roman"/>
                <w:sz w:val="24"/>
                <w:lang w:val="zh-TW"/>
              </w:rPr>
              <w:t>开人员工作活动区域。项目所有生产设备均布置在车间内，设备采用隔声、减振等噪声治理措施，再经距离衰减，对周围影响较小。</w:t>
            </w:r>
          </w:p>
          <w:p w14:paraId="6CCD545F">
            <w:pPr>
              <w:adjustRightInd w:val="0"/>
              <w:snapToGrid w:val="0"/>
              <w:spacing w:line="360" w:lineRule="auto"/>
              <w:ind w:firstLine="480" w:firstLineChars="200"/>
              <w:rPr>
                <w:rFonts w:ascii="Times New Roman" w:hAnsi="Times New Roman" w:eastAsia="宋体" w:cs="Times New Roman"/>
                <w:szCs w:val="21"/>
              </w:rPr>
            </w:pPr>
            <w:r>
              <w:rPr>
                <w:rFonts w:hint="eastAsia" w:ascii="Times New Roman" w:hAnsi="Times New Roman" w:eastAsia="宋体" w:cs="Times New Roman"/>
                <w:sz w:val="24"/>
                <w:lang w:val="zh-TW"/>
              </w:rPr>
              <w:t>综上所述，项目总平面布置本着工艺环节顺畅，节省用地，节约投资等原则，满足环保等要求，方便管理，项目总平面布置合理，项目平面布置见附图</w:t>
            </w:r>
            <w:r>
              <w:rPr>
                <w:rFonts w:hint="eastAsia" w:ascii="Times New Roman" w:hAnsi="Times New Roman" w:eastAsia="宋体" w:cs="Times New Roman"/>
                <w:sz w:val="24"/>
              </w:rPr>
              <w:t>4</w:t>
            </w:r>
            <w:r>
              <w:rPr>
                <w:rFonts w:hint="eastAsia" w:ascii="Times New Roman" w:hAnsi="Times New Roman" w:eastAsia="宋体" w:cs="Times New Roman"/>
                <w:sz w:val="24"/>
                <w:lang w:val="zh-TW"/>
              </w:rPr>
              <w:t>。</w:t>
            </w:r>
          </w:p>
        </w:tc>
      </w:tr>
      <w:tr w14:paraId="61DB3D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7" w:type="pct"/>
            <w:tcBorders>
              <w:top w:val="single" w:color="auto" w:sz="4" w:space="0"/>
              <w:left w:val="single" w:color="auto" w:sz="8" w:space="0"/>
              <w:bottom w:val="single" w:color="auto" w:sz="4" w:space="0"/>
              <w:right w:val="single" w:color="auto" w:sz="4" w:space="0"/>
            </w:tcBorders>
            <w:shd w:val="clear" w:color="auto" w:fill="auto"/>
            <w:vAlign w:val="center"/>
          </w:tcPr>
          <w:p w14:paraId="0B4F206C">
            <w:pPr>
              <w:pStyle w:val="21"/>
              <w:adjustRightInd w:val="0"/>
              <w:snapToGrid w:val="0"/>
              <w:spacing w:beforeAutospacing="0" w:afterAutospacing="0"/>
              <w:jc w:val="center"/>
              <w:rPr>
                <w:rFonts w:hint="default" w:ascii="Times New Roman" w:hAnsi="Times New Roman"/>
                <w:kern w:val="2"/>
                <w:sz w:val="21"/>
                <w:szCs w:val="21"/>
              </w:rPr>
            </w:pPr>
            <w:r>
              <w:rPr>
                <w:rFonts w:hint="default" w:ascii="Times New Roman" w:hAnsi="Times New Roman"/>
                <w:kern w:val="2"/>
                <w:szCs w:val="24"/>
              </w:rPr>
              <w:t>工艺流程和产排污环节</w:t>
            </w:r>
          </w:p>
        </w:tc>
        <w:tc>
          <w:tcPr>
            <w:tcW w:w="4772" w:type="pct"/>
            <w:tcBorders>
              <w:top w:val="single" w:color="auto" w:sz="4" w:space="0"/>
              <w:left w:val="single" w:color="auto" w:sz="4" w:space="0"/>
              <w:bottom w:val="single" w:color="auto" w:sz="4" w:space="0"/>
              <w:right w:val="single" w:color="auto" w:sz="8" w:space="0"/>
            </w:tcBorders>
            <w:shd w:val="clear" w:color="auto" w:fill="auto"/>
          </w:tcPr>
          <w:p w14:paraId="6601CF0C">
            <w:pPr>
              <w:pStyle w:val="25"/>
              <w:spacing w:line="360" w:lineRule="auto"/>
              <w:ind w:firstLine="482"/>
              <w:rPr>
                <w:rFonts w:ascii="Times New Roman" w:hAnsi="Times New Roman" w:eastAsia="宋体" w:cs="Times New Roman"/>
                <w:b/>
                <w:bCs/>
                <w:sz w:val="24"/>
              </w:rPr>
            </w:pPr>
            <w:r>
              <w:rPr>
                <w:rFonts w:ascii="Times New Roman" w:hAnsi="Times New Roman" w:eastAsia="宋体" w:cs="Times New Roman"/>
                <w:b/>
                <w:bCs/>
                <w:sz w:val="24"/>
              </w:rPr>
              <w:t>1、生产工艺流程和产排污环节</w:t>
            </w:r>
          </w:p>
          <w:p w14:paraId="0A993EAE">
            <w:pPr>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（1）生产</w:t>
            </w:r>
            <w:r>
              <w:rPr>
                <w:rFonts w:ascii="Times New Roman" w:hAnsi="Times New Roman" w:cs="Times New Roman"/>
                <w:sz w:val="24"/>
              </w:rPr>
              <w:t>工艺流程图</w:t>
            </w:r>
          </w:p>
          <w:p w14:paraId="5731AB66">
            <w:pPr>
              <w:pStyle w:val="2"/>
              <w:rPr>
                <w:rFonts w:ascii="Times New Roman" w:hAnsi="Times New Roman" w:cs="Times New Roman"/>
                <w:sz w:val="24"/>
              </w:rPr>
            </w:pPr>
          </w:p>
          <w:p w14:paraId="416FD172"/>
          <w:p w14:paraId="0B0B1387">
            <w:pPr>
              <w:pStyle w:val="25"/>
              <w:spacing w:line="360" w:lineRule="auto"/>
              <w:ind w:firstLine="0" w:firstLineChars="0"/>
              <w:rPr>
                <w:rFonts w:ascii="Times New Roman" w:hAnsi="Times New Roman" w:cs="Times New Roman"/>
                <w:sz w:val="24"/>
              </w:rPr>
            </w:pPr>
            <w:r>
              <w:rPr>
                <w:sz w:val="24"/>
              </w:rPr>
              <mc:AlternateContent>
                <mc:Choice Requires="wps">
                  <w:drawing>
                    <wp:anchor distT="0" distB="0" distL="114300" distR="114300" simplePos="0" relativeHeight="251668480" behindDoc="0" locked="0" layoutInCell="1" allowOverlap="1">
                      <wp:simplePos x="0" y="0"/>
                      <wp:positionH relativeFrom="column">
                        <wp:posOffset>1887855</wp:posOffset>
                      </wp:positionH>
                      <wp:positionV relativeFrom="paragraph">
                        <wp:posOffset>94615</wp:posOffset>
                      </wp:positionV>
                      <wp:extent cx="889000" cy="321945"/>
                      <wp:effectExtent l="4445" t="4445" r="5715" b="8890"/>
                      <wp:wrapNone/>
                      <wp:docPr id="43" name="文本框 43"/>
                      <wp:cNvGraphicFramePr/>
                      <a:graphic xmlns:a="http://schemas.openxmlformats.org/drawingml/2006/main">
                        <a:graphicData uri="http://schemas.microsoft.com/office/word/2010/wordprocessingShape">
                          <wps:wsp>
                            <wps:cNvSpPr txBox="1"/>
                            <wps:spPr>
                              <a:xfrm>
                                <a:off x="2633345" y="2293620"/>
                                <a:ext cx="889000" cy="3219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DCC98EA">
                                  <w:pPr>
                                    <w:rPr>
                                      <w:rFonts w:eastAsia="宋体"/>
                                    </w:rPr>
                                  </w:pPr>
                                  <w:r>
                                    <w:rPr>
                                      <w:rFonts w:hint="eastAsia"/>
                                    </w:rPr>
                                    <w:t>外来钢零件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65pt;margin-top:7.45pt;height:25.35pt;width:70pt;z-index:251668480;mso-width-relative:page;mso-height-relative:page;" fillcolor="#FFFFFF [3201]" filled="t" stroked="t" coordsize="21600,21600" o:gfxdata="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5xmjvWAAAACQEAAA8AAAAAAAAAAQAgAAAAIgAAAGRycy9kb3ducmV2LnhtbFBLAQIUABQA&#10;AAAIAIdO4kB6MbsjZAIAAMQEAAAOAAAAAAAAAAEAIAAAACUBAABkcnMvZTJvRG9jLnhtbFBLBQYA&#10;AAAABgAGAFkBAAD7BQAAAAA=&#10;">
                      <v:fill on="t" focussize="0,0"/>
                      <v:stroke weight="0.5pt" color="#000000 [3204]" joinstyle="round"/>
                      <v:imagedata o:title=""/>
                      <o:lock v:ext="edit" aspectratio="f"/>
                      <v:textbox>
                        <w:txbxContent>
                          <w:p w14:paraId="6DCC98EA">
                            <w:pPr>
                              <w:rPr>
                                <w:rFonts w:eastAsia="宋体"/>
                              </w:rPr>
                            </w:pPr>
                            <w:r>
                              <w:rPr>
                                <w:rFonts w:hint="eastAsia"/>
                              </w:rPr>
                              <w:t>外来钢零件</w:t>
                            </w:r>
                          </w:p>
                        </w:txbxContent>
                      </v:textbox>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2081530</wp:posOffset>
                      </wp:positionH>
                      <wp:positionV relativeFrom="paragraph">
                        <wp:posOffset>2176145</wp:posOffset>
                      </wp:positionV>
                      <wp:extent cx="501015" cy="294005"/>
                      <wp:effectExtent l="5080" t="4445" r="12065" b="6350"/>
                      <wp:wrapNone/>
                      <wp:docPr id="23" name="文本框 23"/>
                      <wp:cNvGraphicFramePr/>
                      <a:graphic xmlns:a="http://schemas.openxmlformats.org/drawingml/2006/main">
                        <a:graphicData uri="http://schemas.microsoft.com/office/word/2010/wordprocessingShape">
                          <wps:wsp>
                            <wps:cNvSpPr txBox="1"/>
                            <wps:spPr>
                              <a:xfrm>
                                <a:off x="3404235" y="4351020"/>
                                <a:ext cx="501015" cy="2940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658E11">
                                  <w:pPr>
                                    <w:rPr>
                                      <w:rFonts w:eastAsia="宋体"/>
                                    </w:rPr>
                                  </w:pPr>
                                  <w:r>
                                    <w:rPr>
                                      <w:rFonts w:hint="eastAsia"/>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9pt;margin-top:171.35pt;height:23.15pt;width:39.45pt;z-index:251674624;mso-width-relative:page;mso-height-relative:page;" fillcolor="#FFFFFF [3201]" filled="t" stroked="t" coordsize="21600,21600" o:gfxdata="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Q6SLnXAAAACwEAAA8AAAAAAAAAAQAgAAAAIgAAAGRycy9kb3ducmV2LnhtbFBLAQIUABQA&#10;AAAIAIdO4kCTU4mgYwIAAMQEAAAOAAAAAAAAAAEAIAAAACYBAABkcnMvZTJvRG9jLnhtbFBLBQYA&#10;AAAABgAGAFkBAAD7BQAAAAA=&#10;">
                      <v:fill on="t" focussize="0,0"/>
                      <v:stroke weight="0.5pt" color="#000000 [3204]" joinstyle="round"/>
                      <v:imagedata o:title=""/>
                      <o:lock v:ext="edit" aspectratio="f"/>
                      <v:textbox>
                        <w:txbxContent>
                          <w:p w14:paraId="2A658E11">
                            <w:pPr>
                              <w:rPr>
                                <w:rFonts w:eastAsia="宋体"/>
                              </w:rPr>
                            </w:pPr>
                            <w:r>
                              <w:rPr>
                                <w:rFonts w:hint="eastAsia"/>
                              </w:rPr>
                              <w:t>成品</w:t>
                            </w:r>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2277110</wp:posOffset>
                      </wp:positionH>
                      <wp:positionV relativeFrom="paragraph">
                        <wp:posOffset>1779270</wp:posOffset>
                      </wp:positionV>
                      <wp:extent cx="6985" cy="354965"/>
                      <wp:effectExtent l="48895" t="0" r="50800" b="10795"/>
                      <wp:wrapNone/>
                      <wp:docPr id="38" name="直接箭头连接符 38"/>
                      <wp:cNvGraphicFramePr/>
                      <a:graphic xmlns:a="http://schemas.openxmlformats.org/drawingml/2006/main">
                        <a:graphicData uri="http://schemas.microsoft.com/office/word/2010/wordprocessingShape">
                          <wps:wsp>
                            <wps:cNvCnPr/>
                            <wps:spPr>
                              <a:xfrm flipH="1">
                                <a:off x="0" y="0"/>
                                <a:ext cx="6985" cy="35496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79.3pt;margin-top:140.1pt;height:27.95pt;width:0.55pt;z-index:251673600;mso-width-relative:page;mso-height-relative:page;" filled="f" stroked="t" coordsize="21600,21600" o:gfxdata="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8GlPDcAAAACwEAAA8AAAAA&#10;AAAAAQAgAAAAIgAAAGRycy9kb3ducmV2LnhtbFBLAQIUABQAAAAIAIdO4kDUl+0kEAIAAO0DAAAO&#10;AAAAAAAAAAEAIAAAACsBAABkcnMvZTJvRG9jLnhtbFBLBQYAAAAABgAGAFkBAACtBQ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2073910</wp:posOffset>
                      </wp:positionH>
                      <wp:positionV relativeFrom="paragraph">
                        <wp:posOffset>796925</wp:posOffset>
                      </wp:positionV>
                      <wp:extent cx="490855" cy="271780"/>
                      <wp:effectExtent l="4445" t="4445" r="7620" b="13335"/>
                      <wp:wrapNone/>
                      <wp:docPr id="39" name="文本框 39"/>
                      <wp:cNvGraphicFramePr/>
                      <a:graphic xmlns:a="http://schemas.openxmlformats.org/drawingml/2006/main">
                        <a:graphicData uri="http://schemas.microsoft.com/office/word/2010/wordprocessingShape">
                          <wps:wsp>
                            <wps:cNvSpPr txBox="1"/>
                            <wps:spPr>
                              <a:xfrm>
                                <a:off x="3353435" y="2886710"/>
                                <a:ext cx="490855"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5F2239">
                                  <w:pPr>
                                    <w:rPr>
                                      <w:rFonts w:eastAsia="宋体"/>
                                    </w:rPr>
                                  </w:pPr>
                                  <w:r>
                                    <w:rPr>
                                      <w:rFonts w:hint="eastAsia" w:eastAsia="宋体"/>
                                    </w:rPr>
                                    <w:t>喷砂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3pt;margin-top:62.75pt;height:21.4pt;width:38.65pt;z-index:251670528;mso-width-relative:page;mso-height-relative:page;" fillcolor="#FFFFFF [3201]" filled="t" stroked="t" coordsize="21600,21600" o:gfxdata="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dT+XHXAAAACwEAAA8AAAAAAAAAAQAgAAAAIgAAAGRycy9kb3ducmV2LnhtbFBLAQIU&#10;ABQAAAAIAIdO4kDAT28CZgIAAMQEAAAOAAAAAAAAAAEAIAAAACYBAABkcnMvZTJvRG9jLnhtbFBL&#10;BQYAAAAABgAGAFkBAAD+BQAAAAA=&#10;">
                      <v:fill on="t" focussize="0,0"/>
                      <v:stroke weight="0.5pt" color="#000000 [3204]" joinstyle="round"/>
                      <v:imagedata o:title=""/>
                      <o:lock v:ext="edit" aspectratio="f"/>
                      <v:textbox>
                        <w:txbxContent>
                          <w:p w14:paraId="535F2239">
                            <w:pPr>
                              <w:rPr>
                                <w:rFonts w:eastAsia="宋体"/>
                              </w:rPr>
                            </w:pPr>
                            <w:r>
                              <w:rPr>
                                <w:rFonts w:hint="eastAsia" w:eastAsia="宋体"/>
                              </w:rPr>
                              <w:t>喷砂</w:t>
                            </w:r>
                          </w:p>
                        </w:txbxContent>
                      </v:textbox>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2294255</wp:posOffset>
                      </wp:positionH>
                      <wp:positionV relativeFrom="paragraph">
                        <wp:posOffset>1110615</wp:posOffset>
                      </wp:positionV>
                      <wp:extent cx="6985" cy="354965"/>
                      <wp:effectExtent l="48895" t="0" r="50800" b="10795"/>
                      <wp:wrapNone/>
                      <wp:docPr id="41" name="直接箭头连接符 41"/>
                      <wp:cNvGraphicFramePr/>
                      <a:graphic xmlns:a="http://schemas.openxmlformats.org/drawingml/2006/main">
                        <a:graphicData uri="http://schemas.microsoft.com/office/word/2010/wordprocessingShape">
                          <wps:wsp>
                            <wps:cNvCnPr/>
                            <wps:spPr>
                              <a:xfrm flipH="1">
                                <a:off x="0" y="0"/>
                                <a:ext cx="6985" cy="35496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80.65pt;margin-top:87.45pt;height:27.95pt;width:0.55pt;z-index:251671552;mso-width-relative:page;mso-height-relative:page;" filled="f" stroked="t" coordsize="21600,21600" o:gfxdata="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vItqXcAAAACwEAAA8AAAAA&#10;AAAAAQAgAAAAIgAAAGRycy9kb3ducmV2LnhtbFBLAQIUABQAAAAIAIdO4kCFOV/+EAIAAO0DAAAO&#10;AAAAAAAAAAEAIAAAACsBAABkcnMvZTJvRG9jLnhtbFBLBQYAAAAABgAGAFkBAACtBQ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2310765</wp:posOffset>
                      </wp:positionH>
                      <wp:positionV relativeFrom="paragraph">
                        <wp:posOffset>416560</wp:posOffset>
                      </wp:positionV>
                      <wp:extent cx="6985" cy="354965"/>
                      <wp:effectExtent l="48895" t="0" r="50800" b="10795"/>
                      <wp:wrapNone/>
                      <wp:docPr id="42" name="直接箭头连接符 42"/>
                      <wp:cNvGraphicFramePr/>
                      <a:graphic xmlns:a="http://schemas.openxmlformats.org/drawingml/2006/main">
                        <a:graphicData uri="http://schemas.microsoft.com/office/word/2010/wordprocessingShape">
                          <wps:wsp>
                            <wps:cNvCnPr/>
                            <wps:spPr>
                              <a:xfrm flipH="1">
                                <a:off x="3750945" y="2683510"/>
                                <a:ext cx="6985" cy="35496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81.95pt;margin-top:32.8pt;height:27.95pt;width:0.55pt;z-index:251669504;mso-width-relative:page;mso-height-relative:page;" filled="f" stroked="t" coordsize="21600,21600" o:gfxdata="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Fuo2tsA&#10;AAAKAQAADwAAAAAAAAABACAAAAAiAAAAZHJzL2Rvd25yZXYueG1sUEsBAhQAFAAAAAgAh07iQKS/&#10;MyYcAgAA+QMAAA4AAAAAAAAAAQAgAAAAKgEAAGRycy9lMm9Eb2MueG1sUEsFBgAAAAAGAAYAWQEA&#10;ALgFAAAAAA==&#10;">
                      <v:fill on="f" focussize="0,0"/>
                      <v:stroke weight="1pt" color="#000000 [3213]" miterlimit="8" joinstyle="miter" endarrow="open"/>
                      <v:imagedata o:title=""/>
                      <o:lock v:ext="edit" aspectratio="f"/>
                    </v:shape>
                  </w:pict>
                </mc:Fallback>
              </mc:AlternateContent>
            </w:r>
          </w:p>
          <w:p w14:paraId="659A6F01">
            <w:pPr>
              <w:spacing w:line="360" w:lineRule="auto"/>
              <w:ind w:firstLine="422" w:firstLineChars="200"/>
              <w:jc w:val="center"/>
              <w:rPr>
                <w:rFonts w:ascii="Times New Roman" w:hAnsi="Times New Roman" w:cs="Times New Roman"/>
                <w:b/>
                <w:bCs/>
                <w:szCs w:val="21"/>
              </w:rPr>
            </w:pPr>
          </w:p>
          <w:p w14:paraId="071DC626">
            <w:pPr>
              <w:spacing w:line="360" w:lineRule="auto"/>
              <w:ind w:firstLine="480" w:firstLineChars="200"/>
              <w:jc w:val="center"/>
              <w:rPr>
                <w:rFonts w:ascii="Times New Roman" w:hAnsi="Times New Roman" w:cs="Times New Roman"/>
                <w:b/>
                <w:bCs/>
                <w:szCs w:val="21"/>
              </w:rPr>
            </w:pPr>
            <w:r>
              <w:rPr>
                <w:sz w:val="24"/>
              </w:rPr>
              <mc:AlternateContent>
                <mc:Choice Requires="wps">
                  <w:drawing>
                    <wp:anchor distT="0" distB="0" distL="114300" distR="114300" simplePos="0" relativeHeight="251676672" behindDoc="0" locked="0" layoutInCell="1" allowOverlap="1">
                      <wp:simplePos x="0" y="0"/>
                      <wp:positionH relativeFrom="column">
                        <wp:posOffset>1045845</wp:posOffset>
                      </wp:positionH>
                      <wp:positionV relativeFrom="paragraph">
                        <wp:posOffset>205740</wp:posOffset>
                      </wp:positionV>
                      <wp:extent cx="533400" cy="306705"/>
                      <wp:effectExtent l="0" t="0" r="0" b="13335"/>
                      <wp:wrapNone/>
                      <wp:docPr id="3" name="文本框 3"/>
                      <wp:cNvGraphicFramePr/>
                      <a:graphic xmlns:a="http://schemas.openxmlformats.org/drawingml/2006/main">
                        <a:graphicData uri="http://schemas.microsoft.com/office/word/2010/wordprocessingShape">
                          <wps:wsp>
                            <wps:cNvSpPr txBox="1"/>
                            <wps:spPr>
                              <a:xfrm>
                                <a:off x="0" y="0"/>
                                <a:ext cx="533400" cy="3067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E0806E">
                                  <w:r>
                                    <w:rPr>
                                      <w:rFonts w:hint="eastAsia"/>
                                    </w:rPr>
                                    <w:t>砂子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35pt;margin-top:16.2pt;height:24.15pt;width:42pt;z-index:251676672;mso-width-relative:page;mso-height-relative:page;" fillcolor="#FFFFFF [3201]" filled="t" stroked="f" coordsize="21600,21600" o:gfxdata="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GiRarUAAAACQEAAA8AAAAAAAAA&#10;AQAgAAAAIgAAAGRycy9kb3ducmV2LnhtbFBLAQIUABQAAAAIAIdO4kANZDxtTgIAAI4EAAAOAAAA&#10;AAAAAAEAIAAAACMBAABkcnMvZTJvRG9jLnhtbFBLBQYAAAAABgAGAFkBAADjBQAAAAA=&#10;">
                      <v:fill on="t" focussize="0,0"/>
                      <v:stroke on="f" weight="0.5pt"/>
                      <v:imagedata o:title=""/>
                      <o:lock v:ext="edit" aspectratio="f"/>
                      <v:textbox>
                        <w:txbxContent>
                          <w:p w14:paraId="63E0806E">
                            <w:r>
                              <w:rPr>
                                <w:rFonts w:hint="eastAsia"/>
                              </w:rPr>
                              <w:t>砂子</w:t>
                            </w:r>
                          </w:p>
                        </w:txbxContent>
                      </v:textbox>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2989580</wp:posOffset>
                      </wp:positionH>
                      <wp:positionV relativeFrom="paragraph">
                        <wp:posOffset>187960</wp:posOffset>
                      </wp:positionV>
                      <wp:extent cx="1321435" cy="304800"/>
                      <wp:effectExtent l="4445" t="4445" r="15240" b="10795"/>
                      <wp:wrapNone/>
                      <wp:docPr id="45" name="文本框 45"/>
                      <wp:cNvGraphicFramePr/>
                      <a:graphic xmlns:a="http://schemas.openxmlformats.org/drawingml/2006/main">
                        <a:graphicData uri="http://schemas.microsoft.com/office/word/2010/wordprocessingShape">
                          <wps:wsp>
                            <wps:cNvSpPr txBox="1"/>
                            <wps:spPr>
                              <a:xfrm>
                                <a:off x="0" y="0"/>
                                <a:ext cx="1321435" cy="3048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A73A058">
                                  <w:pPr>
                                    <w:rPr>
                                      <w:rFonts w:eastAsia="宋体"/>
                                    </w:rPr>
                                  </w:pPr>
                                  <w:r>
                                    <w:rPr>
                                      <w:rFonts w:hint="eastAsia"/>
                                    </w:rPr>
                                    <w:t>废气、噪声、固废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4pt;margin-top:14.8pt;height:24pt;width:104.05pt;z-index:251677696;mso-width-relative:page;mso-height-relative:page;" fillcolor="#FFFFFF [3201]" filled="t" stroked="t" coordsize="21600,21600" o:gfxdata="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g6dXX2AAAAAkB&#10;AAAPAAAAAAAAAAEAIAAAACIAAABkcnMvZG93bnJldi54bWxQSwECFAAUAAAACACHTuJAtcopz1QC&#10;AAC6BAAADgAAAAAAAAABACAAAAAnAQAAZHJzL2Uyb0RvYy54bWxQSwUGAAAAAAYABgBZAQAA7QUA&#10;AAAA&#10;">
                      <v:fill on="t" focussize="0,0"/>
                      <v:stroke weight="0.5pt" color="#FFFFFF [3212]" joinstyle="round"/>
                      <v:imagedata o:title=""/>
                      <o:lock v:ext="edit" aspectratio="f"/>
                      <v:textbox>
                        <w:txbxContent>
                          <w:p w14:paraId="1A73A058">
                            <w:pPr>
                              <w:rPr>
                                <w:rFonts w:eastAsia="宋体"/>
                              </w:rPr>
                            </w:pPr>
                            <w:r>
                              <w:rPr>
                                <w:rFonts w:hint="eastAsia"/>
                              </w:rPr>
                              <w:t>废气、噪声、固废</w:t>
                            </w:r>
                          </w:p>
                        </w:txbxContent>
                      </v:textbox>
                    </v:shape>
                  </w:pict>
                </mc:Fallback>
              </mc:AlternateContent>
            </w:r>
          </w:p>
          <w:p w14:paraId="2A1C6AD3">
            <w:pPr>
              <w:spacing w:line="360" w:lineRule="auto"/>
              <w:ind w:firstLine="480" w:firstLineChars="200"/>
              <w:jc w:val="center"/>
              <w:rPr>
                <w:rFonts w:ascii="Times New Roman" w:hAnsi="Times New Roman" w:cs="Times New Roman"/>
                <w:b/>
                <w:bCs/>
                <w:szCs w:val="21"/>
              </w:rPr>
            </w:pPr>
            <w:r>
              <w:rPr>
                <w:sz w:val="24"/>
              </w:rPr>
              <mc:AlternateContent>
                <mc:Choice Requires="wps">
                  <w:drawing>
                    <wp:anchor distT="0" distB="0" distL="114300" distR="114300" simplePos="0" relativeHeight="251680768" behindDoc="0" locked="0" layoutInCell="1" allowOverlap="1">
                      <wp:simplePos x="0" y="0"/>
                      <wp:positionH relativeFrom="column">
                        <wp:posOffset>1653540</wp:posOffset>
                      </wp:positionH>
                      <wp:positionV relativeFrom="paragraph">
                        <wp:posOffset>44450</wp:posOffset>
                      </wp:positionV>
                      <wp:extent cx="323215" cy="22225"/>
                      <wp:effectExtent l="635" t="33020" r="11430" b="51435"/>
                      <wp:wrapNone/>
                      <wp:docPr id="48" name="直接箭头连接符 48"/>
                      <wp:cNvGraphicFramePr/>
                      <a:graphic xmlns:a="http://schemas.openxmlformats.org/drawingml/2006/main">
                        <a:graphicData uri="http://schemas.microsoft.com/office/word/2010/wordprocessingShape">
                          <wps:wsp>
                            <wps:cNvCnPr/>
                            <wps:spPr>
                              <a:xfrm>
                                <a:off x="0" y="0"/>
                                <a:ext cx="323215" cy="22225"/>
                              </a:xfrm>
                              <a:prstGeom prst="straightConnector1">
                                <a:avLst/>
                              </a:prstGeom>
                              <a:ln w="6350" cap="flat" cmpd="sng" algn="ctr">
                                <a:solidFill>
                                  <a:schemeClr val="tx1"/>
                                </a:solidFill>
                                <a:prstDash val="dash"/>
                                <a:miter lim="800000"/>
                                <a:tailEnd type="arrow" w="med" len="med"/>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30.2pt;margin-top:3.5pt;height:1.75pt;width:25.45pt;z-index:251680768;mso-width-relative:page;mso-height-relative:page;" filled="f" stroked="t" coordsize="21600,21600" o:gfxdata="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h3bJI2QAAAAgBAAAPAAAAAAAA&#10;AAEAIAAAACIAAABkcnMvZG93bnJldi54bWxQSwECFAAUAAAACACHTuJAO+5gVxECAAD0AwAADgAA&#10;AAAAAAABACAAAAAoAQAAZHJzL2Uyb0RvYy54bWxQSwUGAAAAAAYABgBZAQAAqwUAAAAA&#10;">
                      <v:fill on="f" focussize="0,0"/>
                      <v:stroke weight="0.5pt" color="#000000 [3213]" miterlimit="8" joinstyle="miter" dashstyle="dash" endarrow="open"/>
                      <v:imagedata o:title=""/>
                      <o:lock v:ext="edit" aspectratio="f"/>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2618740</wp:posOffset>
                      </wp:positionH>
                      <wp:positionV relativeFrom="paragraph">
                        <wp:posOffset>24130</wp:posOffset>
                      </wp:positionV>
                      <wp:extent cx="370840" cy="19050"/>
                      <wp:effectExtent l="0" t="34290" r="10160" b="53340"/>
                      <wp:wrapNone/>
                      <wp:docPr id="22" name="直接箭头连接符 22"/>
                      <wp:cNvGraphicFramePr/>
                      <a:graphic xmlns:a="http://schemas.openxmlformats.org/drawingml/2006/main">
                        <a:graphicData uri="http://schemas.microsoft.com/office/word/2010/wordprocessingShape">
                          <wps:wsp>
                            <wps:cNvCnPr/>
                            <wps:spPr>
                              <a:xfrm>
                                <a:off x="3933190" y="2157730"/>
                                <a:ext cx="370840" cy="19050"/>
                              </a:xfrm>
                              <a:prstGeom prst="straightConnector1">
                                <a:avLst/>
                              </a:prstGeom>
                              <a:ln w="6350" cap="flat" cmpd="sng" algn="ctr">
                                <a:solidFill>
                                  <a:schemeClr val="tx1"/>
                                </a:solidFill>
                                <a:prstDash val="dash"/>
                                <a:miter lim="800000"/>
                                <a:tailEnd type="arrow" w="med" len="med"/>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6.2pt;margin-top:1.9pt;height:1.5pt;width:29.2pt;z-index:251675648;mso-width-relative:page;mso-height-relative:page;" filled="f" stroked="t" coordsize="21600,21600" o:gfxdata="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X2RUP2AAA&#10;AAcBAAAPAAAAAAAAAAEAIAAAACIAAABkcnMvZG93bnJldi54bWxQSwECFAAUAAAACACHTuJAo3pj&#10;vB4CAAAABAAADgAAAAAAAAABACAAAAAnAQAAZHJzL2Uyb0RvYy54bWxQSwUGAAAAAAYABgBZAQAA&#10;twUAAAAA&#10;">
                      <v:fill on="f" focussize="0,0"/>
                      <v:stroke weight="0.5pt" color="#000000 [3213]" miterlimit="8" joinstyle="miter" dashstyle="dash" endarrow="open"/>
                      <v:imagedata o:title=""/>
                      <o:lock v:ext="edit" aspectratio="f"/>
                    </v:shape>
                  </w:pict>
                </mc:Fallback>
              </mc:AlternateContent>
            </w:r>
          </w:p>
          <w:p w14:paraId="516A6644">
            <w:pPr>
              <w:spacing w:line="360" w:lineRule="auto"/>
              <w:ind w:firstLine="480" w:firstLineChars="200"/>
              <w:jc w:val="center"/>
              <w:rPr>
                <w:rFonts w:ascii="Times New Roman" w:hAnsi="Times New Roman" w:cs="Times New Roman"/>
                <w:b/>
                <w:bCs/>
                <w:szCs w:val="21"/>
              </w:rPr>
            </w:pPr>
            <w:r>
              <w:rPr>
                <w:sz w:val="24"/>
              </w:rPr>
              <mc:AlternateContent>
                <mc:Choice Requires="wps">
                  <w:drawing>
                    <wp:anchor distT="0" distB="0" distL="114300" distR="114300" simplePos="0" relativeHeight="251681792" behindDoc="0" locked="0" layoutInCell="1" allowOverlap="1">
                      <wp:simplePos x="0" y="0"/>
                      <wp:positionH relativeFrom="column">
                        <wp:posOffset>669925</wp:posOffset>
                      </wp:positionH>
                      <wp:positionV relativeFrom="paragraph">
                        <wp:posOffset>282575</wp:posOffset>
                      </wp:positionV>
                      <wp:extent cx="700405" cy="306705"/>
                      <wp:effectExtent l="0" t="0" r="635" b="13335"/>
                      <wp:wrapNone/>
                      <wp:docPr id="49" name="文本框 49"/>
                      <wp:cNvGraphicFramePr/>
                      <a:graphic xmlns:a="http://schemas.openxmlformats.org/drawingml/2006/main">
                        <a:graphicData uri="http://schemas.microsoft.com/office/word/2010/wordprocessingShape">
                          <wps:wsp>
                            <wps:cNvSpPr txBox="1"/>
                            <wps:spPr>
                              <a:xfrm>
                                <a:off x="0" y="0"/>
                                <a:ext cx="700405" cy="3067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5B1EAEF">
                                  <w:r>
                                    <w:rPr>
                                      <w:rFonts w:hint="eastAsia"/>
                                    </w:rPr>
                                    <w:t>水性漆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75pt;margin-top:22.25pt;height:24.15pt;width:55.15pt;z-index:251681792;mso-width-relative:page;mso-height-relative:page;" fillcolor="#FFFFFF [3201]" filled="t" stroked="f" coordsize="21600,21600" o:gfxdata="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1vVidQAAAAJAQAADwAAAAAA&#10;AAABACAAAAAiAAAAZHJzL2Rvd25yZXYueG1sUEsBAhQAFAAAAAgAh07iQH1GKUBQAgAAkAQAAA4A&#10;AAAAAAAAAQAgAAAAIwEAAGRycy9lMm9Eb2MueG1sUEsFBgAAAAAGAAYAWQEAAOUFAAAAAA==&#10;">
                      <v:fill on="t" focussize="0,0"/>
                      <v:stroke on="f" weight="0.5pt"/>
                      <v:imagedata o:title=""/>
                      <o:lock v:ext="edit" aspectratio="f"/>
                      <v:textbox>
                        <w:txbxContent>
                          <w:p w14:paraId="75B1EAEF">
                            <w:r>
                              <w:rPr>
                                <w:rFonts w:hint="eastAsia"/>
                              </w:rPr>
                              <w:t>水性漆</w:t>
                            </w:r>
                          </w:p>
                        </w:txbxContent>
                      </v:textbox>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3236595</wp:posOffset>
                      </wp:positionH>
                      <wp:positionV relativeFrom="paragraph">
                        <wp:posOffset>272415</wp:posOffset>
                      </wp:positionV>
                      <wp:extent cx="1238250" cy="304800"/>
                      <wp:effectExtent l="4445" t="4445" r="6985" b="10795"/>
                      <wp:wrapNone/>
                      <wp:docPr id="46" name="文本框 46"/>
                      <wp:cNvGraphicFramePr/>
                      <a:graphic xmlns:a="http://schemas.openxmlformats.org/drawingml/2006/main">
                        <a:graphicData uri="http://schemas.microsoft.com/office/word/2010/wordprocessingShape">
                          <wps:wsp>
                            <wps:cNvSpPr txBox="1"/>
                            <wps:spPr>
                              <a:xfrm>
                                <a:off x="0" y="0"/>
                                <a:ext cx="1238250" cy="3048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CD5081D">
                                  <w:pPr>
                                    <w:rPr>
                                      <w:rFonts w:eastAsia="宋体"/>
                                    </w:rPr>
                                  </w:pPr>
                                  <w:r>
                                    <w:rPr>
                                      <w:rFonts w:hint="eastAsia"/>
                                    </w:rPr>
                                    <w:t>废气、噪声、固废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85pt;margin-top:21.45pt;height:24pt;width:97.5pt;z-index:251678720;mso-width-relative:page;mso-height-relative:page;" fillcolor="#FFFFFF [3201]" filled="t" stroked="t" coordsize="21600,21600" o:gfxdata="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dyjwLYAAAACQEAAA8A&#10;AAAAAAAAAQAgAAAAIgAAAGRycy9kb3ducmV2LnhtbFBLAQIUABQAAAAIAIdO4kDFknOqUAIAALoE&#10;AAAOAAAAAAAAAAEAIAAAACcBAABkcnMvZTJvRG9jLnhtbFBLBQYAAAAABgAGAFkBAADpBQAAAAA=&#10;">
                      <v:fill on="t" focussize="0,0"/>
                      <v:stroke weight="0.5pt" color="#FFFFFF [3212]" joinstyle="round"/>
                      <v:imagedata o:title=""/>
                      <o:lock v:ext="edit" aspectratio="f"/>
                      <v:textbox>
                        <w:txbxContent>
                          <w:p w14:paraId="0CD5081D">
                            <w:pPr>
                              <w:rPr>
                                <w:rFonts w:eastAsia="宋体"/>
                              </w:rPr>
                            </w:pPr>
                            <w:r>
                              <w:rPr>
                                <w:rFonts w:hint="eastAsia"/>
                              </w:rPr>
                              <w:t>废气、噪声、固废</w:t>
                            </w:r>
                          </w:p>
                        </w:txbxContent>
                      </v:textbox>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1864360</wp:posOffset>
                      </wp:positionH>
                      <wp:positionV relativeFrom="paragraph">
                        <wp:posOffset>288290</wp:posOffset>
                      </wp:positionV>
                      <wp:extent cx="971550" cy="279400"/>
                      <wp:effectExtent l="4445" t="4445" r="14605" b="5715"/>
                      <wp:wrapNone/>
                      <wp:docPr id="44" name="文本框 44"/>
                      <wp:cNvGraphicFramePr/>
                      <a:graphic xmlns:a="http://schemas.openxmlformats.org/drawingml/2006/main">
                        <a:graphicData uri="http://schemas.microsoft.com/office/word/2010/wordprocessingShape">
                          <wps:wsp>
                            <wps:cNvSpPr txBox="1"/>
                            <wps:spPr>
                              <a:xfrm>
                                <a:off x="3564890" y="3563620"/>
                                <a:ext cx="971550" cy="279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5DF863C">
                                  <w:pPr>
                                    <w:rPr>
                                      <w:rFonts w:eastAsia="宋体"/>
                                    </w:rPr>
                                  </w:pPr>
                                  <w:r>
                                    <w:rPr>
                                      <w:rFonts w:hint="eastAsia" w:eastAsia="宋体"/>
                                    </w:rPr>
                                    <w:t>喷漆、烘干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8pt;margin-top:22.7pt;height:22pt;width:76.5pt;z-index:251672576;mso-width-relative:page;mso-height-relative:page;" fillcolor="#FFFFFF [3201]" filled="t" stroked="t" coordsize="21600,21600" o:gfxdata="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5rCWdYAAAAJAQAADwAAAAAAAAABACAAAAAiAAAAZHJzL2Rvd25yZXYueG1sUEsBAhQAFAAA&#10;AAgAh07iQM2488VjAgAAxAQAAA4AAAAAAAAAAQAgAAAAJQEAAGRycy9lMm9Eb2MueG1sUEsFBgAA&#10;AAAGAAYAWQEAAPoFAAAAAA==&#10;">
                      <v:fill on="t" focussize="0,0"/>
                      <v:stroke weight="0.5pt" color="#000000 [3204]" joinstyle="round"/>
                      <v:imagedata o:title=""/>
                      <o:lock v:ext="edit" aspectratio="f"/>
                      <v:textbox>
                        <w:txbxContent>
                          <w:p w14:paraId="75DF863C">
                            <w:pPr>
                              <w:rPr>
                                <w:rFonts w:eastAsia="宋体"/>
                              </w:rPr>
                            </w:pPr>
                            <w:r>
                              <w:rPr>
                                <w:rFonts w:hint="eastAsia" w:eastAsia="宋体"/>
                              </w:rPr>
                              <w:t>喷漆、烘干</w:t>
                            </w:r>
                          </w:p>
                        </w:txbxContent>
                      </v:textbox>
                    </v:shape>
                  </w:pict>
                </mc:Fallback>
              </mc:AlternateContent>
            </w:r>
          </w:p>
          <w:p w14:paraId="4EF01F70">
            <w:pPr>
              <w:spacing w:line="360" w:lineRule="auto"/>
              <w:ind w:firstLine="480" w:firstLineChars="200"/>
              <w:jc w:val="center"/>
              <w:rPr>
                <w:sz w:val="24"/>
              </w:rPr>
            </w:pPr>
            <w:r>
              <w:rPr>
                <w:sz w:val="24"/>
              </w:rPr>
              <mc:AlternateContent>
                <mc:Choice Requires="wps">
                  <w:drawing>
                    <wp:anchor distT="0" distB="0" distL="114300" distR="114300" simplePos="0" relativeHeight="251682816" behindDoc="0" locked="0" layoutInCell="1" allowOverlap="1">
                      <wp:simplePos x="0" y="0"/>
                      <wp:positionH relativeFrom="column">
                        <wp:posOffset>1440180</wp:posOffset>
                      </wp:positionH>
                      <wp:positionV relativeFrom="paragraph">
                        <wp:posOffset>107315</wp:posOffset>
                      </wp:positionV>
                      <wp:extent cx="387985" cy="3175"/>
                      <wp:effectExtent l="0" t="48260" r="8255" b="55245"/>
                      <wp:wrapNone/>
                      <wp:docPr id="50" name="直接箭头连接符 50"/>
                      <wp:cNvGraphicFramePr/>
                      <a:graphic xmlns:a="http://schemas.openxmlformats.org/drawingml/2006/main">
                        <a:graphicData uri="http://schemas.microsoft.com/office/word/2010/wordprocessingShape">
                          <wps:wsp>
                            <wps:cNvCnPr/>
                            <wps:spPr>
                              <a:xfrm flipV="1">
                                <a:off x="0" y="0"/>
                                <a:ext cx="387985" cy="3175"/>
                              </a:xfrm>
                              <a:prstGeom prst="straightConnector1">
                                <a:avLst/>
                              </a:prstGeom>
                              <a:ln w="6350" cap="flat" cmpd="sng" algn="ctr">
                                <a:solidFill>
                                  <a:schemeClr val="tx1"/>
                                </a:solidFill>
                                <a:prstDash val="dash"/>
                                <a:miter lim="800000"/>
                                <a:tailEnd type="arrow" w="med" len="med"/>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13.4pt;margin-top:8.45pt;height:0.25pt;width:30.55pt;z-index:251682816;mso-width-relative:page;mso-height-relative:page;" filled="f" stroked="t" coordsize="21600,21600" o:gfxdata="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rj2Q2AAAAAkBAAAP&#10;AAAAAAAAAAEAIAAAACIAAABkcnMvZG93bnJldi54bWxQSwECFAAUAAAACACHTuJAWbl9ihgCAAD9&#10;AwAADgAAAAAAAAABACAAAAAnAQAAZHJzL2Uyb0RvYy54bWxQSwUGAAAAAAYABgBZAQAAsQUAAAAA&#10;">
                      <v:fill on="f" focussize="0,0"/>
                      <v:stroke weight="0.5pt" color="#000000 [3213]" miterlimit="8" joinstyle="miter" dashstyle="dash" endarrow="open"/>
                      <v:imagedata o:title=""/>
                      <o:lock v:ext="edit" aspectratio="f"/>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2903220</wp:posOffset>
                      </wp:positionH>
                      <wp:positionV relativeFrom="paragraph">
                        <wp:posOffset>120650</wp:posOffset>
                      </wp:positionV>
                      <wp:extent cx="347345" cy="0"/>
                      <wp:effectExtent l="0" t="48895" r="3175" b="57785"/>
                      <wp:wrapNone/>
                      <wp:docPr id="47" name="直接箭头连接符 47"/>
                      <wp:cNvGraphicFramePr/>
                      <a:graphic xmlns:a="http://schemas.openxmlformats.org/drawingml/2006/main">
                        <a:graphicData uri="http://schemas.microsoft.com/office/word/2010/wordprocessingShape">
                          <wps:wsp>
                            <wps:cNvCnPr/>
                            <wps:spPr>
                              <a:xfrm>
                                <a:off x="0" y="0"/>
                                <a:ext cx="347345" cy="0"/>
                              </a:xfrm>
                              <a:prstGeom prst="straightConnector1">
                                <a:avLst/>
                              </a:prstGeom>
                              <a:ln w="6350" cap="flat" cmpd="sng" algn="ctr">
                                <a:solidFill>
                                  <a:schemeClr val="tx1"/>
                                </a:solidFill>
                                <a:prstDash val="dash"/>
                                <a:miter lim="800000"/>
                                <a:tailEnd type="arrow" w="med" len="med"/>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28.6pt;margin-top:9.5pt;height:0pt;width:27.35pt;z-index:251679744;mso-width-relative:page;mso-height-relative:page;" filled="f" stroked="t" coordsize="21600,21600" o:gfxdata="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ABMWNkAAAAJAQAADwAAAAAAAAAB&#10;ACAAAAAiAAAAZHJzL2Rvd25yZXYueG1sUEsBAhQAFAAAAAgAh07iQMTHYXcPAgAA8AMAAA4AAAAA&#10;AAAAAQAgAAAAKAEAAGRycy9lMm9Eb2MueG1sUEsFBgAAAAAGAAYAWQEAAKkFAAAAAA==&#10;">
                      <v:fill on="f" focussize="0,0"/>
                      <v:stroke weight="0.5pt" color="#000000 [3213]" miterlimit="8" joinstyle="miter" dashstyle="dash" endarrow="open"/>
                      <v:imagedata o:title=""/>
                      <o:lock v:ext="edit" aspectratio="f"/>
                    </v:shape>
                  </w:pict>
                </mc:Fallback>
              </mc:AlternateContent>
            </w:r>
          </w:p>
          <w:p w14:paraId="6C27AD4B">
            <w:pPr>
              <w:pStyle w:val="2"/>
              <w:ind w:left="900" w:hanging="480"/>
              <w:rPr>
                <w:sz w:val="24"/>
              </w:rPr>
            </w:pPr>
          </w:p>
          <w:p w14:paraId="56127855">
            <w:pPr>
              <w:pStyle w:val="2"/>
              <w:ind w:left="0" w:leftChars="0" w:firstLine="0" w:firstLineChars="0"/>
            </w:pPr>
          </w:p>
          <w:p w14:paraId="0555AFE6">
            <w:pPr>
              <w:spacing w:line="360" w:lineRule="auto"/>
              <w:rPr>
                <w:rFonts w:ascii="Times New Roman" w:hAnsi="Times New Roman" w:cs="Times New Roman"/>
                <w:b/>
                <w:bCs/>
                <w:szCs w:val="21"/>
              </w:rPr>
            </w:pPr>
          </w:p>
          <w:p w14:paraId="426564AC">
            <w:pPr>
              <w:pStyle w:val="4"/>
              <w:rPr>
                <w:lang w:val="en-US"/>
              </w:rPr>
            </w:pPr>
          </w:p>
          <w:p w14:paraId="6AA0D2D3">
            <w:pPr>
              <w:adjustRightInd w:val="0"/>
              <w:snapToGrid w:val="0"/>
              <w:spacing w:line="360" w:lineRule="auto"/>
              <w:jc w:val="center"/>
              <w:rPr>
                <w:rFonts w:ascii="Times New Roman" w:hAnsi="Times New Roman" w:cs="Times New Roman"/>
                <w:b/>
                <w:bCs/>
              </w:rPr>
            </w:pPr>
            <w:r>
              <w:rPr>
                <w:rFonts w:ascii="Times New Roman" w:hAnsi="Times New Roman" w:cs="Times New Roman"/>
                <w:b/>
                <w:bCs/>
              </w:rPr>
              <w:t>图2-</w:t>
            </w:r>
            <w:r>
              <w:rPr>
                <w:rFonts w:hint="eastAsia" w:ascii="Times New Roman" w:hAnsi="Times New Roman" w:cs="Times New Roman"/>
                <w:b/>
                <w:bCs/>
                <w:lang w:val="en-US" w:eastAsia="zh-CN"/>
              </w:rPr>
              <w:t>3</w:t>
            </w:r>
            <w:r>
              <w:rPr>
                <w:rFonts w:ascii="Times New Roman" w:hAnsi="Times New Roman" w:cs="Times New Roman"/>
                <w:b/>
                <w:bCs/>
              </w:rPr>
              <w:t xml:space="preserve">  </w:t>
            </w:r>
            <w:r>
              <w:rPr>
                <w:rFonts w:hint="eastAsia" w:ascii="Times New Roman" w:hAnsi="Times New Roman" w:cs="Times New Roman"/>
                <w:b/>
                <w:bCs/>
              </w:rPr>
              <w:t>生产</w:t>
            </w:r>
            <w:r>
              <w:rPr>
                <w:rFonts w:ascii="Times New Roman" w:hAnsi="Times New Roman" w:cs="Times New Roman"/>
                <w:b/>
                <w:bCs/>
              </w:rPr>
              <w:t>工艺流程图</w:t>
            </w:r>
          </w:p>
          <w:p w14:paraId="12BF08E9">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（2）</w:t>
            </w:r>
            <w:r>
              <w:rPr>
                <w:rFonts w:ascii="Times New Roman" w:hAnsi="Times New Roman" w:cs="Times New Roman"/>
                <w:sz w:val="24"/>
              </w:rPr>
              <w:t>工艺流程简述：</w:t>
            </w:r>
          </w:p>
          <w:p w14:paraId="528C7EC6">
            <w:pPr>
              <w:adjustRightInd w:val="0"/>
              <w:snapToGrid w:val="0"/>
              <w:spacing w:line="360" w:lineRule="auto"/>
              <w:ind w:firstLine="480" w:firstLineChars="200"/>
              <w:rPr>
                <w:rFonts w:ascii="Times New Roman" w:hAnsi="Times New Roman" w:cs="Times New Roman"/>
                <w:sz w:val="24"/>
              </w:rPr>
            </w:pPr>
            <w:commentRangeStart w:id="21"/>
            <w:commentRangeStart w:id="22"/>
            <w:r>
              <w:rPr>
                <w:rFonts w:ascii="Times New Roman" w:hAnsi="Times New Roman" w:cs="Times New Roman"/>
                <w:sz w:val="24"/>
              </w:rPr>
              <w:t>本</w:t>
            </w:r>
            <w:r>
              <w:rPr>
                <w:rFonts w:hint="eastAsia" w:ascii="Times New Roman" w:hAnsi="Times New Roman" w:cs="Times New Roman"/>
                <w:sz w:val="24"/>
              </w:rPr>
              <w:t>扩建</w:t>
            </w:r>
            <w:r>
              <w:rPr>
                <w:rFonts w:ascii="Times New Roman" w:hAnsi="Times New Roman" w:cs="Times New Roman"/>
                <w:sz w:val="24"/>
              </w:rPr>
              <w:t>项目</w:t>
            </w:r>
            <w:r>
              <w:rPr>
                <w:rFonts w:hint="eastAsia" w:ascii="Times New Roman" w:hAnsi="Times New Roman" w:cs="Times New Roman"/>
                <w:sz w:val="24"/>
              </w:rPr>
              <w:t>主要服务于新增外来订单，原料为订单内已完成</w:t>
            </w:r>
            <w:r>
              <w:rPr>
                <w:rFonts w:ascii="Times New Roman" w:hAnsi="Times New Roman" w:cs="Times New Roman"/>
                <w:sz w:val="24"/>
              </w:rPr>
              <w:t>渗锌</w:t>
            </w:r>
            <w:r>
              <w:rPr>
                <w:rFonts w:hint="eastAsia" w:ascii="Times New Roman" w:hAnsi="Times New Roman" w:cs="Times New Roman"/>
                <w:sz w:val="24"/>
              </w:rPr>
              <w:t>处理的钢零件。本项目利用扩建的全自动喷砂+喷漆烘干一体生产线，对</w:t>
            </w:r>
            <w:r>
              <w:rPr>
                <w:rFonts w:hint="eastAsia" w:ascii="Times New Roman" w:hAnsi="Times New Roman" w:cs="Times New Roman"/>
                <w:sz w:val="24"/>
                <w:lang w:val="en-US" w:eastAsia="zh-CN"/>
              </w:rPr>
              <w:t>订单内的已完成</w:t>
            </w:r>
            <w:r>
              <w:rPr>
                <w:rFonts w:ascii="Times New Roman" w:hAnsi="Times New Roman" w:cs="Times New Roman"/>
                <w:sz w:val="24"/>
              </w:rPr>
              <w:t>渗锌</w:t>
            </w:r>
            <w:r>
              <w:rPr>
                <w:rFonts w:hint="eastAsia" w:ascii="Times New Roman" w:hAnsi="Times New Roman" w:cs="Times New Roman"/>
                <w:sz w:val="24"/>
                <w:lang w:val="en-US" w:eastAsia="zh-CN"/>
              </w:rPr>
              <w:t>的</w:t>
            </w:r>
            <w:r>
              <w:rPr>
                <w:rFonts w:hint="eastAsia" w:ascii="Times New Roman" w:hAnsi="Times New Roman" w:cs="Times New Roman"/>
                <w:sz w:val="24"/>
              </w:rPr>
              <w:t>钢零件进行喷砂、喷漆及烘干加工处理。主要工艺如下：</w:t>
            </w:r>
            <w:commentRangeEnd w:id="21"/>
            <w:r>
              <w:commentReference w:id="21"/>
            </w:r>
            <w:commentRangeEnd w:id="22"/>
            <w:r>
              <w:commentReference w:id="22"/>
            </w:r>
          </w:p>
          <w:p w14:paraId="303F84B5">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①自动喷砂</w:t>
            </w:r>
          </w:p>
          <w:p w14:paraId="32CDCD86">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将工件</w:t>
            </w:r>
            <w:r>
              <w:rPr>
                <w:rFonts w:hint="eastAsia" w:ascii="Times New Roman" w:hAnsi="Times New Roman" w:cs="Times New Roman"/>
                <w:sz w:val="24"/>
              </w:rPr>
              <w:t>移送至喷砂机</w:t>
            </w:r>
            <w:r>
              <w:rPr>
                <w:rFonts w:ascii="Times New Roman" w:hAnsi="Times New Roman" w:cs="Times New Roman"/>
                <w:sz w:val="24"/>
              </w:rPr>
              <w:t>中，</w:t>
            </w:r>
            <w:r>
              <w:rPr>
                <w:rFonts w:hint="eastAsia" w:ascii="Times New Roman" w:hAnsi="Times New Roman" w:cs="Times New Roman"/>
                <w:sz w:val="24"/>
              </w:rPr>
              <w:t>采用砂子</w:t>
            </w:r>
            <w:r>
              <w:rPr>
                <w:rFonts w:ascii="Times New Roman" w:hAnsi="Times New Roman" w:cs="Times New Roman"/>
                <w:sz w:val="24"/>
              </w:rPr>
              <w:t>对</w:t>
            </w:r>
            <w:r>
              <w:rPr>
                <w:rFonts w:hint="eastAsia" w:ascii="Times New Roman" w:hAnsi="Times New Roman" w:cs="Times New Roman"/>
                <w:sz w:val="24"/>
              </w:rPr>
              <w:t>钢零件表面</w:t>
            </w:r>
            <w:r>
              <w:rPr>
                <w:rFonts w:ascii="Times New Roman" w:hAnsi="Times New Roman" w:cs="Times New Roman"/>
                <w:sz w:val="24"/>
              </w:rPr>
              <w:t>进行除锈</w:t>
            </w:r>
            <w:r>
              <w:rPr>
                <w:rFonts w:hint="eastAsia" w:ascii="Times New Roman" w:hAnsi="Times New Roman" w:cs="Times New Roman"/>
                <w:sz w:val="24"/>
              </w:rPr>
              <w:t>处理。</w:t>
            </w:r>
            <w:r>
              <w:rPr>
                <w:rFonts w:ascii="Times New Roman" w:hAnsi="Times New Roman" w:cs="Times New Roman"/>
                <w:sz w:val="24"/>
              </w:rPr>
              <w:t>根据工件材质和需求，</w:t>
            </w:r>
            <w:r>
              <w:rPr>
                <w:rFonts w:hint="eastAsia" w:ascii="Times New Roman" w:hAnsi="Times New Roman" w:cs="Times New Roman"/>
                <w:sz w:val="24"/>
              </w:rPr>
              <w:t>自动喷砂机</w:t>
            </w:r>
            <w:r>
              <w:rPr>
                <w:rFonts w:ascii="Times New Roman" w:hAnsi="Times New Roman" w:cs="Times New Roman"/>
                <w:sz w:val="24"/>
              </w:rPr>
              <w:t>调节</w:t>
            </w:r>
            <w:r>
              <w:rPr>
                <w:rFonts w:hint="eastAsia" w:ascii="Times New Roman" w:hAnsi="Times New Roman" w:cs="Times New Roman"/>
                <w:sz w:val="24"/>
              </w:rPr>
              <w:t>好</w:t>
            </w:r>
            <w:r>
              <w:rPr>
                <w:rFonts w:ascii="Times New Roman" w:hAnsi="Times New Roman" w:cs="Times New Roman"/>
                <w:sz w:val="24"/>
              </w:rPr>
              <w:t>气压（通常0.4MPa</w:t>
            </w:r>
            <w:r>
              <w:rPr>
                <w:rFonts w:hint="eastAsia" w:ascii="Times New Roman" w:hAnsi="Times New Roman" w:cs="Times New Roman"/>
                <w:sz w:val="24"/>
                <w:lang w:val="en-US" w:eastAsia="zh-CN"/>
              </w:rPr>
              <w:t>~</w:t>
            </w:r>
            <w:r>
              <w:rPr>
                <w:rFonts w:ascii="Times New Roman" w:hAnsi="Times New Roman" w:cs="Times New Roman"/>
                <w:sz w:val="24"/>
              </w:rPr>
              <w:t>0.8MPa）和喷射角度（30°</w:t>
            </w:r>
            <w:r>
              <w:rPr>
                <w:rFonts w:hint="eastAsia" w:ascii="Times New Roman" w:hAnsi="Times New Roman" w:cs="Times New Roman"/>
                <w:sz w:val="24"/>
                <w:lang w:val="en-US" w:eastAsia="zh-CN"/>
              </w:rPr>
              <w:t>~</w:t>
            </w:r>
            <w:r>
              <w:rPr>
                <w:rFonts w:ascii="Times New Roman" w:hAnsi="Times New Roman" w:cs="Times New Roman"/>
                <w:sz w:val="24"/>
              </w:rPr>
              <w:t>90°）</w:t>
            </w:r>
            <w:r>
              <w:rPr>
                <w:rFonts w:hint="eastAsia" w:ascii="Times New Roman" w:hAnsi="Times New Roman" w:cs="Times New Roman"/>
                <w:sz w:val="24"/>
              </w:rPr>
              <w:t>后，</w:t>
            </w:r>
            <w:r>
              <w:rPr>
                <w:rFonts w:ascii="Times New Roman" w:hAnsi="Times New Roman" w:cs="Times New Roman"/>
                <w:sz w:val="24"/>
              </w:rPr>
              <w:t>通过喷嘴高速喷射</w:t>
            </w:r>
            <w:r>
              <w:rPr>
                <w:rFonts w:hint="eastAsia" w:ascii="Times New Roman" w:hAnsi="Times New Roman" w:cs="Times New Roman"/>
                <w:sz w:val="24"/>
              </w:rPr>
              <w:t>的砂子</w:t>
            </w:r>
            <w:r>
              <w:rPr>
                <w:rFonts w:ascii="Times New Roman" w:hAnsi="Times New Roman" w:cs="Times New Roman"/>
                <w:sz w:val="24"/>
              </w:rPr>
              <w:t>冲击工件表面，均匀覆盖目标区域</w:t>
            </w:r>
            <w:r>
              <w:rPr>
                <w:rFonts w:hint="eastAsia" w:ascii="Times New Roman" w:hAnsi="Times New Roman" w:cs="Times New Roman"/>
                <w:sz w:val="24"/>
              </w:rPr>
              <w:t>，除去工件表面的锈迹</w:t>
            </w:r>
            <w:r>
              <w:rPr>
                <w:rFonts w:ascii="Times New Roman" w:hAnsi="Times New Roman" w:cs="Times New Roman"/>
                <w:sz w:val="24"/>
              </w:rPr>
              <w:t>。喷砂</w:t>
            </w:r>
            <w:r>
              <w:rPr>
                <w:rFonts w:hint="eastAsia" w:ascii="Times New Roman" w:hAnsi="Times New Roman" w:cs="Times New Roman"/>
                <w:sz w:val="24"/>
              </w:rPr>
              <w:t>完成后工件进入吹扫室内，通过空气喷枪</w:t>
            </w:r>
            <w:r>
              <w:rPr>
                <w:rFonts w:ascii="Times New Roman" w:hAnsi="Times New Roman" w:cs="Times New Roman"/>
                <w:sz w:val="24"/>
              </w:rPr>
              <w:t>清除</w:t>
            </w:r>
            <w:r>
              <w:rPr>
                <w:rFonts w:hint="eastAsia" w:ascii="Times New Roman" w:hAnsi="Times New Roman" w:cs="Times New Roman"/>
                <w:sz w:val="24"/>
              </w:rPr>
              <w:t>工件表面</w:t>
            </w:r>
            <w:r>
              <w:rPr>
                <w:rFonts w:ascii="Times New Roman" w:hAnsi="Times New Roman" w:cs="Times New Roman"/>
                <w:sz w:val="24"/>
              </w:rPr>
              <w:t>残留</w:t>
            </w:r>
            <w:r>
              <w:rPr>
                <w:rFonts w:hint="eastAsia" w:ascii="Times New Roman" w:hAnsi="Times New Roman" w:cs="Times New Roman"/>
                <w:sz w:val="24"/>
              </w:rPr>
              <w:t>的</w:t>
            </w:r>
            <w:r>
              <w:rPr>
                <w:rFonts w:ascii="Times New Roman" w:hAnsi="Times New Roman" w:cs="Times New Roman"/>
                <w:sz w:val="24"/>
              </w:rPr>
              <w:t>砂粒，</w:t>
            </w:r>
            <w:r>
              <w:rPr>
                <w:rFonts w:hint="eastAsia" w:ascii="Times New Roman" w:hAnsi="Times New Roman" w:cs="Times New Roman"/>
                <w:sz w:val="24"/>
              </w:rPr>
              <w:t>吹扫收集的砂料经喷砂机自带的</w:t>
            </w:r>
            <w:r>
              <w:rPr>
                <w:rFonts w:hint="eastAsia" w:ascii="Times New Roman" w:hAnsi="Times New Roman" w:eastAsia="宋体" w:cs="Times New Roman"/>
                <w:sz w:val="24"/>
              </w:rPr>
              <w:t>砂料分离系统筛选分离系统处理后，分选合格的砂料进入料仓循环使用，其余废物（碎颗粒和粉尘）经过滤后进入除尘系统处理，砂料分离系统筛选分离系统可确保进入除尘器的粉尘量尽可能</w:t>
            </w:r>
            <w:r>
              <w:rPr>
                <w:rFonts w:hint="eastAsia" w:ascii="Times New Roman" w:hAnsi="Times New Roman" w:eastAsia="宋体" w:cs="Times New Roman"/>
                <w:sz w:val="24"/>
                <w:lang w:eastAsia="zh-CN"/>
              </w:rPr>
              <w:t>地低</w:t>
            </w:r>
            <w:r>
              <w:rPr>
                <w:rFonts w:hint="eastAsia" w:ascii="Times New Roman" w:hAnsi="Times New Roman" w:eastAsia="宋体" w:cs="Times New Roman"/>
                <w:sz w:val="24"/>
              </w:rPr>
              <w:t>，减少除尘器的负荷，以便实现更高的排放标准</w:t>
            </w:r>
            <w:r>
              <w:rPr>
                <w:rFonts w:ascii="Times New Roman" w:hAnsi="Times New Roman" w:cs="Times New Roman"/>
                <w:sz w:val="24"/>
              </w:rPr>
              <w:t>。</w:t>
            </w:r>
            <w:r>
              <w:rPr>
                <w:rFonts w:hint="eastAsia" w:ascii="Times New Roman" w:hAnsi="Times New Roman" w:cs="Times New Roman"/>
                <w:sz w:val="24"/>
              </w:rPr>
              <w:t>此过程主要产生废气（粉尘）、设备噪声以及一般固废（废砂）以及除尘灰</w:t>
            </w:r>
            <w:r>
              <w:rPr>
                <w:rFonts w:ascii="Times New Roman" w:hAnsi="Times New Roman" w:cs="Times New Roman"/>
                <w:sz w:val="24"/>
              </w:rPr>
              <w:t>。</w:t>
            </w:r>
          </w:p>
          <w:p w14:paraId="33E230AB">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②自动喷漆</w:t>
            </w:r>
          </w:p>
          <w:p w14:paraId="2DA96C1B">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按照客户要求，部分工件需要进行二次封闭，且对工件要求较高，本项目采用水性漆对工件进行二次封闭，</w:t>
            </w:r>
            <w:r>
              <w:rPr>
                <w:rFonts w:ascii="Times New Roman" w:hAnsi="Times New Roman" w:cs="Times New Roman"/>
                <w:sz w:val="24"/>
              </w:rPr>
              <w:t>本项目设置密闭</w:t>
            </w:r>
            <w:r>
              <w:rPr>
                <w:rFonts w:hint="eastAsia" w:ascii="Times New Roman" w:hAnsi="Times New Roman" w:cs="Times New Roman"/>
                <w:sz w:val="24"/>
              </w:rPr>
              <w:t>自动</w:t>
            </w:r>
            <w:r>
              <w:rPr>
                <w:rFonts w:ascii="Times New Roman" w:hAnsi="Times New Roman" w:cs="Times New Roman"/>
                <w:sz w:val="24"/>
              </w:rPr>
              <w:t>喷漆房</w:t>
            </w:r>
            <w:r>
              <w:rPr>
                <w:rFonts w:hint="eastAsia" w:ascii="Times New Roman" w:hAnsi="Times New Roman" w:cs="Times New Roman"/>
                <w:sz w:val="24"/>
              </w:rPr>
              <w:t>（1.5m×2.5m×2.5m）及烘干房（0.8m×10m×1m）1座，采用电加热进行烘干。</w:t>
            </w:r>
          </w:p>
          <w:p w14:paraId="3536A9AF">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自动</w:t>
            </w:r>
            <w:r>
              <w:rPr>
                <w:rFonts w:ascii="Times New Roman" w:hAnsi="Times New Roman" w:cs="Times New Roman"/>
                <w:sz w:val="24"/>
              </w:rPr>
              <w:t>喷漆时，喷枪</w:t>
            </w:r>
            <w:r>
              <w:rPr>
                <w:rFonts w:hint="eastAsia" w:ascii="Times New Roman" w:hAnsi="Times New Roman" w:cs="Times New Roman"/>
                <w:sz w:val="24"/>
              </w:rPr>
              <w:t>采用高流低压喷枪（HVLP）</w:t>
            </w:r>
            <w:r>
              <w:rPr>
                <w:rFonts w:ascii="Times New Roman" w:hAnsi="Times New Roman" w:cs="Times New Roman"/>
                <w:sz w:val="24"/>
              </w:rPr>
              <w:t>，外部空气从喷漆房前端进入喷漆房内，气流在工件周围形成风幕</w:t>
            </w:r>
            <w:r>
              <w:rPr>
                <w:rFonts w:hint="eastAsia" w:ascii="Times New Roman" w:hAnsi="Times New Roman" w:cs="Times New Roman"/>
                <w:sz w:val="24"/>
              </w:rPr>
              <w:t>，</w:t>
            </w:r>
            <w:r>
              <w:rPr>
                <w:rFonts w:ascii="Times New Roman" w:hAnsi="Times New Roman" w:cs="Times New Roman"/>
                <w:sz w:val="24"/>
              </w:rPr>
              <w:t>漆房内有载风速可达0.4m/s，喷漆时产生的漆雾不会在操作者呼吸带处停留，而随气流迅速移动，在排</w:t>
            </w:r>
            <w:r>
              <w:rPr>
                <w:rFonts w:hint="eastAsia" w:ascii="Times New Roman" w:hAnsi="Times New Roman" w:cs="Times New Roman"/>
                <w:sz w:val="24"/>
              </w:rPr>
              <w:t>变频</w:t>
            </w:r>
            <w:r>
              <w:rPr>
                <w:rFonts w:ascii="Times New Roman" w:hAnsi="Times New Roman" w:cs="Times New Roman"/>
                <w:sz w:val="24"/>
              </w:rPr>
              <w:t>风机的作用下，</w:t>
            </w:r>
            <w:r>
              <w:rPr>
                <w:rFonts w:hint="eastAsia" w:ascii="Times New Roman" w:hAnsi="Times New Roman" w:cs="Times New Roman"/>
                <w:sz w:val="24"/>
              </w:rPr>
              <w:t>喷漆废气经过环保设备收集</w:t>
            </w:r>
            <w:r>
              <w:rPr>
                <w:rFonts w:ascii="Times New Roman" w:hAnsi="Times New Roman" w:cs="Times New Roman"/>
                <w:sz w:val="24"/>
              </w:rPr>
              <w:t>处理</w:t>
            </w:r>
            <w:r>
              <w:rPr>
                <w:rFonts w:hint="eastAsia" w:ascii="Times New Roman" w:hAnsi="Times New Roman" w:cs="Times New Roman"/>
                <w:sz w:val="24"/>
              </w:rPr>
              <w:t>。</w:t>
            </w:r>
            <w:r>
              <w:rPr>
                <w:rFonts w:ascii="Times New Roman" w:hAnsi="Times New Roman" w:cs="Times New Roman"/>
                <w:sz w:val="24"/>
              </w:rPr>
              <w:t>此过程主要产生有机废气</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漆渣、废水性漆桶</w:t>
            </w:r>
            <w:r>
              <w:rPr>
                <w:rFonts w:ascii="Times New Roman" w:hAnsi="Times New Roman" w:cs="Times New Roman"/>
                <w:sz w:val="24"/>
              </w:rPr>
              <w:t>以及噪声，废气处置过程中会产生废活性炭、废过滤棉</w:t>
            </w:r>
            <w:r>
              <w:rPr>
                <w:rFonts w:hint="eastAsia" w:ascii="Times New Roman" w:hAnsi="Times New Roman" w:cs="Times New Roman"/>
                <w:sz w:val="24"/>
              </w:rPr>
              <w:t>。</w:t>
            </w:r>
          </w:p>
          <w:p w14:paraId="31F22DEE">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③自动烘干：</w:t>
            </w:r>
            <w:r>
              <w:rPr>
                <w:rFonts w:ascii="Times New Roman" w:hAnsi="Times New Roman" w:cs="Times New Roman"/>
                <w:sz w:val="24"/>
              </w:rPr>
              <w:t>喷完漆后的工件</w:t>
            </w:r>
            <w:r>
              <w:rPr>
                <w:rFonts w:hint="eastAsia" w:ascii="Times New Roman" w:hAnsi="Times New Roman" w:cs="Times New Roman"/>
                <w:sz w:val="24"/>
              </w:rPr>
              <w:t>送入封闭烘干房内</w:t>
            </w:r>
            <w:r>
              <w:rPr>
                <w:rFonts w:ascii="Times New Roman" w:hAnsi="Times New Roman" w:cs="Times New Roman"/>
                <w:sz w:val="24"/>
              </w:rPr>
              <w:t>进行</w:t>
            </w:r>
            <w:r>
              <w:rPr>
                <w:rFonts w:hint="eastAsia" w:ascii="Times New Roman" w:hAnsi="Times New Roman" w:cs="Times New Roman"/>
                <w:sz w:val="24"/>
              </w:rPr>
              <w:t>烘干，采用电热风进行烘干，烘干温度为40-80°，烘干时长为15分钟。烘干后即为成品，</w:t>
            </w:r>
            <w:r>
              <w:rPr>
                <w:rFonts w:ascii="Times New Roman" w:hAnsi="Times New Roman" w:cs="Times New Roman"/>
                <w:sz w:val="24"/>
              </w:rPr>
              <w:t>此过程主要产生有机废气，废气处置过程中会产生</w:t>
            </w:r>
            <w:r>
              <w:rPr>
                <w:rFonts w:hint="eastAsia" w:ascii="Times New Roman" w:hAnsi="Times New Roman" w:cs="Times New Roman"/>
                <w:sz w:val="24"/>
              </w:rPr>
              <w:t>废过滤棉、</w:t>
            </w:r>
            <w:r>
              <w:rPr>
                <w:rFonts w:ascii="Times New Roman" w:hAnsi="Times New Roman" w:cs="Times New Roman"/>
                <w:sz w:val="24"/>
              </w:rPr>
              <w:t>废活性炭</w:t>
            </w:r>
            <w:r>
              <w:rPr>
                <w:rFonts w:hint="eastAsia" w:ascii="Times New Roman" w:hAnsi="Times New Roman" w:cs="Times New Roman"/>
                <w:sz w:val="24"/>
              </w:rPr>
              <w:t>。</w:t>
            </w:r>
          </w:p>
          <w:p w14:paraId="023E291A">
            <w:pPr>
              <w:keepNext/>
              <w:keepLines/>
              <w:widowControl/>
              <w:adjustRightInd w:val="0"/>
              <w:snapToGrid w:val="0"/>
              <w:spacing w:line="360" w:lineRule="auto"/>
              <w:ind w:firstLine="723" w:firstLineChars="300"/>
              <w:jc w:val="left"/>
              <w:outlineLvl w:val="0"/>
              <w:rPr>
                <w:rFonts w:ascii="Times New Roman" w:hAnsi="Times New Roman" w:eastAsia="黑体" w:cs="Times New Roman"/>
                <w:bCs/>
                <w:kern w:val="44"/>
                <w:sz w:val="24"/>
              </w:rPr>
            </w:pPr>
            <w:r>
              <w:rPr>
                <w:rFonts w:hint="eastAsia" w:ascii="Times New Roman" w:hAnsi="Times New Roman" w:eastAsia="宋体" w:cs="Times New Roman"/>
                <w:b/>
                <w:bCs/>
                <w:sz w:val="24"/>
              </w:rPr>
              <w:t>2、</w:t>
            </w:r>
            <w:r>
              <w:rPr>
                <w:rFonts w:ascii="Times New Roman" w:hAnsi="Times New Roman" w:eastAsia="宋体" w:cs="Times New Roman"/>
                <w:b/>
                <w:bCs/>
                <w:sz w:val="24"/>
              </w:rPr>
              <w:t>产污环节：</w:t>
            </w:r>
          </w:p>
          <w:p w14:paraId="21913EFE">
            <w:pPr>
              <w:spacing w:line="360" w:lineRule="auto"/>
              <w:ind w:firstLine="480" w:firstLineChars="200"/>
              <w:jc w:val="left"/>
              <w:rPr>
                <w:rFonts w:ascii="Times New Roman" w:hAnsi="Times New Roman" w:cs="Times New Roman"/>
                <w:bCs/>
                <w:sz w:val="24"/>
              </w:rPr>
            </w:pPr>
            <w:r>
              <w:rPr>
                <w:rFonts w:ascii="Times New Roman" w:hAnsi="Times New Roman" w:cs="Times New Roman"/>
                <w:bCs/>
                <w:sz w:val="24"/>
              </w:rPr>
              <w:t>本项目运营期的产污环节及污染因子详见下表。</w:t>
            </w:r>
          </w:p>
          <w:p w14:paraId="3CE38445">
            <w:pPr>
              <w:ind w:firstLine="422" w:firstLineChars="200"/>
              <w:jc w:val="center"/>
              <w:rPr>
                <w:rFonts w:ascii="Times New Roman" w:hAnsi="Times New Roman" w:cs="Times New Roman"/>
                <w:b/>
                <w:szCs w:val="21"/>
              </w:rPr>
            </w:pPr>
            <w:r>
              <w:rPr>
                <w:rFonts w:ascii="Times New Roman" w:hAnsi="Times New Roman" w:cs="Times New Roman"/>
                <w:b/>
                <w:szCs w:val="21"/>
              </w:rPr>
              <w:t>表2-</w:t>
            </w:r>
            <w:r>
              <w:rPr>
                <w:rFonts w:hint="eastAsia" w:ascii="Times New Roman" w:hAnsi="Times New Roman" w:cs="Times New Roman"/>
                <w:b/>
                <w:szCs w:val="21"/>
              </w:rPr>
              <w:t>1</w:t>
            </w:r>
            <w:r>
              <w:rPr>
                <w:rFonts w:hint="eastAsia" w:ascii="Times New Roman" w:hAnsi="Times New Roman" w:cs="Times New Roman"/>
                <w:b/>
                <w:szCs w:val="21"/>
                <w:lang w:val="en-US" w:eastAsia="zh-CN"/>
              </w:rPr>
              <w:t>1</w:t>
            </w:r>
            <w:r>
              <w:rPr>
                <w:rFonts w:ascii="Times New Roman" w:hAnsi="Times New Roman" w:cs="Times New Roman"/>
                <w:b/>
                <w:szCs w:val="21"/>
              </w:rPr>
              <w:t xml:space="preserve">  运营期产污环节及污染因子</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42"/>
              <w:gridCol w:w="1288"/>
              <w:gridCol w:w="2815"/>
              <w:gridCol w:w="3530"/>
            </w:tblGrid>
            <w:tr w14:paraId="027260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43" w:type="pct"/>
                  <w:gridSpan w:val="2"/>
                  <w:tcBorders>
                    <w:tl2br w:val="nil"/>
                    <w:tr2bl w:val="nil"/>
                  </w:tcBorders>
                  <w:vAlign w:val="center"/>
                </w:tcPr>
                <w:p w14:paraId="7EBB1AA6">
                  <w:pPr>
                    <w:jc w:val="center"/>
                    <w:rPr>
                      <w:rFonts w:ascii="Times New Roman" w:hAnsi="Times New Roman" w:cs="Times New Roman"/>
                      <w:szCs w:val="21"/>
                    </w:rPr>
                  </w:pPr>
                  <w:r>
                    <w:rPr>
                      <w:rFonts w:ascii="Times New Roman" w:hAnsi="Times New Roman" w:cs="Times New Roman"/>
                      <w:szCs w:val="21"/>
                    </w:rPr>
                    <w:t>类型</w:t>
                  </w:r>
                </w:p>
              </w:tc>
              <w:tc>
                <w:tcPr>
                  <w:tcW w:w="1622" w:type="pct"/>
                  <w:tcBorders>
                    <w:tl2br w:val="nil"/>
                    <w:tr2bl w:val="nil"/>
                  </w:tcBorders>
                  <w:vAlign w:val="center"/>
                </w:tcPr>
                <w:p w14:paraId="20539BD8">
                  <w:pPr>
                    <w:jc w:val="center"/>
                    <w:rPr>
                      <w:rFonts w:ascii="Times New Roman" w:hAnsi="Times New Roman" w:cs="Times New Roman"/>
                      <w:szCs w:val="21"/>
                    </w:rPr>
                  </w:pPr>
                  <w:r>
                    <w:rPr>
                      <w:rFonts w:ascii="Times New Roman" w:hAnsi="Times New Roman" w:cs="Times New Roman"/>
                      <w:szCs w:val="21"/>
                    </w:rPr>
                    <w:t>产生工序</w:t>
                  </w:r>
                </w:p>
              </w:tc>
              <w:tc>
                <w:tcPr>
                  <w:tcW w:w="2034" w:type="pct"/>
                  <w:tcBorders>
                    <w:tl2br w:val="nil"/>
                    <w:tr2bl w:val="nil"/>
                  </w:tcBorders>
                  <w:vAlign w:val="center"/>
                </w:tcPr>
                <w:p w14:paraId="12617117">
                  <w:pPr>
                    <w:jc w:val="center"/>
                    <w:rPr>
                      <w:rFonts w:ascii="Times New Roman" w:hAnsi="Times New Roman" w:cs="Times New Roman"/>
                      <w:szCs w:val="21"/>
                    </w:rPr>
                  </w:pPr>
                  <w:r>
                    <w:rPr>
                      <w:rFonts w:ascii="Times New Roman" w:hAnsi="Times New Roman" w:cs="Times New Roman"/>
                      <w:szCs w:val="21"/>
                    </w:rPr>
                    <w:t>主要污染物</w:t>
                  </w:r>
                </w:p>
              </w:tc>
            </w:tr>
            <w:tr w14:paraId="6DA6D9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1" w:type="pct"/>
                  <w:vMerge w:val="restart"/>
                  <w:tcBorders>
                    <w:tl2br w:val="nil"/>
                    <w:tr2bl w:val="nil"/>
                  </w:tcBorders>
                  <w:vAlign w:val="center"/>
                </w:tcPr>
                <w:p w14:paraId="38DE9951">
                  <w:pPr>
                    <w:jc w:val="center"/>
                    <w:rPr>
                      <w:rFonts w:ascii="Times New Roman" w:hAnsi="Times New Roman" w:cs="Times New Roman"/>
                      <w:szCs w:val="21"/>
                    </w:rPr>
                  </w:pPr>
                  <w:r>
                    <w:rPr>
                      <w:rFonts w:hint="eastAsia" w:ascii="Times New Roman" w:hAnsi="Times New Roman" w:cs="Times New Roman"/>
                      <w:szCs w:val="21"/>
                    </w:rPr>
                    <w:t>废气</w:t>
                  </w:r>
                </w:p>
              </w:tc>
              <w:tc>
                <w:tcPr>
                  <w:tcW w:w="742" w:type="pct"/>
                  <w:tcBorders>
                    <w:tl2br w:val="nil"/>
                    <w:tr2bl w:val="nil"/>
                  </w:tcBorders>
                  <w:vAlign w:val="center"/>
                </w:tcPr>
                <w:p w14:paraId="67FDE3F7">
                  <w:pPr>
                    <w:jc w:val="center"/>
                    <w:rPr>
                      <w:rFonts w:ascii="Times New Roman" w:hAnsi="Times New Roman" w:cs="Times New Roman"/>
                      <w:szCs w:val="21"/>
                    </w:rPr>
                  </w:pPr>
                  <w:r>
                    <w:rPr>
                      <w:rFonts w:hint="eastAsia" w:ascii="Times New Roman" w:hAnsi="Times New Roman" w:cs="Times New Roman"/>
                      <w:szCs w:val="21"/>
                    </w:rPr>
                    <w:t>喷砂废气</w:t>
                  </w:r>
                </w:p>
              </w:tc>
              <w:tc>
                <w:tcPr>
                  <w:tcW w:w="1622" w:type="pct"/>
                  <w:tcBorders>
                    <w:tl2br w:val="nil"/>
                    <w:tr2bl w:val="nil"/>
                  </w:tcBorders>
                  <w:vAlign w:val="center"/>
                </w:tcPr>
                <w:p w14:paraId="6CA25B4F">
                  <w:pPr>
                    <w:jc w:val="center"/>
                    <w:rPr>
                      <w:rFonts w:ascii="Times New Roman" w:hAnsi="Times New Roman" w:cs="Times New Roman"/>
                      <w:szCs w:val="21"/>
                    </w:rPr>
                  </w:pPr>
                  <w:r>
                    <w:rPr>
                      <w:rFonts w:hint="eastAsia" w:ascii="Times New Roman" w:hAnsi="Times New Roman" w:cs="Times New Roman"/>
                      <w:szCs w:val="21"/>
                    </w:rPr>
                    <w:t>自动喷砂</w:t>
                  </w:r>
                  <w:r>
                    <w:rPr>
                      <w:rFonts w:ascii="Times New Roman" w:hAnsi="Times New Roman" w:cs="Times New Roman"/>
                      <w:szCs w:val="21"/>
                    </w:rPr>
                    <w:t>工序</w:t>
                  </w:r>
                </w:p>
              </w:tc>
              <w:tc>
                <w:tcPr>
                  <w:tcW w:w="2034" w:type="pct"/>
                  <w:tcBorders>
                    <w:tl2br w:val="nil"/>
                    <w:tr2bl w:val="nil"/>
                  </w:tcBorders>
                  <w:vAlign w:val="center"/>
                </w:tcPr>
                <w:p w14:paraId="2C21C030">
                  <w:pPr>
                    <w:jc w:val="center"/>
                    <w:rPr>
                      <w:rFonts w:ascii="Times New Roman" w:hAnsi="Times New Roman" w:cs="Times New Roman"/>
                      <w:szCs w:val="21"/>
                    </w:rPr>
                  </w:pPr>
                  <w:r>
                    <w:rPr>
                      <w:rFonts w:hint="eastAsia" w:ascii="Times New Roman" w:hAnsi="Times New Roman" w:cs="Times New Roman"/>
                      <w:szCs w:val="21"/>
                    </w:rPr>
                    <w:t>颗粒物</w:t>
                  </w:r>
                </w:p>
              </w:tc>
            </w:tr>
            <w:tr w14:paraId="55314C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1" w:type="pct"/>
                  <w:vMerge w:val="continue"/>
                  <w:tcBorders>
                    <w:tl2br w:val="nil"/>
                    <w:tr2bl w:val="nil"/>
                  </w:tcBorders>
                  <w:vAlign w:val="center"/>
                </w:tcPr>
                <w:p w14:paraId="367F19F4">
                  <w:pPr>
                    <w:jc w:val="center"/>
                    <w:rPr>
                      <w:rFonts w:ascii="Times New Roman" w:hAnsi="Times New Roman" w:cs="Times New Roman"/>
                      <w:szCs w:val="21"/>
                    </w:rPr>
                  </w:pPr>
                </w:p>
              </w:tc>
              <w:tc>
                <w:tcPr>
                  <w:tcW w:w="742" w:type="pct"/>
                  <w:tcBorders>
                    <w:tl2br w:val="nil"/>
                    <w:tr2bl w:val="nil"/>
                  </w:tcBorders>
                  <w:vAlign w:val="center"/>
                </w:tcPr>
                <w:p w14:paraId="7A4DB95A">
                  <w:pPr>
                    <w:jc w:val="center"/>
                    <w:rPr>
                      <w:rFonts w:ascii="Times New Roman" w:hAnsi="Times New Roman" w:cs="Times New Roman"/>
                      <w:szCs w:val="21"/>
                    </w:rPr>
                  </w:pPr>
                  <w:r>
                    <w:rPr>
                      <w:rFonts w:hint="eastAsia" w:ascii="Times New Roman" w:hAnsi="Times New Roman" w:cs="Times New Roman"/>
                      <w:szCs w:val="21"/>
                    </w:rPr>
                    <w:t>喷涂废气</w:t>
                  </w:r>
                </w:p>
              </w:tc>
              <w:tc>
                <w:tcPr>
                  <w:tcW w:w="1622" w:type="pct"/>
                  <w:tcBorders>
                    <w:tl2br w:val="nil"/>
                    <w:tr2bl w:val="nil"/>
                  </w:tcBorders>
                  <w:vAlign w:val="center"/>
                </w:tcPr>
                <w:p w14:paraId="50B49B16">
                  <w:pPr>
                    <w:jc w:val="center"/>
                    <w:rPr>
                      <w:rFonts w:ascii="Times New Roman" w:hAnsi="Times New Roman" w:cs="Times New Roman"/>
                      <w:szCs w:val="21"/>
                    </w:rPr>
                  </w:pPr>
                  <w:r>
                    <w:rPr>
                      <w:rFonts w:hint="eastAsia" w:ascii="Times New Roman" w:hAnsi="Times New Roman" w:cs="Times New Roman"/>
                      <w:szCs w:val="21"/>
                    </w:rPr>
                    <w:t>自动喷漆烘干</w:t>
                  </w:r>
                  <w:r>
                    <w:rPr>
                      <w:rFonts w:ascii="Times New Roman" w:hAnsi="Times New Roman" w:cs="Times New Roman"/>
                      <w:szCs w:val="21"/>
                    </w:rPr>
                    <w:t>工序</w:t>
                  </w:r>
                </w:p>
              </w:tc>
              <w:tc>
                <w:tcPr>
                  <w:tcW w:w="2034" w:type="pct"/>
                  <w:tcBorders>
                    <w:tl2br w:val="nil"/>
                    <w:tr2bl w:val="nil"/>
                  </w:tcBorders>
                  <w:vAlign w:val="center"/>
                </w:tcPr>
                <w:p w14:paraId="609EACE2">
                  <w:pPr>
                    <w:jc w:val="center"/>
                    <w:rPr>
                      <w:rFonts w:ascii="Times New Roman" w:hAnsi="Times New Roman" w:cs="Times New Roman"/>
                      <w:szCs w:val="21"/>
                    </w:rPr>
                  </w:pPr>
                  <w:r>
                    <w:rPr>
                      <w:rFonts w:hint="eastAsia" w:ascii="Times New Roman" w:hAnsi="Times New Roman" w:cs="Times New Roman"/>
                      <w:szCs w:val="21"/>
                    </w:rPr>
                    <w:t>颗粒物、非甲烷总烃</w:t>
                  </w:r>
                </w:p>
              </w:tc>
            </w:tr>
            <w:tr w14:paraId="09033F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1" w:type="pct"/>
                  <w:vMerge w:val="restart"/>
                  <w:tcBorders>
                    <w:tl2br w:val="nil"/>
                    <w:tr2bl w:val="nil"/>
                  </w:tcBorders>
                  <w:vAlign w:val="center"/>
                </w:tcPr>
                <w:p w14:paraId="45B87DD0">
                  <w:pPr>
                    <w:jc w:val="center"/>
                    <w:rPr>
                      <w:rFonts w:ascii="Times New Roman" w:hAnsi="Times New Roman" w:cs="Times New Roman"/>
                      <w:szCs w:val="21"/>
                    </w:rPr>
                  </w:pPr>
                  <w:r>
                    <w:rPr>
                      <w:rFonts w:ascii="Times New Roman" w:hAnsi="Times New Roman" w:cs="Times New Roman"/>
                      <w:szCs w:val="21"/>
                    </w:rPr>
                    <w:t>固废</w:t>
                  </w:r>
                </w:p>
              </w:tc>
              <w:tc>
                <w:tcPr>
                  <w:tcW w:w="742" w:type="pct"/>
                  <w:tcBorders>
                    <w:tl2br w:val="nil"/>
                    <w:tr2bl w:val="nil"/>
                  </w:tcBorders>
                  <w:shd w:val="clear" w:color="auto" w:fill="auto"/>
                  <w:vAlign w:val="center"/>
                </w:tcPr>
                <w:p w14:paraId="1D2980E7">
                  <w:pPr>
                    <w:jc w:val="center"/>
                    <w:rPr>
                      <w:rFonts w:ascii="Times New Roman" w:hAnsi="Times New Roman" w:cs="Times New Roman"/>
                      <w:szCs w:val="21"/>
                    </w:rPr>
                  </w:pPr>
                  <w:r>
                    <w:rPr>
                      <w:rFonts w:ascii="Times New Roman" w:hAnsi="Times New Roman" w:cs="Times New Roman"/>
                      <w:szCs w:val="21"/>
                    </w:rPr>
                    <w:t>一般工业固废</w:t>
                  </w:r>
                </w:p>
              </w:tc>
              <w:tc>
                <w:tcPr>
                  <w:tcW w:w="1622" w:type="pct"/>
                  <w:tcBorders>
                    <w:tl2br w:val="nil"/>
                    <w:tr2bl w:val="nil"/>
                  </w:tcBorders>
                  <w:shd w:val="clear" w:color="auto" w:fill="auto"/>
                  <w:vAlign w:val="center"/>
                </w:tcPr>
                <w:p w14:paraId="3473E7C6">
                  <w:pPr>
                    <w:jc w:val="center"/>
                    <w:rPr>
                      <w:rFonts w:ascii="Times New Roman" w:hAnsi="Times New Roman" w:cs="Times New Roman"/>
                      <w:szCs w:val="21"/>
                    </w:rPr>
                  </w:pPr>
                  <w:r>
                    <w:rPr>
                      <w:rFonts w:hint="eastAsia" w:ascii="Times New Roman" w:hAnsi="Times New Roman" w:cs="Times New Roman"/>
                      <w:szCs w:val="21"/>
                    </w:rPr>
                    <w:t>自动喷砂</w:t>
                  </w:r>
                </w:p>
              </w:tc>
              <w:tc>
                <w:tcPr>
                  <w:tcW w:w="2034" w:type="pct"/>
                  <w:tcBorders>
                    <w:tl2br w:val="nil"/>
                    <w:tr2bl w:val="nil"/>
                  </w:tcBorders>
                  <w:shd w:val="clear" w:color="auto" w:fill="auto"/>
                  <w:vAlign w:val="center"/>
                </w:tcPr>
                <w:p w14:paraId="0B113D96">
                  <w:pPr>
                    <w:jc w:val="center"/>
                    <w:rPr>
                      <w:rFonts w:ascii="Times New Roman" w:hAnsi="Times New Roman" w:cs="Times New Roman"/>
                      <w:szCs w:val="21"/>
                    </w:rPr>
                  </w:pPr>
                  <w:r>
                    <w:rPr>
                      <w:rFonts w:hint="eastAsia" w:ascii="Times New Roman" w:hAnsi="Times New Roman" w:cs="Times New Roman"/>
                      <w:szCs w:val="21"/>
                    </w:rPr>
                    <w:t>废砂、除尘粉</w:t>
                  </w:r>
                </w:p>
              </w:tc>
            </w:tr>
            <w:tr w14:paraId="1E84D8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1" w:type="pct"/>
                  <w:vMerge w:val="continue"/>
                  <w:tcBorders>
                    <w:tl2br w:val="nil"/>
                    <w:tr2bl w:val="nil"/>
                  </w:tcBorders>
                  <w:vAlign w:val="center"/>
                </w:tcPr>
                <w:p w14:paraId="01AB8520">
                  <w:pPr>
                    <w:jc w:val="center"/>
                    <w:rPr>
                      <w:rFonts w:ascii="Times New Roman" w:hAnsi="Times New Roman" w:cs="Times New Roman"/>
                      <w:szCs w:val="21"/>
                    </w:rPr>
                  </w:pPr>
                </w:p>
              </w:tc>
              <w:tc>
                <w:tcPr>
                  <w:tcW w:w="742" w:type="pct"/>
                  <w:tcBorders>
                    <w:tl2br w:val="nil"/>
                    <w:tr2bl w:val="nil"/>
                  </w:tcBorders>
                  <w:shd w:val="clear" w:color="auto" w:fill="auto"/>
                  <w:vAlign w:val="center"/>
                </w:tcPr>
                <w:p w14:paraId="47D4E469">
                  <w:pPr>
                    <w:jc w:val="center"/>
                    <w:rPr>
                      <w:rFonts w:ascii="Times New Roman" w:hAnsi="Times New Roman" w:cs="Times New Roman"/>
                      <w:szCs w:val="21"/>
                      <w:lang w:val="zh-CN"/>
                    </w:rPr>
                  </w:pPr>
                  <w:r>
                    <w:rPr>
                      <w:rFonts w:ascii="Times New Roman" w:hAnsi="Times New Roman" w:cs="Times New Roman"/>
                      <w:szCs w:val="21"/>
                    </w:rPr>
                    <w:t>危险废物</w:t>
                  </w:r>
                </w:p>
              </w:tc>
              <w:tc>
                <w:tcPr>
                  <w:tcW w:w="1622" w:type="pct"/>
                  <w:tcBorders>
                    <w:tl2br w:val="nil"/>
                    <w:tr2bl w:val="nil"/>
                  </w:tcBorders>
                  <w:shd w:val="clear" w:color="auto" w:fill="auto"/>
                  <w:vAlign w:val="center"/>
                </w:tcPr>
                <w:p w14:paraId="5D5307CF">
                  <w:pPr>
                    <w:jc w:val="center"/>
                    <w:rPr>
                      <w:rFonts w:ascii="Times New Roman" w:hAnsi="Times New Roman" w:cs="Times New Roman"/>
                      <w:szCs w:val="21"/>
                    </w:rPr>
                  </w:pPr>
                  <w:r>
                    <w:rPr>
                      <w:rFonts w:hint="eastAsia" w:ascii="Times New Roman" w:hAnsi="Times New Roman" w:cs="Times New Roman"/>
                      <w:szCs w:val="21"/>
                    </w:rPr>
                    <w:t>自动喷漆烘干</w:t>
                  </w:r>
                  <w:r>
                    <w:rPr>
                      <w:rFonts w:ascii="Times New Roman" w:hAnsi="Times New Roman" w:cs="Times New Roman"/>
                      <w:szCs w:val="21"/>
                    </w:rPr>
                    <w:t>工序</w:t>
                  </w:r>
                </w:p>
              </w:tc>
              <w:tc>
                <w:tcPr>
                  <w:tcW w:w="2034" w:type="pct"/>
                  <w:tcBorders>
                    <w:tl2br w:val="nil"/>
                    <w:tr2bl w:val="nil"/>
                  </w:tcBorders>
                  <w:shd w:val="clear" w:color="auto" w:fill="auto"/>
                  <w:vAlign w:val="center"/>
                </w:tcPr>
                <w:p w14:paraId="5A57149E">
                  <w:pPr>
                    <w:jc w:val="center"/>
                    <w:rPr>
                      <w:rFonts w:ascii="Times New Roman" w:hAnsi="Times New Roman" w:cs="Times New Roman"/>
                      <w:szCs w:val="21"/>
                    </w:rPr>
                  </w:pPr>
                  <w:r>
                    <w:rPr>
                      <w:rFonts w:hint="eastAsia" w:ascii="Times New Roman" w:hAnsi="Times New Roman" w:cs="Times New Roman"/>
                      <w:szCs w:val="21"/>
                    </w:rPr>
                    <w:t>废活性炭、废过滤棉</w:t>
                  </w:r>
                  <w:r>
                    <w:rPr>
                      <w:rFonts w:hint="eastAsia" w:ascii="Times New Roman" w:hAnsi="Times New Roman" w:cs="Times New Roman"/>
                      <w:szCs w:val="21"/>
                      <w:lang w:eastAsia="zh-CN"/>
                    </w:rPr>
                    <w:t>、</w:t>
                  </w:r>
                  <w:r>
                    <w:rPr>
                      <w:rFonts w:hint="eastAsia" w:ascii="Times New Roman" w:hAnsi="Times New Roman" w:cs="Times New Roman"/>
                      <w:szCs w:val="21"/>
                    </w:rPr>
                    <w:t>废水性漆桶、漆渣</w:t>
                  </w:r>
                </w:p>
              </w:tc>
            </w:tr>
            <w:tr w14:paraId="38362A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43" w:type="pct"/>
                  <w:gridSpan w:val="2"/>
                  <w:tcBorders>
                    <w:tl2br w:val="nil"/>
                    <w:tr2bl w:val="nil"/>
                  </w:tcBorders>
                  <w:vAlign w:val="center"/>
                </w:tcPr>
                <w:p w14:paraId="6883CB19">
                  <w:pPr>
                    <w:jc w:val="center"/>
                    <w:rPr>
                      <w:rFonts w:ascii="Times New Roman" w:hAnsi="Times New Roman" w:cs="Times New Roman"/>
                      <w:szCs w:val="21"/>
                    </w:rPr>
                  </w:pPr>
                  <w:r>
                    <w:rPr>
                      <w:rFonts w:ascii="Times New Roman" w:hAnsi="Times New Roman" w:cs="Times New Roman"/>
                      <w:szCs w:val="21"/>
                    </w:rPr>
                    <w:t>噪声</w:t>
                  </w:r>
                </w:p>
              </w:tc>
              <w:tc>
                <w:tcPr>
                  <w:tcW w:w="1622" w:type="pct"/>
                  <w:tcBorders>
                    <w:tl2br w:val="nil"/>
                    <w:tr2bl w:val="nil"/>
                  </w:tcBorders>
                  <w:vAlign w:val="center"/>
                </w:tcPr>
                <w:p w14:paraId="59C109BD">
                  <w:pPr>
                    <w:jc w:val="center"/>
                    <w:rPr>
                      <w:rFonts w:ascii="Times New Roman" w:hAnsi="Times New Roman" w:cs="Times New Roman"/>
                      <w:szCs w:val="21"/>
                    </w:rPr>
                  </w:pPr>
                  <w:r>
                    <w:rPr>
                      <w:rFonts w:ascii="Times New Roman" w:hAnsi="Times New Roman" w:cs="Times New Roman"/>
                      <w:szCs w:val="21"/>
                    </w:rPr>
                    <w:t>生产过程</w:t>
                  </w:r>
                </w:p>
              </w:tc>
              <w:tc>
                <w:tcPr>
                  <w:tcW w:w="2034" w:type="pct"/>
                  <w:tcBorders>
                    <w:tl2br w:val="nil"/>
                    <w:tr2bl w:val="nil"/>
                  </w:tcBorders>
                  <w:vAlign w:val="center"/>
                </w:tcPr>
                <w:p w14:paraId="618A23E5">
                  <w:pPr>
                    <w:jc w:val="center"/>
                    <w:rPr>
                      <w:rFonts w:ascii="Times New Roman" w:hAnsi="Times New Roman" w:cs="Times New Roman"/>
                      <w:szCs w:val="21"/>
                    </w:rPr>
                  </w:pPr>
                  <w:r>
                    <w:rPr>
                      <w:rFonts w:ascii="Times New Roman" w:hAnsi="Times New Roman" w:cs="Times New Roman"/>
                      <w:szCs w:val="21"/>
                    </w:rPr>
                    <w:t>生产设备噪声</w:t>
                  </w:r>
                </w:p>
              </w:tc>
            </w:tr>
          </w:tbl>
          <w:p w14:paraId="09A9955B"/>
        </w:tc>
      </w:tr>
      <w:tr w14:paraId="46012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61" w:hRule="atLeast"/>
          <w:jc w:val="center"/>
        </w:trPr>
        <w:tc>
          <w:tcPr>
            <w:tcW w:w="227" w:type="pct"/>
            <w:tcBorders>
              <w:top w:val="single" w:color="auto" w:sz="4" w:space="0"/>
              <w:left w:val="single" w:color="auto" w:sz="8" w:space="0"/>
              <w:bottom w:val="single" w:color="auto" w:sz="8" w:space="0"/>
              <w:right w:val="single" w:color="auto" w:sz="4" w:space="0"/>
            </w:tcBorders>
            <w:shd w:val="clear" w:color="auto" w:fill="auto"/>
            <w:vAlign w:val="center"/>
          </w:tcPr>
          <w:p w14:paraId="09D4C74C">
            <w:pPr>
              <w:pStyle w:val="21"/>
              <w:adjustRightInd w:val="0"/>
              <w:snapToGrid w:val="0"/>
              <w:spacing w:beforeAutospacing="0" w:afterAutospacing="0"/>
              <w:jc w:val="center"/>
              <w:rPr>
                <w:rFonts w:hint="default" w:ascii="Times New Roman" w:hAnsi="Times New Roman"/>
                <w:kern w:val="2"/>
                <w:sz w:val="21"/>
                <w:szCs w:val="21"/>
              </w:rPr>
            </w:pPr>
            <w:r>
              <w:rPr>
                <w:rFonts w:hint="default" w:ascii="Times New Roman" w:hAnsi="Times New Roman"/>
                <w:bCs/>
                <w:kern w:val="2"/>
                <w:szCs w:val="24"/>
              </w:rPr>
              <w:t>与项目有关的原有环境污染问题</w:t>
            </w:r>
          </w:p>
        </w:tc>
        <w:tc>
          <w:tcPr>
            <w:tcW w:w="4772" w:type="pct"/>
            <w:tcBorders>
              <w:top w:val="single" w:color="auto" w:sz="4" w:space="0"/>
              <w:left w:val="single" w:color="auto" w:sz="4" w:space="0"/>
              <w:bottom w:val="single" w:color="auto" w:sz="8" w:space="0"/>
              <w:right w:val="single" w:color="auto" w:sz="8" w:space="0"/>
            </w:tcBorders>
            <w:shd w:val="clear" w:color="auto" w:fill="auto"/>
          </w:tcPr>
          <w:p w14:paraId="2D544C02">
            <w:pPr>
              <w:adjustRightInd w:val="0"/>
              <w:snapToGrid w:val="0"/>
              <w:spacing w:line="360" w:lineRule="auto"/>
              <w:ind w:firstLine="480" w:firstLineChars="200"/>
              <w:rPr>
                <w:rFonts w:ascii="Times New Roman" w:hAnsi="Times New Roman" w:cs="Times New Roman"/>
                <w:snapToGrid w:val="0"/>
                <w:kern w:val="0"/>
                <w:sz w:val="24"/>
              </w:rPr>
            </w:pPr>
            <w:r>
              <w:rPr>
                <w:rFonts w:ascii="Times New Roman" w:hAnsi="Times New Roman" w:cs="Times New Roman"/>
                <w:snapToGrid w:val="0"/>
                <w:kern w:val="0"/>
                <w:sz w:val="24"/>
              </w:rPr>
              <w:t>1、在建项目概况</w:t>
            </w:r>
          </w:p>
          <w:p w14:paraId="64E7D4B3">
            <w:pPr>
              <w:adjustRightInd w:val="0"/>
              <w:snapToGrid w:val="0"/>
              <w:spacing w:line="360" w:lineRule="auto"/>
              <w:ind w:firstLine="480" w:firstLineChars="200"/>
              <w:rPr>
                <w:rFonts w:ascii="Times New Roman" w:hAnsi="Times New Roman" w:cs="Times New Roman"/>
                <w:snapToGrid w:val="0"/>
                <w:kern w:val="0"/>
                <w:sz w:val="24"/>
              </w:rPr>
            </w:pPr>
            <w:r>
              <w:rPr>
                <w:rFonts w:hint="eastAsia" w:ascii="Times New Roman" w:hAnsi="Times New Roman" w:cs="Times New Roman"/>
                <w:snapToGrid w:val="0"/>
                <w:kern w:val="0"/>
                <w:sz w:val="24"/>
              </w:rPr>
              <w:t>宝鸡天浩泰金属表面处理有限公司</w:t>
            </w:r>
            <w:r>
              <w:rPr>
                <w:rFonts w:ascii="Times New Roman" w:hAnsi="Times New Roman" w:cs="Times New Roman"/>
                <w:snapToGrid w:val="0"/>
                <w:kern w:val="0"/>
                <w:sz w:val="24"/>
              </w:rPr>
              <w:t>（以下简称</w:t>
            </w:r>
            <w:r>
              <w:rPr>
                <w:rFonts w:hint="eastAsia" w:ascii="Times New Roman" w:hAnsi="Times New Roman" w:cs="Times New Roman"/>
                <w:snapToGrid w:val="0"/>
                <w:kern w:val="0"/>
                <w:sz w:val="24"/>
              </w:rPr>
              <w:t>“</w:t>
            </w:r>
            <w:r>
              <w:rPr>
                <w:rFonts w:ascii="Times New Roman" w:hAnsi="Times New Roman" w:cs="Times New Roman"/>
                <w:snapToGrid w:val="0"/>
                <w:kern w:val="0"/>
                <w:sz w:val="24"/>
              </w:rPr>
              <w:t>建设单位</w:t>
            </w:r>
            <w:r>
              <w:rPr>
                <w:rFonts w:hint="eastAsia" w:ascii="Times New Roman" w:hAnsi="Times New Roman" w:cs="Times New Roman"/>
                <w:snapToGrid w:val="0"/>
                <w:kern w:val="0"/>
                <w:sz w:val="24"/>
              </w:rPr>
              <w:t>”</w:t>
            </w:r>
            <w:r>
              <w:rPr>
                <w:rFonts w:ascii="Times New Roman" w:hAnsi="Times New Roman" w:cs="Times New Roman"/>
                <w:snapToGrid w:val="0"/>
                <w:kern w:val="0"/>
                <w:sz w:val="24"/>
              </w:rPr>
              <w:t>）成立于20</w:t>
            </w:r>
            <w:r>
              <w:rPr>
                <w:rFonts w:hint="eastAsia" w:ascii="Times New Roman" w:hAnsi="Times New Roman" w:cs="Times New Roman"/>
                <w:snapToGrid w:val="0"/>
                <w:kern w:val="0"/>
                <w:sz w:val="24"/>
              </w:rPr>
              <w:t>24</w:t>
            </w:r>
            <w:r>
              <w:rPr>
                <w:rFonts w:ascii="Times New Roman" w:hAnsi="Times New Roman" w:cs="Times New Roman"/>
                <w:snapToGrid w:val="0"/>
                <w:kern w:val="0"/>
                <w:sz w:val="24"/>
              </w:rPr>
              <w:t>年</w:t>
            </w:r>
            <w:r>
              <w:rPr>
                <w:rFonts w:hint="eastAsia" w:ascii="Times New Roman" w:hAnsi="Times New Roman" w:cs="Times New Roman"/>
                <w:snapToGrid w:val="0"/>
                <w:kern w:val="0"/>
                <w:sz w:val="24"/>
              </w:rPr>
              <w:t>，</w:t>
            </w:r>
            <w:r>
              <w:rPr>
                <w:rFonts w:ascii="Times New Roman" w:hAnsi="Times New Roman" w:cs="Times New Roman"/>
                <w:snapToGrid w:val="0"/>
                <w:kern w:val="0"/>
                <w:sz w:val="24"/>
              </w:rPr>
              <w:t>建设单位于202</w:t>
            </w:r>
            <w:r>
              <w:rPr>
                <w:rFonts w:hint="eastAsia" w:ascii="Times New Roman" w:hAnsi="Times New Roman" w:cs="Times New Roman"/>
                <w:snapToGrid w:val="0"/>
                <w:kern w:val="0"/>
                <w:sz w:val="24"/>
              </w:rPr>
              <w:t>4</w:t>
            </w:r>
            <w:r>
              <w:rPr>
                <w:rFonts w:ascii="Times New Roman" w:hAnsi="Times New Roman" w:cs="Times New Roman"/>
                <w:snapToGrid w:val="0"/>
                <w:kern w:val="0"/>
                <w:sz w:val="24"/>
              </w:rPr>
              <w:t>年在宝鸡市</w:t>
            </w:r>
            <w:r>
              <w:rPr>
                <w:rFonts w:hint="eastAsia" w:ascii="Times New Roman" w:hAnsi="Times New Roman" w:cs="Times New Roman"/>
                <w:sz w:val="24"/>
              </w:rPr>
              <w:t>姜谭经济技术开发区</w:t>
            </w:r>
            <w:r>
              <w:rPr>
                <w:rFonts w:hint="eastAsia" w:ascii="Times New Roman" w:hAnsi="Times New Roman" w:cs="Times New Roman"/>
                <w:snapToGrid w:val="0"/>
                <w:kern w:val="0"/>
                <w:sz w:val="24"/>
              </w:rPr>
              <w:t>投资300万元</w:t>
            </w:r>
            <w:r>
              <w:rPr>
                <w:rFonts w:ascii="Times New Roman" w:hAnsi="Times New Roman" w:cs="Times New Roman"/>
                <w:snapToGrid w:val="0"/>
                <w:kern w:val="0"/>
                <w:sz w:val="24"/>
              </w:rPr>
              <w:t>建设</w:t>
            </w:r>
            <w:r>
              <w:rPr>
                <w:rFonts w:hint="eastAsia" w:ascii="Times New Roman" w:hAnsi="Times New Roman" w:cs="Times New Roman"/>
                <w:sz w:val="24"/>
              </w:rPr>
              <w:t>钢零件表面处理生产线建设项目</w:t>
            </w:r>
            <w:r>
              <w:rPr>
                <w:rFonts w:ascii="Times New Roman" w:hAnsi="Times New Roman" w:cs="Times New Roman"/>
                <w:snapToGrid w:val="0"/>
                <w:kern w:val="0"/>
                <w:sz w:val="24"/>
              </w:rPr>
              <w:t>（以下简称</w:t>
            </w:r>
            <w:r>
              <w:rPr>
                <w:rFonts w:hint="eastAsia" w:ascii="Times New Roman" w:hAnsi="Times New Roman" w:cs="Times New Roman"/>
                <w:snapToGrid w:val="0"/>
                <w:kern w:val="0"/>
                <w:sz w:val="24"/>
              </w:rPr>
              <w:t>“</w:t>
            </w:r>
            <w:r>
              <w:rPr>
                <w:rFonts w:ascii="Times New Roman" w:hAnsi="Times New Roman" w:cs="Times New Roman"/>
                <w:snapToGrid w:val="0"/>
                <w:kern w:val="0"/>
                <w:sz w:val="24"/>
              </w:rPr>
              <w:t>在建工程</w:t>
            </w:r>
            <w:r>
              <w:rPr>
                <w:rFonts w:hint="eastAsia" w:ascii="Times New Roman" w:hAnsi="Times New Roman" w:cs="Times New Roman"/>
                <w:snapToGrid w:val="0"/>
                <w:kern w:val="0"/>
                <w:sz w:val="24"/>
              </w:rPr>
              <w:t>”</w:t>
            </w:r>
            <w:r>
              <w:rPr>
                <w:rFonts w:ascii="Times New Roman" w:hAnsi="Times New Roman" w:cs="Times New Roman"/>
                <w:snapToGrid w:val="0"/>
                <w:kern w:val="0"/>
                <w:sz w:val="24"/>
              </w:rPr>
              <w:t>），</w:t>
            </w:r>
            <w:r>
              <w:rPr>
                <w:rFonts w:hint="eastAsia" w:ascii="Times New Roman" w:hAnsi="Times New Roman" w:cs="Times New Roman"/>
                <w:snapToGrid w:val="0"/>
                <w:kern w:val="0"/>
                <w:sz w:val="24"/>
              </w:rPr>
              <w:t>在建工程于</w:t>
            </w:r>
            <w:r>
              <w:rPr>
                <w:rFonts w:ascii="Times New Roman" w:hAnsi="Times New Roman" w:cs="Times New Roman"/>
                <w:snapToGrid w:val="0"/>
                <w:kern w:val="0"/>
                <w:sz w:val="24"/>
              </w:rPr>
              <w:t>202</w:t>
            </w:r>
            <w:r>
              <w:rPr>
                <w:rFonts w:hint="eastAsia" w:ascii="Times New Roman" w:hAnsi="Times New Roman" w:cs="Times New Roman"/>
                <w:snapToGrid w:val="0"/>
                <w:kern w:val="0"/>
                <w:sz w:val="24"/>
              </w:rPr>
              <w:t>4</w:t>
            </w:r>
            <w:r>
              <w:rPr>
                <w:rFonts w:ascii="Times New Roman" w:hAnsi="Times New Roman" w:cs="Times New Roman"/>
                <w:snapToGrid w:val="0"/>
                <w:kern w:val="0"/>
                <w:sz w:val="24"/>
              </w:rPr>
              <w:t>年</w:t>
            </w:r>
            <w:r>
              <w:rPr>
                <w:rFonts w:hint="eastAsia" w:ascii="Times New Roman" w:hAnsi="Times New Roman" w:cs="Times New Roman"/>
                <w:snapToGrid w:val="0"/>
                <w:kern w:val="0"/>
                <w:sz w:val="24"/>
              </w:rPr>
              <w:t>11</w:t>
            </w:r>
            <w:r>
              <w:rPr>
                <w:rFonts w:ascii="Times New Roman" w:hAnsi="Times New Roman" w:cs="Times New Roman"/>
                <w:snapToGrid w:val="0"/>
                <w:kern w:val="0"/>
                <w:sz w:val="24"/>
              </w:rPr>
              <w:t>月委托</w:t>
            </w:r>
            <w:r>
              <w:rPr>
                <w:rFonts w:hint="eastAsia" w:ascii="Times New Roman" w:hAnsi="Times New Roman" w:cs="Times New Roman"/>
                <w:snapToGrid w:val="0"/>
                <w:kern w:val="0"/>
                <w:sz w:val="24"/>
              </w:rPr>
              <w:t>陕西信源环保有限责任公司</w:t>
            </w:r>
            <w:r>
              <w:rPr>
                <w:rFonts w:ascii="Times New Roman" w:hAnsi="Times New Roman" w:cs="Times New Roman"/>
                <w:snapToGrid w:val="0"/>
                <w:kern w:val="0"/>
                <w:sz w:val="24"/>
              </w:rPr>
              <w:t>编制完成了《</w:t>
            </w:r>
            <w:r>
              <w:rPr>
                <w:rFonts w:hint="eastAsia" w:ascii="Times New Roman" w:hAnsi="Times New Roman" w:cs="Times New Roman"/>
                <w:snapToGrid w:val="0"/>
                <w:kern w:val="0"/>
                <w:sz w:val="24"/>
              </w:rPr>
              <w:t>宝鸡天浩泰金属表面处理有限公司钢零件表面处理生产线建设项目环境影响报告表</w:t>
            </w:r>
            <w:r>
              <w:rPr>
                <w:rFonts w:ascii="Times New Roman" w:hAnsi="Times New Roman" w:cs="Times New Roman"/>
                <w:snapToGrid w:val="0"/>
                <w:kern w:val="0"/>
                <w:sz w:val="24"/>
              </w:rPr>
              <w:t>》，202</w:t>
            </w:r>
            <w:r>
              <w:rPr>
                <w:rFonts w:hint="eastAsia" w:ascii="Times New Roman" w:hAnsi="Times New Roman" w:cs="Times New Roman"/>
                <w:snapToGrid w:val="0"/>
                <w:kern w:val="0"/>
                <w:sz w:val="24"/>
              </w:rPr>
              <w:t>5</w:t>
            </w:r>
            <w:r>
              <w:rPr>
                <w:rFonts w:ascii="Times New Roman" w:hAnsi="Times New Roman" w:cs="Times New Roman"/>
                <w:snapToGrid w:val="0"/>
                <w:kern w:val="0"/>
                <w:sz w:val="24"/>
              </w:rPr>
              <w:t>年</w:t>
            </w:r>
            <w:r>
              <w:rPr>
                <w:rFonts w:hint="eastAsia" w:ascii="Times New Roman" w:hAnsi="Times New Roman" w:cs="Times New Roman"/>
                <w:snapToGrid w:val="0"/>
                <w:kern w:val="0"/>
                <w:sz w:val="24"/>
              </w:rPr>
              <w:t>1</w:t>
            </w:r>
            <w:r>
              <w:rPr>
                <w:rFonts w:ascii="Times New Roman" w:hAnsi="Times New Roman" w:cs="Times New Roman"/>
                <w:snapToGrid w:val="0"/>
                <w:kern w:val="0"/>
                <w:sz w:val="24"/>
              </w:rPr>
              <w:t>月</w:t>
            </w:r>
            <w:r>
              <w:rPr>
                <w:rFonts w:hint="eastAsia" w:ascii="Times New Roman" w:hAnsi="Times New Roman" w:cs="Times New Roman"/>
                <w:snapToGrid w:val="0"/>
                <w:kern w:val="0"/>
                <w:sz w:val="24"/>
              </w:rPr>
              <w:t>6</w:t>
            </w:r>
            <w:r>
              <w:rPr>
                <w:rFonts w:ascii="Times New Roman" w:hAnsi="Times New Roman" w:cs="Times New Roman"/>
                <w:snapToGrid w:val="0"/>
                <w:kern w:val="0"/>
                <w:sz w:val="24"/>
              </w:rPr>
              <w:t>日取得了</w:t>
            </w:r>
            <w:r>
              <w:rPr>
                <w:rFonts w:hint="eastAsia" w:ascii="Times New Roman" w:hAnsi="Times New Roman" w:cs="Times New Roman"/>
                <w:snapToGrid w:val="0"/>
                <w:kern w:val="0"/>
                <w:sz w:val="24"/>
              </w:rPr>
              <w:t>宝鸡市生态环境局渭滨分局关于《宝鸡天浩泰金属表面处理有限公司钢零件表面处理生产线建设项目环境影响报告表的批复》（宝环渭函</w:t>
            </w:r>
            <w:r>
              <w:rPr>
                <w:rFonts w:hint="eastAsia" w:ascii="Times New Roman" w:hAnsi="Times New Roman" w:cs="Times New Roman"/>
                <w:snapToGrid w:val="0"/>
                <w:kern w:val="0"/>
                <w:sz w:val="24"/>
                <w:lang w:eastAsia="zh-CN"/>
              </w:rPr>
              <w:t>〔2025〕1号</w:t>
            </w:r>
            <w:r>
              <w:rPr>
                <w:rFonts w:hint="eastAsia" w:ascii="Times New Roman" w:hAnsi="Times New Roman" w:cs="Times New Roman"/>
                <w:snapToGrid w:val="0"/>
                <w:kern w:val="0"/>
                <w:sz w:val="24"/>
              </w:rPr>
              <w:t>）</w:t>
            </w:r>
            <w:r>
              <w:rPr>
                <w:rFonts w:ascii="Times New Roman" w:hAnsi="Times New Roman" w:cs="Times New Roman"/>
                <w:snapToGrid w:val="0"/>
                <w:kern w:val="0"/>
                <w:sz w:val="24"/>
              </w:rPr>
              <w:t>文件，同意项目建设。</w:t>
            </w:r>
          </w:p>
          <w:p w14:paraId="5C783830">
            <w:pPr>
              <w:adjustRightInd w:val="0"/>
              <w:snapToGrid w:val="0"/>
              <w:spacing w:line="360" w:lineRule="auto"/>
              <w:ind w:firstLine="480" w:firstLineChars="200"/>
              <w:rPr>
                <w:rFonts w:ascii="Times New Roman" w:hAnsi="Times New Roman" w:cs="Times New Roman"/>
                <w:snapToGrid w:val="0"/>
                <w:kern w:val="0"/>
                <w:sz w:val="24"/>
              </w:rPr>
            </w:pPr>
            <w:commentRangeStart w:id="23"/>
            <w:commentRangeStart w:id="24"/>
            <w:r>
              <w:rPr>
                <w:rFonts w:ascii="Times New Roman" w:hAnsi="Times New Roman" w:cs="Times New Roman"/>
                <w:snapToGrid w:val="0"/>
                <w:kern w:val="0"/>
                <w:sz w:val="24"/>
              </w:rPr>
              <w:t>根据现场踏勘，在建工程</w:t>
            </w:r>
            <w:r>
              <w:rPr>
                <w:rFonts w:hint="eastAsia" w:ascii="Times New Roman" w:hAnsi="Times New Roman" w:cs="Times New Roman"/>
                <w:snapToGrid w:val="0"/>
                <w:kern w:val="0"/>
                <w:sz w:val="24"/>
              </w:rPr>
              <w:t>位于租赁的宝鸡市秦成工贸有限责任公司的标准化厂房内</w:t>
            </w:r>
            <w:r>
              <w:rPr>
                <w:rFonts w:ascii="Times New Roman" w:hAnsi="Times New Roman" w:cs="Times New Roman"/>
                <w:snapToGrid w:val="0"/>
                <w:kern w:val="0"/>
                <w:sz w:val="24"/>
              </w:rPr>
              <w:t>，</w:t>
            </w:r>
            <w:r>
              <w:rPr>
                <w:rFonts w:hint="eastAsia" w:ascii="Times New Roman" w:hAnsi="Times New Roman" w:cs="Times New Roman"/>
                <w:snapToGrid w:val="0"/>
                <w:kern w:val="0"/>
                <w:sz w:val="24"/>
              </w:rPr>
              <w:t>已于2025年4月开工，目前处于</w:t>
            </w:r>
            <w:r>
              <w:rPr>
                <w:rFonts w:ascii="Times New Roman" w:hAnsi="Times New Roman" w:cs="Times New Roman"/>
                <w:snapToGrid w:val="0"/>
                <w:kern w:val="0"/>
                <w:sz w:val="24"/>
              </w:rPr>
              <w:t>施工建设</w:t>
            </w:r>
            <w:r>
              <w:rPr>
                <w:rFonts w:hint="eastAsia" w:ascii="Times New Roman" w:hAnsi="Times New Roman" w:cs="Times New Roman"/>
                <w:snapToGrid w:val="0"/>
                <w:kern w:val="0"/>
                <w:sz w:val="24"/>
              </w:rPr>
              <w:t>阶段，预计2025年9月竣工</w:t>
            </w:r>
            <w:r>
              <w:rPr>
                <w:rFonts w:ascii="Times New Roman" w:hAnsi="Times New Roman" w:cs="Times New Roman"/>
                <w:snapToGrid w:val="0"/>
                <w:kern w:val="0"/>
                <w:sz w:val="24"/>
              </w:rPr>
              <w:t>。</w:t>
            </w:r>
            <w:commentRangeEnd w:id="23"/>
            <w:r>
              <w:commentReference w:id="23"/>
            </w:r>
            <w:commentRangeEnd w:id="24"/>
            <w:r>
              <w:commentReference w:id="24"/>
            </w:r>
          </w:p>
          <w:p w14:paraId="3C22A196">
            <w:pPr>
              <w:adjustRightInd w:val="0"/>
              <w:snapToGrid w:val="0"/>
              <w:spacing w:line="360" w:lineRule="auto"/>
              <w:ind w:firstLine="480" w:firstLineChars="200"/>
              <w:rPr>
                <w:rFonts w:ascii="Times New Roman" w:hAnsi="Times New Roman" w:cs="Times New Roman"/>
                <w:snapToGrid w:val="0"/>
                <w:kern w:val="0"/>
                <w:sz w:val="24"/>
              </w:rPr>
            </w:pPr>
            <w:r>
              <w:rPr>
                <w:rFonts w:hint="eastAsia" w:ascii="Times New Roman" w:hAnsi="Times New Roman" w:cs="Times New Roman"/>
                <w:snapToGrid w:val="0"/>
                <w:kern w:val="0"/>
                <w:sz w:val="24"/>
              </w:rPr>
              <w:t>2.</w:t>
            </w:r>
            <w:r>
              <w:rPr>
                <w:rFonts w:ascii="Times New Roman" w:hAnsi="Times New Roman" w:cs="Times New Roman"/>
                <w:snapToGrid w:val="0"/>
                <w:kern w:val="0"/>
                <w:sz w:val="24"/>
              </w:rPr>
              <w:t>在建项目生产工艺及污染源分析</w:t>
            </w:r>
            <w:r>
              <w:commentReference w:id="25"/>
            </w:r>
          </w:p>
          <w:p w14:paraId="586FF95C">
            <w:pPr>
              <w:adjustRightInd w:val="0"/>
              <w:snapToGrid w:val="0"/>
              <w:spacing w:line="360" w:lineRule="auto"/>
              <w:ind w:firstLine="480" w:firstLineChars="200"/>
              <w:rPr>
                <w:rFonts w:hint="eastAsia" w:ascii="Times New Roman" w:hAnsi="Times New Roman" w:cs="Times New Roman"/>
                <w:snapToGrid w:val="0"/>
                <w:kern w:val="0"/>
                <w:sz w:val="24"/>
                <w:lang w:eastAsia="zh-CN"/>
              </w:rPr>
            </w:pPr>
            <w:bookmarkStart w:id="2" w:name="_bookmark45"/>
            <w:bookmarkEnd w:id="2"/>
            <w:bookmarkStart w:id="3" w:name="_Toc13684"/>
            <w:bookmarkStart w:id="4" w:name="_Toc16167"/>
            <w:bookmarkStart w:id="5" w:name="_Toc6740"/>
            <w:bookmarkStart w:id="6" w:name="_Toc24002"/>
            <w:bookmarkStart w:id="7" w:name="_Toc18301"/>
            <w:bookmarkStart w:id="8" w:name="_Toc3406"/>
            <w:bookmarkStart w:id="9" w:name="_Toc20397"/>
            <w:r>
              <w:rPr>
                <w:rFonts w:hint="eastAsia" w:ascii="Times New Roman" w:hAnsi="Times New Roman" w:cs="Times New Roman"/>
                <w:snapToGrid w:val="0"/>
                <w:kern w:val="0"/>
                <w:sz w:val="24"/>
              </w:rPr>
              <w:t>2.1</w:t>
            </w:r>
            <w:r>
              <w:rPr>
                <w:rFonts w:hint="eastAsia" w:ascii="Times New Roman" w:hAnsi="Times New Roman" w:cs="Times New Roman"/>
                <w:snapToGrid w:val="0"/>
                <w:kern w:val="0"/>
                <w:sz w:val="24"/>
                <w:lang w:eastAsia="zh-CN"/>
              </w:rPr>
              <w:t>在建项目工艺流程及说明</w:t>
            </w:r>
          </w:p>
          <w:p w14:paraId="3A09DF1A">
            <w:pPr>
              <w:pStyle w:val="2"/>
              <w:rPr>
                <w:rFonts w:hint="eastAsia"/>
                <w:lang w:eastAsia="zh-CN"/>
              </w:rPr>
            </w:pPr>
          </w:p>
          <w:p w14:paraId="7BC47D70">
            <w:pPr>
              <w:pStyle w:val="2"/>
              <w:jc w:val="center"/>
              <w:rPr>
                <w:rFonts w:hint="eastAsia"/>
                <w:lang w:eastAsia="zh-CN"/>
              </w:rPr>
            </w:pPr>
            <w:r>
              <w:rPr>
                <w:rFonts w:hint="eastAsia"/>
                <w:lang w:eastAsia="zh-CN"/>
              </w:rPr>
              <w:drawing>
                <wp:inline distT="0" distB="0" distL="114300" distR="114300">
                  <wp:extent cx="4048760" cy="6237605"/>
                  <wp:effectExtent l="0" t="0" r="5080" b="10795"/>
                  <wp:docPr id="7" name="图片 7" descr="31e13d66-46fa-4d5f-93d9-f20e6db93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1e13d66-46fa-4d5f-93d9-f20e6db9323e"/>
                          <pic:cNvPicPr>
                            <a:picLocks noChangeAspect="1"/>
                          </pic:cNvPicPr>
                        </pic:nvPicPr>
                        <pic:blipFill>
                          <a:blip r:embed="rId13"/>
                          <a:stretch>
                            <a:fillRect/>
                          </a:stretch>
                        </pic:blipFill>
                        <pic:spPr>
                          <a:xfrm>
                            <a:off x="0" y="0"/>
                            <a:ext cx="4048760" cy="6237605"/>
                          </a:xfrm>
                          <a:prstGeom prst="rect">
                            <a:avLst/>
                          </a:prstGeom>
                        </pic:spPr>
                      </pic:pic>
                    </a:graphicData>
                  </a:graphic>
                </wp:inline>
              </w:drawing>
            </w:r>
          </w:p>
          <w:p w14:paraId="23694D09">
            <w:pPr>
              <w:adjustRightInd w:val="0"/>
              <w:snapToGrid w:val="0"/>
              <w:spacing w:line="360" w:lineRule="auto"/>
              <w:ind w:firstLine="422" w:firstLineChars="200"/>
              <w:jc w:val="center"/>
              <w:rPr>
                <w:rFonts w:hint="eastAsia" w:ascii="Times New Roman" w:hAnsi="Times New Roman" w:cs="Times New Roman"/>
                <w:b/>
                <w:bCs/>
                <w:lang w:val="en-US" w:eastAsia="zh-CN"/>
              </w:rPr>
            </w:pPr>
            <w:r>
              <w:rPr>
                <w:rFonts w:ascii="Times New Roman" w:hAnsi="Times New Roman" w:cs="Times New Roman"/>
                <w:b/>
                <w:bCs/>
              </w:rPr>
              <w:t>图2-</w:t>
            </w:r>
            <w:r>
              <w:rPr>
                <w:rFonts w:hint="eastAsia" w:ascii="Times New Roman" w:hAnsi="Times New Roman" w:cs="Times New Roman"/>
                <w:b/>
                <w:bCs/>
                <w:lang w:val="en-US" w:eastAsia="zh-CN"/>
              </w:rPr>
              <w:t>4</w:t>
            </w:r>
            <w:r>
              <w:rPr>
                <w:rFonts w:ascii="Times New Roman" w:hAnsi="Times New Roman" w:cs="Times New Roman"/>
                <w:b/>
                <w:bCs/>
              </w:rPr>
              <w:t xml:space="preserve"> </w:t>
            </w:r>
            <w:r>
              <w:rPr>
                <w:rFonts w:hint="eastAsia" w:ascii="Times New Roman" w:hAnsi="Times New Roman" w:cs="Times New Roman"/>
                <w:b/>
                <w:bCs/>
              </w:rPr>
              <w:t xml:space="preserve"> </w:t>
            </w:r>
            <w:r>
              <w:rPr>
                <w:rFonts w:hint="eastAsia" w:ascii="Times New Roman" w:hAnsi="Times New Roman" w:cs="Times New Roman"/>
                <w:b/>
                <w:bCs/>
                <w:lang w:val="en-US" w:eastAsia="zh-CN"/>
              </w:rPr>
              <w:t>在建项目工艺流程图</w:t>
            </w:r>
          </w:p>
          <w:p w14:paraId="1E79714D">
            <w:pPr>
              <w:adjustRightInd w:val="0"/>
              <w:snapToGrid w:val="0"/>
              <w:spacing w:line="360" w:lineRule="auto"/>
              <w:ind w:firstLine="480" w:firstLineChars="20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工艺流程简述：</w:t>
            </w:r>
          </w:p>
          <w:p w14:paraId="158E5FA3">
            <w:pPr>
              <w:adjustRightInd w:val="0"/>
              <w:snapToGrid w:val="0"/>
              <w:spacing w:line="360" w:lineRule="auto"/>
              <w:ind w:firstLine="480" w:firstLineChars="200"/>
              <w:rPr>
                <w:rFonts w:hint="eastAsia"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①碳化除油</w:t>
            </w:r>
          </w:p>
          <w:p w14:paraId="399524F2">
            <w:pPr>
              <w:adjustRightInd w:val="0"/>
              <w:snapToGrid w:val="0"/>
              <w:spacing w:line="360" w:lineRule="auto"/>
              <w:ind w:firstLine="480" w:firstLineChars="200"/>
              <w:rPr>
                <w:rFonts w:hint="default"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外来的钢零件表面附有少量油污，本项目采用高温碳化除油的方式进行除油，将外来的钢零件批次放入网带式烧结炉中，温度慢慢升高180℃-250℃，表面油污一部分气化为油雾颗粒，剩下的碳化后附着在工件表面，由下一步抛丸工序去除，每批钢零件高温碳化的时间为30分钟，此过程主要产生废气（粉尘）、设备噪声，油雾颗粒物经密闭管道引入1套等离子油烟净化器进行处理，处理后经1根15mDA001排气筒排放</w:t>
            </w:r>
            <w:r>
              <w:rPr>
                <w:rFonts w:hint="default" w:ascii="Times New Roman" w:hAnsi="Times New Roman" w:cs="Times New Roman"/>
                <w:snapToGrid w:val="0"/>
                <w:kern w:val="0"/>
                <w:sz w:val="24"/>
                <w:lang w:val="en-US" w:eastAsia="zh-CN"/>
              </w:rPr>
              <w:t>；</w:t>
            </w:r>
          </w:p>
          <w:p w14:paraId="2D09B8AB">
            <w:pPr>
              <w:adjustRightInd w:val="0"/>
              <w:snapToGrid w:val="0"/>
              <w:spacing w:line="360" w:lineRule="auto"/>
              <w:ind w:firstLine="480" w:firstLineChars="200"/>
              <w:rPr>
                <w:rFonts w:hint="eastAsia" w:ascii="Times New Roman" w:hAnsi="Times New Roman" w:cs="Times New Roman"/>
                <w:snapToGrid w:val="0"/>
                <w:kern w:val="0"/>
                <w:sz w:val="24"/>
                <w:lang w:val="en-US" w:eastAsia="zh-CN"/>
              </w:rPr>
            </w:pPr>
            <w:r>
              <w:rPr>
                <w:rFonts w:hint="default" w:ascii="Times New Roman" w:hAnsi="Times New Roman" w:cs="Times New Roman"/>
                <w:snapToGrid w:val="0"/>
                <w:kern w:val="0"/>
                <w:sz w:val="24"/>
                <w:lang w:val="en-US" w:eastAsia="zh-CN"/>
              </w:rPr>
              <w:t>②</w:t>
            </w:r>
            <w:r>
              <w:rPr>
                <w:rFonts w:hint="eastAsia" w:ascii="Times New Roman" w:hAnsi="Times New Roman" w:cs="Times New Roman"/>
                <w:snapToGrid w:val="0"/>
                <w:kern w:val="0"/>
                <w:sz w:val="24"/>
                <w:lang w:val="en-US" w:eastAsia="zh-CN"/>
              </w:rPr>
              <w:t>抛丸</w:t>
            </w:r>
          </w:p>
          <w:p w14:paraId="5000F433">
            <w:pPr>
              <w:adjustRightInd w:val="0"/>
              <w:snapToGrid w:val="0"/>
              <w:spacing w:line="360" w:lineRule="auto"/>
              <w:ind w:firstLine="480" w:firstLineChars="200"/>
              <w:rPr>
                <w:rFonts w:hint="default" w:ascii="Times New Roman" w:hAnsi="Times New Roman" w:cs="Times New Roman"/>
                <w:snapToGrid w:val="0"/>
                <w:kern w:val="0"/>
                <w:sz w:val="24"/>
                <w:lang w:val="en-US" w:eastAsia="zh-CN"/>
              </w:rPr>
            </w:pPr>
            <w:r>
              <w:rPr>
                <w:rFonts w:hint="default" w:ascii="Times New Roman" w:hAnsi="Times New Roman" w:cs="Times New Roman"/>
                <w:snapToGrid w:val="0"/>
                <w:kern w:val="0"/>
                <w:sz w:val="24"/>
                <w:lang w:val="en-US" w:eastAsia="zh-CN"/>
              </w:rPr>
              <w:t>本项目</w:t>
            </w:r>
            <w:r>
              <w:rPr>
                <w:rFonts w:hint="eastAsia" w:ascii="Times New Roman" w:hAnsi="Times New Roman" w:cs="Times New Roman"/>
                <w:snapToGrid w:val="0"/>
                <w:kern w:val="0"/>
                <w:sz w:val="24"/>
                <w:lang w:val="en-US" w:eastAsia="zh-CN"/>
              </w:rPr>
              <w:t>钢零件</w:t>
            </w:r>
            <w:r>
              <w:rPr>
                <w:rFonts w:hint="default" w:ascii="Times New Roman" w:hAnsi="Times New Roman" w:cs="Times New Roman"/>
                <w:snapToGrid w:val="0"/>
                <w:kern w:val="0"/>
                <w:sz w:val="24"/>
                <w:lang w:val="en-US" w:eastAsia="zh-CN"/>
              </w:rPr>
              <w:t>渗锌前采用干法处理，即机械抛丸，将工件放入</w:t>
            </w:r>
            <w:r>
              <w:rPr>
                <w:rFonts w:hint="eastAsia" w:ascii="Times New Roman" w:hAnsi="Times New Roman" w:cs="Times New Roman"/>
                <w:snapToGrid w:val="0"/>
                <w:kern w:val="0"/>
                <w:sz w:val="24"/>
                <w:lang w:val="en-US" w:eastAsia="zh-CN"/>
              </w:rPr>
              <w:t>抛丸机</w:t>
            </w:r>
            <w:r>
              <w:rPr>
                <w:rFonts w:hint="default" w:ascii="Times New Roman" w:hAnsi="Times New Roman" w:cs="Times New Roman"/>
                <w:snapToGrid w:val="0"/>
                <w:kern w:val="0"/>
                <w:sz w:val="24"/>
                <w:lang w:val="en-US" w:eastAsia="zh-CN"/>
              </w:rPr>
              <w:t>中，对</w:t>
            </w:r>
            <w:r>
              <w:rPr>
                <w:rFonts w:hint="eastAsia" w:ascii="Times New Roman" w:hAnsi="Times New Roman" w:cs="Times New Roman"/>
                <w:snapToGrid w:val="0"/>
                <w:kern w:val="0"/>
                <w:sz w:val="24"/>
                <w:lang w:val="en-US" w:eastAsia="zh-CN"/>
              </w:rPr>
              <w:t>钢零件</w:t>
            </w:r>
            <w:r>
              <w:rPr>
                <w:rFonts w:hint="default" w:ascii="Times New Roman" w:hAnsi="Times New Roman" w:cs="Times New Roman"/>
                <w:snapToGrid w:val="0"/>
                <w:kern w:val="0"/>
                <w:sz w:val="24"/>
                <w:lang w:val="en-US" w:eastAsia="zh-CN"/>
              </w:rPr>
              <w:t>进行除锈，抛丸室门气动关闭，抛丸清理开始，履带向前运行，工件不断地进行翻滚，高效强力抛丸器将弹丸加速到80米/秒左右的速度高速抛射到正在翻滚的工件表面上，工件可完全均匀地得到清理</w:t>
            </w:r>
            <w:r>
              <w:rPr>
                <w:rFonts w:hint="eastAsia" w:ascii="Times New Roman" w:hAnsi="Times New Roman" w:cs="Times New Roman"/>
                <w:snapToGrid w:val="0"/>
                <w:kern w:val="0"/>
                <w:sz w:val="24"/>
                <w:lang w:val="en-US" w:eastAsia="zh-CN"/>
              </w:rPr>
              <w:t>，此过程主要产生废气（粉尘）、设备噪声以及一般固废（废钢丸）以及除尘灰</w:t>
            </w:r>
            <w:r>
              <w:rPr>
                <w:rFonts w:hint="default" w:ascii="Times New Roman" w:hAnsi="Times New Roman" w:cs="Times New Roman"/>
                <w:snapToGrid w:val="0"/>
                <w:kern w:val="0"/>
                <w:sz w:val="24"/>
                <w:lang w:val="en-US" w:eastAsia="zh-CN"/>
              </w:rPr>
              <w:t>。</w:t>
            </w:r>
          </w:p>
          <w:p w14:paraId="0131A5A4">
            <w:pPr>
              <w:adjustRightInd w:val="0"/>
              <w:snapToGrid w:val="0"/>
              <w:spacing w:line="360" w:lineRule="auto"/>
              <w:ind w:firstLine="480" w:firstLineChars="200"/>
              <w:rPr>
                <w:rFonts w:hint="eastAsia" w:ascii="Times New Roman" w:hAnsi="Times New Roman" w:cs="Times New Roman"/>
                <w:snapToGrid w:val="0"/>
                <w:kern w:val="0"/>
                <w:sz w:val="24"/>
                <w:lang w:val="en-US" w:eastAsia="zh-CN"/>
              </w:rPr>
            </w:pPr>
            <w:r>
              <w:rPr>
                <w:rFonts w:hint="default" w:ascii="Times New Roman" w:hAnsi="Times New Roman" w:cs="Times New Roman"/>
                <w:snapToGrid w:val="0"/>
                <w:kern w:val="0"/>
                <w:sz w:val="24"/>
                <w:lang w:val="en-US" w:eastAsia="zh-CN"/>
              </w:rPr>
              <w:t>③</w:t>
            </w:r>
            <w:r>
              <w:rPr>
                <w:rFonts w:hint="eastAsia" w:ascii="Times New Roman" w:hAnsi="Times New Roman" w:cs="Times New Roman"/>
                <w:snapToGrid w:val="0"/>
                <w:kern w:val="0"/>
                <w:sz w:val="24"/>
                <w:lang w:val="en-US" w:eastAsia="zh-CN"/>
              </w:rPr>
              <w:t>装炉</w:t>
            </w:r>
          </w:p>
          <w:p w14:paraId="483749C7">
            <w:pPr>
              <w:adjustRightInd w:val="0"/>
              <w:snapToGrid w:val="0"/>
              <w:spacing w:line="360" w:lineRule="auto"/>
              <w:ind w:firstLine="480" w:firstLineChars="200"/>
              <w:rPr>
                <w:rFonts w:hint="eastAsia"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经抛丸机除锈后的钢零件通过机械滑车装入内胆（四方滚筒），将内胆（四方滚筒）封闭，通过气力输送将干燥的渗剂锌粉、助渗剂以及防粘接剂装入密封的四方滚筒中，然后将四方滚筒整体放置在渗锌炉炉内。装炉过程是在全密闭的条件下进行的，不会产生锌粉外漏，此过程主要产生设备噪声以及一般固废（废包装材料）以及危险废物（废锌粉包装袋）。</w:t>
            </w:r>
          </w:p>
          <w:p w14:paraId="5318F710">
            <w:pPr>
              <w:adjustRightInd w:val="0"/>
              <w:snapToGrid w:val="0"/>
              <w:spacing w:line="360" w:lineRule="auto"/>
              <w:ind w:firstLine="480" w:firstLineChars="200"/>
              <w:rPr>
                <w:rFonts w:hint="default" w:ascii="Times New Roman" w:hAnsi="Times New Roman" w:cs="Times New Roman"/>
                <w:snapToGrid w:val="0"/>
                <w:kern w:val="0"/>
                <w:sz w:val="24"/>
                <w:lang w:val="en-US" w:eastAsia="zh-CN"/>
              </w:rPr>
            </w:pPr>
            <w:r>
              <w:rPr>
                <w:rFonts w:hint="default" w:ascii="Times New Roman" w:hAnsi="Times New Roman" w:cs="Times New Roman"/>
                <w:snapToGrid w:val="0"/>
                <w:kern w:val="0"/>
                <w:sz w:val="24"/>
                <w:lang w:val="en-US" w:eastAsia="zh-CN"/>
              </w:rPr>
              <w:t>④</w:t>
            </w:r>
            <w:r>
              <w:rPr>
                <w:rFonts w:hint="eastAsia" w:ascii="Times New Roman" w:hAnsi="Times New Roman" w:cs="Times New Roman"/>
                <w:snapToGrid w:val="0"/>
                <w:kern w:val="0"/>
                <w:sz w:val="24"/>
                <w:lang w:val="en-US" w:eastAsia="zh-CN"/>
              </w:rPr>
              <w:t>渗锌</w:t>
            </w:r>
          </w:p>
          <w:p w14:paraId="5604CD96">
            <w:pPr>
              <w:adjustRightInd w:val="0"/>
              <w:snapToGrid w:val="0"/>
              <w:spacing w:line="360" w:lineRule="auto"/>
              <w:ind w:firstLine="480" w:firstLineChars="200"/>
              <w:rPr>
                <w:rFonts w:hint="default" w:ascii="Times New Roman" w:hAnsi="Times New Roman" w:cs="Times New Roman"/>
                <w:snapToGrid w:val="0"/>
                <w:kern w:val="0"/>
                <w:sz w:val="24"/>
                <w:lang w:val="en-US" w:eastAsia="zh-CN"/>
              </w:rPr>
            </w:pPr>
            <w:r>
              <w:rPr>
                <w:rFonts w:hint="default" w:ascii="Times New Roman" w:hAnsi="Times New Roman" w:cs="Times New Roman"/>
                <w:snapToGrid w:val="0"/>
                <w:kern w:val="0"/>
                <w:sz w:val="24"/>
                <w:lang w:val="en-US" w:eastAsia="zh-CN"/>
              </w:rPr>
              <w:t>本项目渗锌</w:t>
            </w:r>
            <w:r>
              <w:rPr>
                <w:rFonts w:hint="eastAsia" w:ascii="Times New Roman" w:hAnsi="Times New Roman" w:cs="Times New Roman"/>
                <w:snapToGrid w:val="0"/>
                <w:kern w:val="0"/>
                <w:sz w:val="24"/>
                <w:lang w:val="en-US" w:eastAsia="zh-CN"/>
              </w:rPr>
              <w:t>主要是锌粉的固态热扩散过程，渗锌炉包含加热炉和内胆两部分，加热炉位于外部，采用电加热，主要为内胆（四方滚筒）加热。内胆（四方滚筒）用于盛放工件、</w:t>
            </w:r>
            <w:r>
              <w:rPr>
                <w:rFonts w:hint="default" w:ascii="Times New Roman" w:hAnsi="Times New Roman" w:cs="Times New Roman"/>
                <w:snapToGrid w:val="0"/>
                <w:kern w:val="0"/>
                <w:sz w:val="24"/>
                <w:lang w:val="en-US" w:eastAsia="zh-CN"/>
              </w:rPr>
              <w:t>锌粉</w:t>
            </w:r>
            <w:r>
              <w:rPr>
                <w:rFonts w:hint="eastAsia" w:ascii="Times New Roman" w:hAnsi="Times New Roman" w:cs="Times New Roman"/>
                <w:snapToGrid w:val="0"/>
                <w:kern w:val="0"/>
                <w:sz w:val="24"/>
                <w:lang w:val="en-US" w:eastAsia="zh-CN"/>
              </w:rPr>
              <w:t>、助渗剂以及防粘接剂等，具体</w:t>
            </w:r>
            <w:r>
              <w:rPr>
                <w:rFonts w:hint="default" w:ascii="Times New Roman" w:hAnsi="Times New Roman" w:cs="Times New Roman"/>
                <w:snapToGrid w:val="0"/>
                <w:kern w:val="0"/>
                <w:sz w:val="24"/>
                <w:lang w:val="en-US" w:eastAsia="zh-CN"/>
              </w:rPr>
              <w:t>是</w:t>
            </w:r>
            <w:r>
              <w:rPr>
                <w:rFonts w:hint="eastAsia" w:ascii="Times New Roman" w:hAnsi="Times New Roman" w:cs="Times New Roman"/>
                <w:snapToGrid w:val="0"/>
                <w:kern w:val="0"/>
                <w:sz w:val="24"/>
                <w:lang w:val="en-US" w:eastAsia="zh-CN"/>
              </w:rPr>
              <w:t>将</w:t>
            </w:r>
            <w:r>
              <w:rPr>
                <w:rFonts w:hint="default" w:ascii="Times New Roman" w:hAnsi="Times New Roman" w:cs="Times New Roman"/>
                <w:snapToGrid w:val="0"/>
                <w:kern w:val="0"/>
                <w:sz w:val="24"/>
                <w:lang w:val="en-US" w:eastAsia="zh-CN"/>
              </w:rPr>
              <w:t>锌粉</w:t>
            </w:r>
            <w:r>
              <w:rPr>
                <w:rFonts w:hint="eastAsia" w:ascii="Times New Roman" w:hAnsi="Times New Roman" w:cs="Times New Roman"/>
                <w:snapToGrid w:val="0"/>
                <w:kern w:val="0"/>
                <w:sz w:val="24"/>
                <w:lang w:val="en-US" w:eastAsia="zh-CN"/>
              </w:rPr>
              <w:t>、助渗剂以及防粘接剂</w:t>
            </w:r>
            <w:r>
              <w:rPr>
                <w:rFonts w:hint="default" w:ascii="Times New Roman" w:hAnsi="Times New Roman" w:cs="Times New Roman"/>
                <w:snapToGrid w:val="0"/>
                <w:kern w:val="0"/>
                <w:sz w:val="24"/>
                <w:lang w:val="en-US" w:eastAsia="zh-CN"/>
              </w:rPr>
              <w:t>装入</w:t>
            </w:r>
            <w:r>
              <w:rPr>
                <w:rFonts w:hint="eastAsia" w:ascii="Times New Roman" w:hAnsi="Times New Roman" w:cs="Times New Roman"/>
                <w:snapToGrid w:val="0"/>
                <w:kern w:val="0"/>
                <w:sz w:val="24"/>
                <w:lang w:val="en-US" w:eastAsia="zh-CN"/>
              </w:rPr>
              <w:t>密封的内胆（四方滚筒）中，然后将内胆（四方滚筒）整体放置在炉内</w:t>
            </w:r>
            <w:r>
              <w:rPr>
                <w:rFonts w:hint="default" w:ascii="Times New Roman" w:hAnsi="Times New Roman" w:cs="Times New Roman"/>
                <w:snapToGrid w:val="0"/>
                <w:kern w:val="0"/>
                <w:sz w:val="24"/>
                <w:lang w:val="en-US" w:eastAsia="zh-CN"/>
              </w:rPr>
              <w:t>，</w:t>
            </w:r>
            <w:r>
              <w:rPr>
                <w:rFonts w:hint="eastAsia" w:ascii="Times New Roman" w:hAnsi="Times New Roman" w:cs="Times New Roman"/>
                <w:snapToGrid w:val="0"/>
                <w:kern w:val="0"/>
                <w:sz w:val="24"/>
                <w:lang w:val="en-US" w:eastAsia="zh-CN"/>
              </w:rPr>
              <w:t>采用电加热渗锌炉进行加热</w:t>
            </w:r>
            <w:r>
              <w:rPr>
                <w:rFonts w:hint="default" w:ascii="Times New Roman" w:hAnsi="Times New Roman" w:cs="Times New Roman"/>
                <w:snapToGrid w:val="0"/>
                <w:kern w:val="0"/>
                <w:sz w:val="24"/>
                <w:lang w:val="en-US" w:eastAsia="zh-CN"/>
              </w:rPr>
              <w:t>，在400℃左右的工作条件下，</w:t>
            </w:r>
            <w:r>
              <w:rPr>
                <w:rFonts w:hint="eastAsia" w:ascii="Times New Roman" w:hAnsi="Times New Roman" w:cs="Times New Roman"/>
                <w:snapToGrid w:val="0"/>
                <w:kern w:val="0"/>
                <w:sz w:val="24"/>
                <w:lang w:val="en-US" w:eastAsia="zh-CN"/>
              </w:rPr>
              <w:t>内胆（四方滚筒）不断旋转，粉末混合物与钢零件之间相互摩擦、相互冲击，使</w:t>
            </w:r>
            <w:r>
              <w:rPr>
                <w:rFonts w:hint="default" w:ascii="Times New Roman" w:hAnsi="Times New Roman" w:cs="Times New Roman"/>
                <w:snapToGrid w:val="0"/>
                <w:kern w:val="0"/>
                <w:sz w:val="24"/>
                <w:lang w:val="en-US" w:eastAsia="zh-CN"/>
              </w:rPr>
              <w:t>活性锌原子会由表及里地扩散进入</w:t>
            </w:r>
            <w:r>
              <w:rPr>
                <w:rFonts w:hint="eastAsia" w:ascii="Times New Roman" w:hAnsi="Times New Roman" w:cs="Times New Roman"/>
                <w:snapToGrid w:val="0"/>
                <w:kern w:val="0"/>
                <w:sz w:val="24"/>
                <w:lang w:val="en-US" w:eastAsia="zh-CN"/>
              </w:rPr>
              <w:t>钢零件</w:t>
            </w:r>
            <w:r>
              <w:rPr>
                <w:rFonts w:hint="default" w:ascii="Times New Roman" w:hAnsi="Times New Roman" w:cs="Times New Roman"/>
                <w:snapToGrid w:val="0"/>
                <w:kern w:val="0"/>
                <w:sz w:val="24"/>
                <w:lang w:val="en-US" w:eastAsia="zh-CN"/>
              </w:rPr>
              <w:t>内部，同时也存在铁原子由里向外扩散，使得</w:t>
            </w:r>
            <w:r>
              <w:rPr>
                <w:rFonts w:hint="eastAsia" w:ascii="Times New Roman" w:hAnsi="Times New Roman" w:cs="Times New Roman"/>
                <w:snapToGrid w:val="0"/>
                <w:kern w:val="0"/>
                <w:sz w:val="24"/>
                <w:lang w:val="en-US" w:eastAsia="zh-CN"/>
              </w:rPr>
              <w:t>钢零件</w:t>
            </w:r>
            <w:r>
              <w:rPr>
                <w:rFonts w:hint="default" w:ascii="Times New Roman" w:hAnsi="Times New Roman" w:cs="Times New Roman"/>
                <w:snapToGrid w:val="0"/>
                <w:kern w:val="0"/>
                <w:sz w:val="24"/>
                <w:lang w:val="en-US" w:eastAsia="zh-CN"/>
              </w:rPr>
              <w:t>表面形成一层锌/铁金属间化合物</w:t>
            </w:r>
            <w:r>
              <w:rPr>
                <w:rFonts w:hint="eastAsia" w:ascii="Times New Roman" w:hAnsi="Times New Roman" w:cs="Times New Roman"/>
                <w:snapToGrid w:val="0"/>
                <w:kern w:val="0"/>
                <w:sz w:val="24"/>
                <w:lang w:val="en-US" w:eastAsia="zh-CN"/>
              </w:rPr>
              <w:t>，</w:t>
            </w:r>
            <w:r>
              <w:rPr>
                <w:rFonts w:hint="default" w:ascii="Times New Roman" w:hAnsi="Times New Roman" w:cs="Times New Roman"/>
                <w:snapToGrid w:val="0"/>
                <w:kern w:val="0"/>
                <w:sz w:val="24"/>
                <w:lang w:val="en-US" w:eastAsia="zh-CN"/>
              </w:rPr>
              <w:t>渗锌过程历时</w:t>
            </w:r>
            <w:r>
              <w:rPr>
                <w:rFonts w:hint="eastAsia" w:ascii="Times New Roman" w:hAnsi="Times New Roman" w:cs="Times New Roman"/>
                <w:snapToGrid w:val="0"/>
                <w:kern w:val="0"/>
                <w:sz w:val="24"/>
                <w:lang w:val="en-US" w:eastAsia="zh-CN"/>
              </w:rPr>
              <w:t>4～6</w:t>
            </w:r>
            <w:r>
              <w:rPr>
                <w:rFonts w:hint="default" w:ascii="Times New Roman" w:hAnsi="Times New Roman" w:cs="Times New Roman"/>
                <w:snapToGrid w:val="0"/>
                <w:kern w:val="0"/>
                <w:sz w:val="24"/>
                <w:lang w:val="en-US" w:eastAsia="zh-CN"/>
              </w:rPr>
              <w:t>小时左右</w:t>
            </w:r>
            <w:r>
              <w:rPr>
                <w:rFonts w:hint="eastAsia" w:ascii="Times New Roman" w:hAnsi="Times New Roman" w:cs="Times New Roman"/>
                <w:snapToGrid w:val="0"/>
                <w:kern w:val="0"/>
                <w:sz w:val="24"/>
                <w:lang w:val="en-US" w:eastAsia="zh-CN"/>
              </w:rPr>
              <w:t>，锌粉附着率约为95%，助渗剂全部消耗，防粘结剂无消耗，此过程不会产生锌烟、锌蒸汽，主要产生设备噪声。</w:t>
            </w:r>
          </w:p>
          <w:p w14:paraId="63F23E5C">
            <w:pPr>
              <w:adjustRightInd w:val="0"/>
              <w:snapToGrid w:val="0"/>
              <w:spacing w:line="360" w:lineRule="auto"/>
              <w:ind w:firstLine="480" w:firstLineChars="200"/>
              <w:rPr>
                <w:rFonts w:hint="default"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助渗剂中铁粉作为除氧剂，助渗剂中的铁粉在渗锌炉中（有氧气和水蒸气的存在下）被氧化成氢氧化铁，从而吸收包装内的氧气和水蒸气，降低氧气浓度，达到保护锌粉的目的，防止高温情况下锌粉发生氧化，生产的氢氧化铁混入防粘接剂中。</w:t>
            </w:r>
          </w:p>
          <w:p w14:paraId="785E961D">
            <w:pPr>
              <w:adjustRightInd w:val="0"/>
              <w:snapToGrid w:val="0"/>
              <w:spacing w:line="360" w:lineRule="auto"/>
              <w:ind w:firstLine="480" w:firstLineChars="200"/>
              <w:rPr>
                <w:rFonts w:hint="default"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催化剂主要用于催化渗锌进程，不参与反应，渗锌过程结束后混入防粘接剂中。</w:t>
            </w:r>
          </w:p>
          <w:p w14:paraId="628D31D6">
            <w:pPr>
              <w:adjustRightInd w:val="0"/>
              <w:snapToGrid w:val="0"/>
              <w:spacing w:line="360" w:lineRule="auto"/>
              <w:ind w:firstLine="480" w:firstLineChars="200"/>
              <w:rPr>
                <w:rFonts w:hint="default"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氧化铝主要用于吸收渗锌炉中的水，</w:t>
            </w:r>
            <w:r>
              <w:rPr>
                <w:rFonts w:ascii="Times New Roman" w:hAnsi="Times New Roman" w:cs="Times New Roman"/>
                <w:snapToGrid w:val="0"/>
                <w:kern w:val="0"/>
                <w:sz w:val="24"/>
              </w:rPr>
              <w:t>氧化铝</w:t>
            </w:r>
            <w:r>
              <w:rPr>
                <w:rFonts w:hint="eastAsia" w:ascii="Times New Roman" w:hAnsi="Times New Roman" w:cs="Times New Roman"/>
                <w:snapToGrid w:val="0"/>
                <w:kern w:val="0"/>
                <w:sz w:val="24"/>
                <w:lang w:val="en-US" w:eastAsia="zh-CN"/>
              </w:rPr>
              <w:t>本身不与水发生反应，</w:t>
            </w:r>
            <w:r>
              <w:rPr>
                <w:rFonts w:ascii="Times New Roman" w:hAnsi="Times New Roman" w:cs="Times New Roman"/>
                <w:snapToGrid w:val="0"/>
                <w:kern w:val="0"/>
                <w:sz w:val="24"/>
              </w:rPr>
              <w:t>吸附剂的吸附原理是基于物理吸附过程。在这个过程中，氧化铝通过其表面的原子或基团与水分子之间的范德华力或静电作用力进行吸附</w:t>
            </w:r>
            <w:r>
              <w:rPr>
                <w:rFonts w:hint="eastAsia" w:ascii="Times New Roman" w:hAnsi="Times New Roman" w:cs="Times New Roman"/>
                <w:snapToGrid w:val="0"/>
                <w:kern w:val="0"/>
                <w:sz w:val="24"/>
                <w:lang w:eastAsia="zh-CN"/>
              </w:rPr>
              <w:t>，</w:t>
            </w:r>
            <w:r>
              <w:rPr>
                <w:rFonts w:hint="eastAsia" w:ascii="Times New Roman" w:hAnsi="Times New Roman" w:cs="Times New Roman"/>
                <w:snapToGrid w:val="0"/>
                <w:kern w:val="0"/>
                <w:sz w:val="24"/>
                <w:lang w:val="en-US" w:eastAsia="zh-CN"/>
              </w:rPr>
              <w:t>吸附后的氧化铝混入防粘接剂中</w:t>
            </w:r>
            <w:r>
              <w:rPr>
                <w:rFonts w:ascii="Times New Roman" w:hAnsi="Times New Roman" w:cs="Times New Roman"/>
                <w:snapToGrid w:val="0"/>
                <w:kern w:val="0"/>
                <w:sz w:val="24"/>
              </w:rPr>
              <w:t>。</w:t>
            </w:r>
          </w:p>
          <w:p w14:paraId="24EDFD9F">
            <w:pPr>
              <w:adjustRightInd w:val="0"/>
              <w:snapToGrid w:val="0"/>
              <w:spacing w:line="360" w:lineRule="auto"/>
              <w:ind w:firstLine="480" w:firstLineChars="200"/>
              <w:rPr>
                <w:rFonts w:hint="eastAsia"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渗锌炉配套设置吸料上料装置，工件吊出去，采用吸料方式吸出炉料，炉料主要为防粘接剂（防粘接剂上会附着锌粉，约为锌粉用量的3%），炉料存于密闭的料仓中，后通过风琴罩、上料蛟龙循环到下一个炉次中。</w:t>
            </w:r>
          </w:p>
          <w:p w14:paraId="18DFD0A3">
            <w:pPr>
              <w:adjustRightInd w:val="0"/>
              <w:snapToGrid w:val="0"/>
              <w:spacing w:line="360" w:lineRule="auto"/>
              <w:ind w:firstLine="480" w:firstLineChars="200"/>
              <w:rPr>
                <w:rFonts w:hint="default" w:ascii="Times New Roman" w:hAnsi="Times New Roman" w:cs="Times New Roman"/>
                <w:snapToGrid w:val="0"/>
                <w:kern w:val="0"/>
                <w:sz w:val="24"/>
                <w:lang w:val="en-US" w:eastAsia="zh-CN"/>
              </w:rPr>
            </w:pPr>
            <w:r>
              <w:rPr>
                <w:rFonts w:hint="default" w:ascii="Times New Roman" w:hAnsi="Times New Roman" w:cs="Times New Roman"/>
                <w:snapToGrid w:val="0"/>
                <w:kern w:val="0"/>
                <w:sz w:val="24"/>
                <w:lang w:val="en-US" w:eastAsia="zh-CN"/>
              </w:rPr>
              <w:t>本项目</w:t>
            </w:r>
            <w:r>
              <w:rPr>
                <w:rFonts w:hint="eastAsia" w:ascii="Times New Roman" w:hAnsi="Times New Roman" w:cs="Times New Roman"/>
                <w:snapToGrid w:val="0"/>
                <w:kern w:val="0"/>
                <w:sz w:val="24"/>
                <w:lang w:val="en-US" w:eastAsia="zh-CN"/>
              </w:rPr>
              <w:t>电加热</w:t>
            </w:r>
            <w:r>
              <w:rPr>
                <w:rFonts w:hint="default" w:ascii="Times New Roman" w:hAnsi="Times New Roman" w:cs="Times New Roman"/>
                <w:snapToGrid w:val="0"/>
                <w:kern w:val="0"/>
                <w:sz w:val="24"/>
                <w:lang w:val="en-US" w:eastAsia="zh-CN"/>
              </w:rPr>
              <w:t>渗锌材质为16锰钢的六棱形钢体</w:t>
            </w:r>
            <w:r>
              <w:rPr>
                <w:rFonts w:hint="eastAsia" w:ascii="Times New Roman" w:hAnsi="Times New Roman" w:cs="Times New Roman"/>
                <w:snapToGrid w:val="0"/>
                <w:kern w:val="0"/>
                <w:sz w:val="24"/>
                <w:lang w:val="en-US" w:eastAsia="zh-CN"/>
              </w:rPr>
              <w:t>，</w:t>
            </w:r>
            <w:r>
              <w:rPr>
                <w:rFonts w:hint="default" w:ascii="Times New Roman" w:hAnsi="Times New Roman" w:cs="Times New Roman"/>
                <w:snapToGrid w:val="0"/>
                <w:kern w:val="0"/>
                <w:sz w:val="24"/>
                <w:lang w:val="en-US" w:eastAsia="zh-CN"/>
              </w:rPr>
              <w:t>该设备</w:t>
            </w:r>
            <w:r>
              <w:rPr>
                <w:rFonts w:hint="eastAsia" w:ascii="Times New Roman" w:hAnsi="Times New Roman" w:cs="Times New Roman"/>
                <w:snapToGrid w:val="0"/>
                <w:kern w:val="0"/>
                <w:sz w:val="24"/>
                <w:lang w:val="en-US" w:eastAsia="zh-CN"/>
              </w:rPr>
              <w:t>由</w:t>
            </w:r>
            <w:r>
              <w:rPr>
                <w:rFonts w:hint="default" w:ascii="Times New Roman" w:hAnsi="Times New Roman" w:cs="Times New Roman"/>
                <w:snapToGrid w:val="0"/>
                <w:kern w:val="0"/>
                <w:sz w:val="24"/>
                <w:lang w:val="en-US" w:eastAsia="zh-CN"/>
              </w:rPr>
              <w:t>洛阳鑫益达工业设备有限公司制造，</w:t>
            </w:r>
            <w:r>
              <w:rPr>
                <w:rFonts w:hint="eastAsia" w:ascii="Times New Roman" w:hAnsi="Times New Roman" w:cs="Times New Roman"/>
                <w:snapToGrid w:val="0"/>
                <w:kern w:val="0"/>
                <w:sz w:val="24"/>
                <w:lang w:val="en-US" w:eastAsia="zh-CN"/>
              </w:rPr>
              <w:t>该</w:t>
            </w:r>
            <w:r>
              <w:rPr>
                <w:rFonts w:hint="default" w:ascii="Times New Roman" w:hAnsi="Times New Roman" w:cs="Times New Roman"/>
                <w:snapToGrid w:val="0"/>
                <w:kern w:val="0"/>
                <w:sz w:val="24"/>
                <w:lang w:val="en-US" w:eastAsia="zh-CN"/>
              </w:rPr>
              <w:t>公司是专业的渗锌炉设备制造厂商，产品质量过硬，可保证设备性能达到设计标准要求。</w:t>
            </w:r>
            <w:r>
              <w:rPr>
                <w:rFonts w:hint="eastAsia" w:ascii="Times New Roman" w:hAnsi="Times New Roman" w:cs="Times New Roman"/>
                <w:snapToGrid w:val="0"/>
                <w:kern w:val="0"/>
                <w:sz w:val="24"/>
                <w:lang w:val="en-US" w:eastAsia="zh-CN"/>
              </w:rPr>
              <w:t>钢零件</w:t>
            </w:r>
            <w:r>
              <w:rPr>
                <w:rFonts w:hint="default" w:ascii="Times New Roman" w:hAnsi="Times New Roman" w:cs="Times New Roman"/>
                <w:snapToGrid w:val="0"/>
                <w:kern w:val="0"/>
                <w:sz w:val="24"/>
                <w:lang w:val="en-US" w:eastAsia="zh-CN"/>
              </w:rPr>
              <w:t>在装炉和出炉过程中粉状渗剂的装入是在渗锌炉密闭的条件下通过密闭管道进行</w:t>
            </w:r>
            <w:r>
              <w:rPr>
                <w:rFonts w:hint="eastAsia" w:ascii="Times New Roman" w:hAnsi="Times New Roman" w:cs="Times New Roman"/>
                <w:snapToGrid w:val="0"/>
                <w:kern w:val="0"/>
                <w:sz w:val="24"/>
                <w:lang w:val="en-US" w:eastAsia="zh-CN"/>
              </w:rPr>
              <w:t>，</w:t>
            </w:r>
            <w:r>
              <w:rPr>
                <w:rFonts w:hint="default" w:ascii="Times New Roman" w:hAnsi="Times New Roman" w:cs="Times New Roman"/>
                <w:snapToGrid w:val="0"/>
                <w:kern w:val="0"/>
                <w:sz w:val="24"/>
                <w:lang w:val="en-US" w:eastAsia="zh-CN"/>
              </w:rPr>
              <w:t>系统在DCS电脑系统控制下完成的，最大程度</w:t>
            </w:r>
            <w:r>
              <w:rPr>
                <w:rFonts w:hint="eastAsia" w:ascii="Times New Roman" w:hAnsi="Times New Roman" w:cs="Times New Roman"/>
                <w:snapToGrid w:val="0"/>
                <w:kern w:val="0"/>
                <w:sz w:val="24"/>
                <w:lang w:val="en-US" w:eastAsia="zh-CN"/>
              </w:rPr>
              <w:t>地</w:t>
            </w:r>
            <w:r>
              <w:rPr>
                <w:rFonts w:hint="default" w:ascii="Times New Roman" w:hAnsi="Times New Roman" w:cs="Times New Roman"/>
                <w:snapToGrid w:val="0"/>
                <w:kern w:val="0"/>
                <w:sz w:val="24"/>
                <w:lang w:val="en-US" w:eastAsia="zh-CN"/>
              </w:rPr>
              <w:t>避免了锌粉的外漏。渗锌过程炉内温度为400℃，炉内粉剂全过程均为固体，不会产生气化，因此不会导致炉内产生高压，并且出炉前在渗锌炉密闭条件</w:t>
            </w:r>
            <w:r>
              <w:rPr>
                <w:rFonts w:hint="eastAsia" w:ascii="Times New Roman" w:hAnsi="Times New Roman" w:cs="Times New Roman"/>
                <w:snapToGrid w:val="0"/>
                <w:kern w:val="0"/>
                <w:sz w:val="24"/>
                <w:lang w:val="en-US" w:eastAsia="zh-CN"/>
              </w:rPr>
              <w:t>下</w:t>
            </w:r>
            <w:r>
              <w:rPr>
                <w:rFonts w:hint="default" w:ascii="Times New Roman" w:hAnsi="Times New Roman" w:cs="Times New Roman"/>
                <w:snapToGrid w:val="0"/>
                <w:kern w:val="0"/>
                <w:sz w:val="24"/>
                <w:lang w:val="en-US" w:eastAsia="zh-CN"/>
              </w:rPr>
              <w:t>进行</w:t>
            </w:r>
            <w:r>
              <w:rPr>
                <w:rFonts w:hint="eastAsia" w:ascii="Times New Roman" w:hAnsi="Times New Roman" w:cs="Times New Roman"/>
                <w:snapToGrid w:val="0"/>
                <w:kern w:val="0"/>
                <w:sz w:val="24"/>
                <w:lang w:val="en-US" w:eastAsia="zh-CN"/>
              </w:rPr>
              <w:t>自然</w:t>
            </w:r>
            <w:r>
              <w:rPr>
                <w:rFonts w:hint="default" w:ascii="Times New Roman" w:hAnsi="Times New Roman" w:cs="Times New Roman"/>
                <w:snapToGrid w:val="0"/>
                <w:kern w:val="0"/>
                <w:sz w:val="24"/>
                <w:lang w:val="en-US" w:eastAsia="zh-CN"/>
              </w:rPr>
              <w:t>降温，从而避免了因炉内外压力差导致炉内锌粉外溢的可能。</w:t>
            </w:r>
          </w:p>
          <w:p w14:paraId="7A6D6FF1">
            <w:pPr>
              <w:adjustRightInd w:val="0"/>
              <w:snapToGrid w:val="0"/>
              <w:spacing w:line="360" w:lineRule="auto"/>
              <w:ind w:firstLine="480" w:firstLineChars="200"/>
              <w:rPr>
                <w:rFonts w:hint="default" w:ascii="Times New Roman" w:hAnsi="Times New Roman" w:cs="Times New Roman"/>
                <w:snapToGrid w:val="0"/>
                <w:kern w:val="0"/>
                <w:sz w:val="24"/>
                <w:lang w:val="en-US" w:eastAsia="zh-CN"/>
              </w:rPr>
            </w:pPr>
            <w:r>
              <w:rPr>
                <w:rFonts w:hint="default" w:ascii="Times New Roman" w:hAnsi="Times New Roman" w:cs="Times New Roman"/>
                <w:snapToGrid w:val="0"/>
                <w:kern w:val="0"/>
                <w:sz w:val="24"/>
                <w:lang w:val="en-US" w:eastAsia="zh-CN"/>
              </w:rPr>
              <w:t>⑤</w:t>
            </w:r>
            <w:r>
              <w:rPr>
                <w:rFonts w:hint="eastAsia" w:ascii="Times New Roman" w:hAnsi="Times New Roman" w:cs="Times New Roman"/>
                <w:snapToGrid w:val="0"/>
                <w:kern w:val="0"/>
                <w:sz w:val="24"/>
                <w:lang w:val="en-US" w:eastAsia="zh-CN"/>
              </w:rPr>
              <w:t>冷却开炉</w:t>
            </w:r>
          </w:p>
          <w:p w14:paraId="076197D8">
            <w:pPr>
              <w:adjustRightInd w:val="0"/>
              <w:snapToGrid w:val="0"/>
              <w:spacing w:line="360" w:lineRule="auto"/>
              <w:ind w:firstLine="480" w:firstLineChars="200"/>
              <w:rPr>
                <w:rFonts w:hint="default" w:ascii="Times New Roman" w:hAnsi="Times New Roman" w:cs="Times New Roman"/>
                <w:snapToGrid w:val="0"/>
                <w:kern w:val="0"/>
                <w:sz w:val="24"/>
                <w:lang w:val="en-US" w:eastAsia="zh-CN"/>
              </w:rPr>
            </w:pPr>
            <w:r>
              <w:rPr>
                <w:rFonts w:hint="default" w:ascii="Times New Roman" w:hAnsi="Times New Roman" w:cs="Times New Roman"/>
                <w:snapToGrid w:val="0"/>
                <w:kern w:val="0"/>
                <w:sz w:val="24"/>
                <w:lang w:val="en-US" w:eastAsia="zh-CN"/>
              </w:rPr>
              <w:t>渗锌结束后，</w:t>
            </w:r>
            <w:r>
              <w:rPr>
                <w:rFonts w:hint="eastAsia" w:ascii="Times New Roman" w:hAnsi="Times New Roman" w:cs="Times New Roman"/>
                <w:snapToGrid w:val="0"/>
                <w:kern w:val="0"/>
                <w:sz w:val="24"/>
                <w:lang w:val="en-US" w:eastAsia="zh-CN"/>
              </w:rPr>
              <w:t>关闭电加热</w:t>
            </w:r>
            <w:r>
              <w:rPr>
                <w:rFonts w:hint="default" w:ascii="Times New Roman" w:hAnsi="Times New Roman" w:cs="Times New Roman"/>
                <w:snapToGrid w:val="0"/>
                <w:kern w:val="0"/>
                <w:sz w:val="24"/>
                <w:lang w:val="en-US" w:eastAsia="zh-CN"/>
              </w:rPr>
              <w:t>渗锌炉</w:t>
            </w:r>
            <w:r>
              <w:rPr>
                <w:rFonts w:hint="eastAsia" w:ascii="Times New Roman" w:hAnsi="Times New Roman" w:cs="Times New Roman"/>
                <w:snapToGrid w:val="0"/>
                <w:kern w:val="0"/>
                <w:sz w:val="24"/>
                <w:lang w:val="en-US" w:eastAsia="zh-CN"/>
              </w:rPr>
              <w:t>的加热系统，滚筒继续转动冷却，</w:t>
            </w:r>
            <w:r>
              <w:rPr>
                <w:rFonts w:hint="default" w:ascii="Times New Roman" w:hAnsi="Times New Roman" w:cs="Times New Roman"/>
                <w:snapToGrid w:val="0"/>
                <w:kern w:val="0"/>
                <w:sz w:val="24"/>
                <w:lang w:val="en-US" w:eastAsia="zh-CN"/>
              </w:rPr>
              <w:t>使渗锌炉</w:t>
            </w:r>
            <w:r>
              <w:rPr>
                <w:rFonts w:hint="eastAsia" w:ascii="Times New Roman" w:hAnsi="Times New Roman" w:cs="Times New Roman"/>
                <w:snapToGrid w:val="0"/>
                <w:kern w:val="0"/>
                <w:sz w:val="24"/>
                <w:lang w:val="en-US" w:eastAsia="zh-CN"/>
              </w:rPr>
              <w:t>内自然</w:t>
            </w:r>
            <w:r>
              <w:rPr>
                <w:rFonts w:hint="default" w:ascii="Times New Roman" w:hAnsi="Times New Roman" w:cs="Times New Roman"/>
                <w:snapToGrid w:val="0"/>
                <w:kern w:val="0"/>
                <w:sz w:val="24"/>
                <w:lang w:val="en-US" w:eastAsia="zh-CN"/>
              </w:rPr>
              <w:t>降温，</w:t>
            </w:r>
            <w:r>
              <w:rPr>
                <w:rFonts w:hint="eastAsia" w:ascii="Times New Roman" w:hAnsi="Times New Roman" w:cs="Times New Roman"/>
                <w:snapToGrid w:val="0"/>
                <w:kern w:val="0"/>
                <w:sz w:val="24"/>
                <w:lang w:val="en-US" w:eastAsia="zh-CN"/>
              </w:rPr>
              <w:t>使</w:t>
            </w:r>
            <w:r>
              <w:rPr>
                <w:rFonts w:hint="default" w:ascii="Times New Roman" w:hAnsi="Times New Roman" w:cs="Times New Roman"/>
                <w:snapToGrid w:val="0"/>
                <w:kern w:val="0"/>
                <w:sz w:val="24"/>
                <w:lang w:val="en-US" w:eastAsia="zh-CN"/>
              </w:rPr>
              <w:t>炉内物件冷却</w:t>
            </w:r>
            <w:r>
              <w:rPr>
                <w:rFonts w:hint="eastAsia" w:ascii="Times New Roman" w:hAnsi="Times New Roman" w:cs="Times New Roman"/>
                <w:snapToGrid w:val="0"/>
                <w:kern w:val="0"/>
                <w:sz w:val="24"/>
                <w:lang w:val="en-US" w:eastAsia="zh-CN"/>
              </w:rPr>
              <w:t>至常温</w:t>
            </w:r>
            <w:r>
              <w:rPr>
                <w:rFonts w:hint="default" w:ascii="Times New Roman" w:hAnsi="Times New Roman" w:cs="Times New Roman"/>
                <w:snapToGrid w:val="0"/>
                <w:kern w:val="0"/>
                <w:sz w:val="24"/>
                <w:lang w:val="en-US" w:eastAsia="zh-CN"/>
              </w:rPr>
              <w:t>。冷却过程渗锌炉仍然处于封闭状态，不会产生锌粉外漏</w:t>
            </w:r>
            <w:r>
              <w:rPr>
                <w:rFonts w:hint="eastAsia" w:ascii="Times New Roman" w:hAnsi="Times New Roman" w:cs="Times New Roman"/>
                <w:snapToGrid w:val="0"/>
                <w:kern w:val="0"/>
                <w:sz w:val="24"/>
                <w:lang w:val="en-US" w:eastAsia="zh-CN"/>
              </w:rPr>
              <w:t>，此过程无污染物产生。</w:t>
            </w:r>
          </w:p>
          <w:p w14:paraId="21563D36">
            <w:pPr>
              <w:adjustRightInd w:val="0"/>
              <w:snapToGrid w:val="0"/>
              <w:spacing w:line="360" w:lineRule="auto"/>
              <w:ind w:firstLine="480" w:firstLineChars="200"/>
              <w:rPr>
                <w:rFonts w:hint="default" w:ascii="Times New Roman" w:hAnsi="Times New Roman" w:cs="Times New Roman"/>
                <w:snapToGrid w:val="0"/>
                <w:kern w:val="0"/>
                <w:sz w:val="24"/>
                <w:lang w:val="en-US" w:eastAsia="zh-CN"/>
              </w:rPr>
            </w:pPr>
            <w:r>
              <w:rPr>
                <w:rFonts w:hint="default" w:ascii="Times New Roman" w:hAnsi="Times New Roman" w:cs="Times New Roman"/>
                <w:snapToGrid w:val="0"/>
                <w:kern w:val="0"/>
                <w:sz w:val="24"/>
                <w:lang w:val="en-US" w:eastAsia="zh-CN"/>
              </w:rPr>
              <w:t>⑥</w:t>
            </w:r>
            <w:r>
              <w:rPr>
                <w:rFonts w:hint="eastAsia" w:ascii="Times New Roman" w:hAnsi="Times New Roman" w:cs="Times New Roman"/>
                <w:snapToGrid w:val="0"/>
                <w:kern w:val="0"/>
                <w:sz w:val="24"/>
                <w:lang w:val="en-US" w:eastAsia="zh-CN"/>
              </w:rPr>
              <w:t>振动分离</w:t>
            </w:r>
          </w:p>
          <w:p w14:paraId="633CF000">
            <w:pPr>
              <w:adjustRightInd w:val="0"/>
              <w:snapToGrid w:val="0"/>
              <w:spacing w:line="360" w:lineRule="auto"/>
              <w:ind w:firstLine="480" w:firstLineChars="200"/>
              <w:rPr>
                <w:rFonts w:hint="default"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冷却结束后开炉，将四方滚筒整体吊至振动分离筛，将工件、防粘接剂（附着少量锌粉）进行振动分离，振动分离筛上方设置集气罩对振动分离过程中产生的粉尘（含有少量锌粉，约为锌粉用量的0.2%）进行收集，分离的防粘接剂（防粘接剂上会附着锌粉，约为锌粉用量的0.8%）通过加料装置再次均匀添加至四方滚筒中循环使用，筛上的钢零件进入后端水洗封闭工序。此过程主要产生废气、设备噪声以及危险废物（含锌除尘灰）。</w:t>
            </w:r>
          </w:p>
          <w:p w14:paraId="753BEC46">
            <w:pPr>
              <w:adjustRightInd w:val="0"/>
              <w:snapToGrid w:val="0"/>
              <w:spacing w:line="360" w:lineRule="auto"/>
              <w:ind w:firstLine="480" w:firstLineChars="200"/>
              <w:rPr>
                <w:rFonts w:hint="default"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振动分离以及抛丸工序产生的粉尘经收集后共用1套脉冲布袋除尘装置，粉尘经处理后经1根15mDA001排气筒排放。</w:t>
            </w:r>
          </w:p>
          <w:p w14:paraId="0B13D53C">
            <w:pPr>
              <w:adjustRightInd w:val="0"/>
              <w:snapToGrid w:val="0"/>
              <w:spacing w:line="360" w:lineRule="auto"/>
              <w:ind w:firstLine="480" w:firstLineChars="200"/>
              <w:rPr>
                <w:rFonts w:hint="default" w:ascii="Times New Roman" w:hAnsi="Times New Roman" w:cs="Times New Roman"/>
                <w:snapToGrid w:val="0"/>
                <w:kern w:val="0"/>
                <w:sz w:val="24"/>
                <w:lang w:val="en-US" w:eastAsia="zh-CN"/>
              </w:rPr>
            </w:pPr>
            <w:r>
              <w:rPr>
                <w:rFonts w:hint="default" w:ascii="Times New Roman" w:hAnsi="Times New Roman" w:cs="Times New Roman"/>
                <w:snapToGrid w:val="0"/>
                <w:kern w:val="0"/>
                <w:sz w:val="24"/>
                <w:lang w:val="en-US" w:eastAsia="zh-CN"/>
              </w:rPr>
              <w:t>⑦</w:t>
            </w:r>
            <w:r>
              <w:rPr>
                <w:rFonts w:hint="eastAsia" w:ascii="Times New Roman" w:hAnsi="Times New Roman" w:cs="Times New Roman"/>
                <w:snapToGrid w:val="0"/>
                <w:kern w:val="0"/>
                <w:sz w:val="24"/>
                <w:lang w:val="en-US" w:eastAsia="zh-CN"/>
              </w:rPr>
              <w:t>自动水洗</w:t>
            </w:r>
          </w:p>
          <w:p w14:paraId="58F0821A">
            <w:pPr>
              <w:adjustRightInd w:val="0"/>
              <w:snapToGrid w:val="0"/>
              <w:spacing w:line="360" w:lineRule="auto"/>
              <w:ind w:firstLine="480" w:firstLineChars="200"/>
              <w:rPr>
                <w:rFonts w:hint="default"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将分离后的钢零件直接落入水洗槽中进行清洗，设置水洗槽1座，水洗槽尺寸为6m×0.8m×0.5m，设计容积为2.4m3，有效容积为2m3，水洗后的钢零件通过板链输送至料筐内暂存，废水经管道引入1座沉淀池进行处理，处理后引入过滤压滤系统进行处理，经处理后再次回用至水洗工序，此过程主要产生废水、噪声以及危险废物（污泥）。</w:t>
            </w:r>
          </w:p>
          <w:p w14:paraId="44EBE1CE">
            <w:pPr>
              <w:adjustRightInd w:val="0"/>
              <w:snapToGrid w:val="0"/>
              <w:spacing w:line="360" w:lineRule="auto"/>
              <w:ind w:firstLine="480" w:firstLineChars="200"/>
              <w:rPr>
                <w:rFonts w:hint="default" w:ascii="Times New Roman" w:hAnsi="Times New Roman" w:cs="Times New Roman"/>
                <w:snapToGrid w:val="0"/>
                <w:kern w:val="0"/>
                <w:sz w:val="24"/>
                <w:lang w:val="en-US" w:eastAsia="zh-CN"/>
              </w:rPr>
            </w:pPr>
            <w:r>
              <w:rPr>
                <w:rFonts w:hint="default" w:ascii="Times New Roman" w:hAnsi="Times New Roman" w:cs="Times New Roman"/>
                <w:snapToGrid w:val="0"/>
                <w:kern w:val="0"/>
                <w:sz w:val="24"/>
                <w:lang w:val="en-US" w:eastAsia="zh-CN"/>
              </w:rPr>
              <w:t>⑧</w:t>
            </w:r>
            <w:r>
              <w:rPr>
                <w:rFonts w:hint="eastAsia" w:ascii="Times New Roman" w:hAnsi="Times New Roman" w:cs="Times New Roman"/>
                <w:snapToGrid w:val="0"/>
                <w:kern w:val="0"/>
                <w:sz w:val="24"/>
                <w:lang w:val="en-US" w:eastAsia="zh-CN"/>
              </w:rPr>
              <w:t>一次封闭</w:t>
            </w:r>
          </w:p>
          <w:p w14:paraId="6786ED3B">
            <w:pPr>
              <w:adjustRightInd w:val="0"/>
              <w:snapToGrid w:val="0"/>
              <w:spacing w:line="360" w:lineRule="auto"/>
              <w:ind w:firstLine="480" w:firstLineChars="200"/>
              <w:rPr>
                <w:rFonts w:hint="default"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水洗后在钢零件全部暂存在料筐内，经机械手臂抓住料筐，将料筐整体放入封闭槽内进行封闭，本项目采用环保型封闭剂，无需配置，封闭槽的封闭液不进行更换，仅添加保持液位和浓度，主要成分为碳酸钠、硅溶胶和高分子聚合物，不含酸和重金属，封闭时间为15秒～30秒，封闭结束后经机械手臂将料筐抓起转用至离心脱水机，环保型封闭剂在使用过程中无废气挥发，此过程主要产生设备噪声。</w:t>
            </w:r>
          </w:p>
          <w:p w14:paraId="0E8FA6FE">
            <w:pPr>
              <w:adjustRightInd w:val="0"/>
              <w:snapToGrid w:val="0"/>
              <w:spacing w:line="360" w:lineRule="auto"/>
              <w:ind w:firstLine="480" w:firstLineChars="200"/>
              <w:rPr>
                <w:rFonts w:hint="default" w:ascii="Times New Roman" w:hAnsi="Times New Roman" w:cs="Times New Roman"/>
                <w:snapToGrid w:val="0"/>
                <w:kern w:val="0"/>
                <w:sz w:val="24"/>
                <w:lang w:val="en-US" w:eastAsia="zh-CN"/>
              </w:rPr>
            </w:pPr>
            <w:r>
              <w:rPr>
                <w:rFonts w:hint="default" w:ascii="Times New Roman" w:hAnsi="Times New Roman" w:cs="Times New Roman"/>
                <w:snapToGrid w:val="0"/>
                <w:kern w:val="0"/>
                <w:sz w:val="24"/>
                <w:lang w:val="en-US" w:eastAsia="zh-CN"/>
              </w:rPr>
              <w:t>⑨</w:t>
            </w:r>
            <w:r>
              <w:rPr>
                <w:rFonts w:hint="eastAsia" w:ascii="Times New Roman" w:hAnsi="Times New Roman" w:cs="Times New Roman"/>
                <w:snapToGrid w:val="0"/>
                <w:kern w:val="0"/>
                <w:sz w:val="24"/>
                <w:lang w:val="en-US" w:eastAsia="zh-CN"/>
              </w:rPr>
              <w:t>脱水烘干</w:t>
            </w:r>
          </w:p>
          <w:p w14:paraId="66963471">
            <w:pPr>
              <w:adjustRightInd w:val="0"/>
              <w:snapToGrid w:val="0"/>
              <w:spacing w:line="360" w:lineRule="auto"/>
              <w:ind w:firstLine="480" w:firstLineChars="200"/>
              <w:rPr>
                <w:rFonts w:hint="default"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封闭结束后经机械手臂将料筐抓起专用至离心脱水机进行机械脱水，脱水后再将钢零件转运至烘干炉进行烘干，烘干炉采用电加热，封闭剂烘干温度为80-120℃，烘干时间为5～10分钟，在烘干过程中无废气产生，此过程主要产生设备噪声。</w:t>
            </w:r>
          </w:p>
          <w:p w14:paraId="2E74820C">
            <w:pPr>
              <w:adjustRightInd w:val="0"/>
              <w:snapToGrid w:val="0"/>
              <w:spacing w:line="360" w:lineRule="auto"/>
              <w:ind w:firstLine="480" w:firstLineChars="200"/>
              <w:rPr>
                <w:rFonts w:hint="eastAsia" w:ascii="Times New Roman" w:hAnsi="Times New Roman" w:cs="Times New Roman"/>
                <w:snapToGrid w:val="0"/>
                <w:kern w:val="0"/>
                <w:sz w:val="24"/>
                <w:lang w:val="en-US" w:eastAsia="zh-CN"/>
              </w:rPr>
            </w:pPr>
            <w:r>
              <w:rPr>
                <w:rFonts w:hint="default" w:ascii="Times New Roman" w:hAnsi="Times New Roman" w:cs="Times New Roman"/>
                <w:snapToGrid w:val="0"/>
                <w:kern w:val="0"/>
                <w:sz w:val="24"/>
                <w:lang w:val="en-US" w:eastAsia="zh-CN"/>
              </w:rPr>
              <w:t>⑩</w:t>
            </w:r>
            <w:r>
              <w:rPr>
                <w:rFonts w:hint="eastAsia" w:ascii="Times New Roman" w:hAnsi="Times New Roman" w:cs="Times New Roman"/>
                <w:snapToGrid w:val="0"/>
                <w:kern w:val="0"/>
                <w:sz w:val="24"/>
                <w:lang w:val="en-US" w:eastAsia="zh-CN"/>
              </w:rPr>
              <w:t>二次封闭</w:t>
            </w:r>
          </w:p>
          <w:p w14:paraId="65374B18">
            <w:pPr>
              <w:adjustRightInd w:val="0"/>
              <w:snapToGrid w:val="0"/>
              <w:spacing w:line="360" w:lineRule="auto"/>
              <w:ind w:firstLine="480" w:firstLineChars="200"/>
              <w:rPr>
                <w:rFonts w:hint="eastAsia" w:ascii="Times New Roman" w:hAnsi="Times New Roman" w:cs="Times New Roman"/>
                <w:snapToGrid w:val="0"/>
                <w:kern w:val="0"/>
                <w:sz w:val="24"/>
                <w:lang w:val="en-US" w:eastAsia="zh-CN"/>
              </w:rPr>
            </w:pPr>
            <w:r>
              <w:rPr>
                <w:rFonts w:hint="eastAsia" w:ascii="Times New Roman" w:hAnsi="Times New Roman" w:cs="Times New Roman"/>
                <w:snapToGrid w:val="0"/>
                <w:kern w:val="0"/>
                <w:sz w:val="24"/>
                <w:lang w:val="en-US" w:eastAsia="zh-CN"/>
              </w:rPr>
              <w:t>一次封闭结束后进行按照客户要求，部分工件需要进行二次封闭，本项目采用水性漆对工件进行二次封闭，</w:t>
            </w:r>
            <w:r>
              <w:rPr>
                <w:rFonts w:hint="default" w:ascii="Times New Roman" w:hAnsi="Times New Roman" w:cs="Times New Roman"/>
                <w:snapToGrid w:val="0"/>
                <w:kern w:val="0"/>
                <w:sz w:val="24"/>
                <w:lang w:val="en-US" w:eastAsia="zh-CN"/>
              </w:rPr>
              <w:t>本项目设置密闭喷漆房1座，</w:t>
            </w:r>
            <w:r>
              <w:rPr>
                <w:rFonts w:hint="eastAsia" w:ascii="Times New Roman" w:hAnsi="Times New Roman" w:cs="Times New Roman"/>
                <w:snapToGrid w:val="0"/>
                <w:kern w:val="0"/>
                <w:sz w:val="24"/>
                <w:lang w:val="en-US" w:eastAsia="zh-CN"/>
              </w:rPr>
              <w:t>在喷漆房南侧区域设置烘干房1座，采用电加热进行烘干。</w:t>
            </w:r>
          </w:p>
          <w:p w14:paraId="22530342">
            <w:pPr>
              <w:adjustRightInd w:val="0"/>
              <w:snapToGrid w:val="0"/>
              <w:spacing w:line="360" w:lineRule="auto"/>
              <w:ind w:firstLine="480" w:firstLineChars="200"/>
              <w:rPr>
                <w:rFonts w:hint="default" w:ascii="Times New Roman" w:hAnsi="Times New Roman" w:cs="Times New Roman"/>
                <w:snapToGrid w:val="0"/>
                <w:kern w:val="0"/>
                <w:sz w:val="24"/>
                <w:lang w:val="en-US" w:eastAsia="zh-CN"/>
              </w:rPr>
            </w:pPr>
            <w:r>
              <w:rPr>
                <w:rFonts w:hint="default" w:ascii="Times New Roman" w:hAnsi="Times New Roman" w:cs="Times New Roman"/>
                <w:snapToGrid w:val="0"/>
                <w:kern w:val="0"/>
                <w:sz w:val="24"/>
                <w:lang w:val="en-US" w:eastAsia="zh-CN"/>
              </w:rPr>
              <w:t>具体如下所示</w:t>
            </w:r>
            <w:r>
              <w:rPr>
                <w:rFonts w:hint="eastAsia" w:ascii="Times New Roman" w:hAnsi="Times New Roman" w:cs="Times New Roman"/>
                <w:snapToGrid w:val="0"/>
                <w:kern w:val="0"/>
                <w:sz w:val="24"/>
                <w:lang w:val="en-US" w:eastAsia="zh-CN"/>
              </w:rPr>
              <w:t>。</w:t>
            </w:r>
          </w:p>
          <w:p w14:paraId="5FDBD693">
            <w:pPr>
              <w:adjustRightInd w:val="0"/>
              <w:snapToGrid w:val="0"/>
              <w:spacing w:line="360" w:lineRule="auto"/>
              <w:ind w:firstLine="480" w:firstLineChars="200"/>
              <w:rPr>
                <w:rFonts w:hint="default" w:ascii="Times New Roman" w:hAnsi="Times New Roman" w:cs="Times New Roman"/>
                <w:snapToGrid w:val="0"/>
                <w:kern w:val="0"/>
                <w:sz w:val="24"/>
                <w:lang w:val="en-US" w:eastAsia="zh-CN"/>
              </w:rPr>
            </w:pPr>
            <w:r>
              <w:rPr>
                <w:rFonts w:hint="default" w:ascii="Times New Roman" w:hAnsi="Times New Roman" w:cs="Times New Roman"/>
                <w:snapToGrid w:val="0"/>
                <w:kern w:val="0"/>
                <w:sz w:val="24"/>
                <w:lang w:val="en-US" w:eastAsia="zh-CN"/>
              </w:rPr>
              <w:t>喷漆：用</w:t>
            </w:r>
            <w:r>
              <w:rPr>
                <w:rFonts w:hint="eastAsia" w:ascii="Times New Roman" w:hAnsi="Times New Roman" w:cs="Times New Roman"/>
                <w:snapToGrid w:val="0"/>
                <w:kern w:val="0"/>
                <w:sz w:val="24"/>
                <w:lang w:val="en-US" w:eastAsia="zh-CN"/>
              </w:rPr>
              <w:t>将外购</w:t>
            </w:r>
            <w:r>
              <w:rPr>
                <w:rFonts w:hint="default" w:ascii="Times New Roman" w:hAnsi="Times New Roman" w:cs="Times New Roman"/>
                <w:snapToGrid w:val="0"/>
                <w:kern w:val="0"/>
                <w:sz w:val="24"/>
                <w:lang w:val="en-US" w:eastAsia="zh-CN"/>
              </w:rPr>
              <w:t>配比好的</w:t>
            </w:r>
            <w:r>
              <w:rPr>
                <w:rFonts w:hint="eastAsia" w:ascii="Times New Roman" w:hAnsi="Times New Roman" w:cs="Times New Roman"/>
                <w:snapToGrid w:val="0"/>
                <w:kern w:val="0"/>
                <w:sz w:val="24"/>
                <w:lang w:val="en-US" w:eastAsia="zh-CN"/>
              </w:rPr>
              <w:t>水性漆</w:t>
            </w:r>
            <w:r>
              <w:rPr>
                <w:rFonts w:hint="default" w:ascii="Times New Roman" w:hAnsi="Times New Roman" w:cs="Times New Roman"/>
                <w:snapToGrid w:val="0"/>
                <w:kern w:val="0"/>
                <w:sz w:val="24"/>
                <w:lang w:val="en-US" w:eastAsia="zh-CN"/>
              </w:rPr>
              <w:t>在喷漆房进行喷漆，使用喷枪进行喷漆，喷枪压力0.4-0.6Mpa，此过程主要产生有机废气</w:t>
            </w:r>
            <w:r>
              <w:rPr>
                <w:rFonts w:hint="eastAsia" w:ascii="Times New Roman" w:hAnsi="Times New Roman" w:cs="Times New Roman"/>
                <w:snapToGrid w:val="0"/>
                <w:kern w:val="0"/>
                <w:sz w:val="24"/>
                <w:lang w:val="en-US" w:eastAsia="zh-CN"/>
              </w:rPr>
              <w:t>、漆渣</w:t>
            </w:r>
            <w:r>
              <w:rPr>
                <w:rFonts w:hint="default" w:ascii="Times New Roman" w:hAnsi="Times New Roman" w:cs="Times New Roman"/>
                <w:snapToGrid w:val="0"/>
                <w:kern w:val="0"/>
                <w:sz w:val="24"/>
                <w:lang w:val="en-US" w:eastAsia="zh-CN"/>
              </w:rPr>
              <w:t>以及噪声，废气处置过程中会产生</w:t>
            </w:r>
            <w:r>
              <w:rPr>
                <w:rFonts w:hint="eastAsia" w:ascii="Times New Roman" w:hAnsi="Times New Roman" w:cs="Times New Roman"/>
                <w:snapToGrid w:val="0"/>
                <w:kern w:val="0"/>
                <w:sz w:val="24"/>
                <w:lang w:val="en-US" w:eastAsia="zh-CN"/>
              </w:rPr>
              <w:t>废过滤棉、</w:t>
            </w:r>
            <w:r>
              <w:rPr>
                <w:rFonts w:hint="default" w:ascii="Times New Roman" w:hAnsi="Times New Roman" w:cs="Times New Roman"/>
                <w:snapToGrid w:val="0"/>
                <w:kern w:val="0"/>
                <w:sz w:val="24"/>
                <w:lang w:val="en-US" w:eastAsia="zh-CN"/>
              </w:rPr>
              <w:t>废活性炭；</w:t>
            </w:r>
          </w:p>
          <w:p w14:paraId="234B4D93">
            <w:pPr>
              <w:adjustRightInd w:val="0"/>
              <w:snapToGrid w:val="0"/>
              <w:spacing w:line="360" w:lineRule="auto"/>
              <w:ind w:firstLine="480" w:firstLineChars="200"/>
              <w:rPr>
                <w:rFonts w:hint="default" w:ascii="Times New Roman" w:hAnsi="Times New Roman" w:cs="Times New Roman"/>
                <w:snapToGrid w:val="0"/>
                <w:kern w:val="0"/>
                <w:sz w:val="24"/>
                <w:lang w:val="en-US" w:eastAsia="zh-CN"/>
              </w:rPr>
            </w:pPr>
            <w:r>
              <w:rPr>
                <w:rFonts w:hint="default" w:ascii="Times New Roman" w:hAnsi="Times New Roman" w:cs="Times New Roman"/>
                <w:snapToGrid w:val="0"/>
                <w:kern w:val="0"/>
                <w:sz w:val="24"/>
                <w:lang w:val="en-US" w:eastAsia="zh-CN"/>
              </w:rPr>
              <w:t>喷漆时，外部空气从喷漆房前端进入喷漆房内，气流在工件周围形成风幕。这时漆房内有载风速可达0.4m/s，喷漆时产生的漆雾不会在停留，而随气流迅速移动，之后在排风机的作用下，经过漆雾过滤后向抽风口收缩，经过</w:t>
            </w:r>
            <w:r>
              <w:rPr>
                <w:rFonts w:hint="eastAsia" w:ascii="Times New Roman" w:hAnsi="Times New Roman" w:cs="Times New Roman"/>
                <w:snapToGrid w:val="0"/>
                <w:kern w:val="0"/>
                <w:sz w:val="24"/>
                <w:lang w:val="en-US" w:eastAsia="zh-CN"/>
              </w:rPr>
              <w:t>过滤棉收集后引入1套二级活性炭吸附</w:t>
            </w:r>
            <w:r>
              <w:rPr>
                <w:rFonts w:hint="default" w:ascii="Times New Roman" w:hAnsi="Times New Roman" w:cs="Times New Roman"/>
                <w:snapToGrid w:val="0"/>
                <w:kern w:val="0"/>
                <w:sz w:val="24"/>
                <w:lang w:val="en-US" w:eastAsia="zh-CN"/>
              </w:rPr>
              <w:t>装置处理，处理后的废气由1根15米高排气筒排放，编号DA00</w:t>
            </w:r>
            <w:r>
              <w:rPr>
                <w:rFonts w:hint="eastAsia" w:ascii="Times New Roman" w:hAnsi="Times New Roman" w:cs="Times New Roman"/>
                <w:snapToGrid w:val="0"/>
                <w:kern w:val="0"/>
                <w:sz w:val="24"/>
                <w:lang w:val="en-US" w:eastAsia="zh-CN"/>
              </w:rPr>
              <w:t>3</w:t>
            </w:r>
            <w:r>
              <w:rPr>
                <w:rFonts w:hint="default" w:ascii="Times New Roman" w:hAnsi="Times New Roman" w:cs="Times New Roman"/>
                <w:snapToGrid w:val="0"/>
                <w:kern w:val="0"/>
                <w:sz w:val="24"/>
                <w:lang w:val="en-US" w:eastAsia="zh-CN"/>
              </w:rPr>
              <w:t>。</w:t>
            </w:r>
          </w:p>
          <w:p w14:paraId="251AD4EC">
            <w:pPr>
              <w:adjustRightInd w:val="0"/>
              <w:snapToGrid w:val="0"/>
              <w:spacing w:line="360" w:lineRule="auto"/>
              <w:ind w:firstLine="480" w:firstLineChars="200"/>
              <w:rPr>
                <w:rFonts w:hint="default" w:ascii="Times New Roman" w:hAnsi="Times New Roman" w:cs="Times New Roman"/>
                <w:snapToGrid w:val="0"/>
                <w:kern w:val="0"/>
                <w:sz w:val="24"/>
                <w:lang w:val="en-US" w:eastAsia="zh-CN"/>
              </w:rPr>
            </w:pPr>
            <w:r>
              <w:rPr>
                <w:rFonts w:hint="default" w:ascii="Times New Roman" w:hAnsi="Times New Roman" w:cs="Times New Roman"/>
                <w:snapToGrid w:val="0"/>
                <w:kern w:val="0"/>
                <w:sz w:val="24"/>
                <w:lang w:val="en-US" w:eastAsia="zh-CN"/>
              </w:rPr>
              <w:t>⑪</w:t>
            </w:r>
            <w:r>
              <w:rPr>
                <w:rFonts w:hint="eastAsia" w:ascii="Times New Roman" w:hAnsi="Times New Roman" w:cs="Times New Roman"/>
                <w:snapToGrid w:val="0"/>
                <w:kern w:val="0"/>
                <w:sz w:val="24"/>
                <w:lang w:val="en-US" w:eastAsia="zh-CN"/>
              </w:rPr>
              <w:t>烘干</w:t>
            </w:r>
          </w:p>
          <w:p w14:paraId="0F66C9D5">
            <w:pPr>
              <w:adjustRightInd w:val="0"/>
              <w:snapToGrid w:val="0"/>
              <w:spacing w:line="360" w:lineRule="auto"/>
              <w:ind w:firstLine="480" w:firstLineChars="200"/>
              <w:rPr>
                <w:rFonts w:hint="eastAsia" w:ascii="Times New Roman" w:hAnsi="Times New Roman" w:cs="Times New Roman"/>
                <w:snapToGrid w:val="0"/>
                <w:kern w:val="0"/>
                <w:sz w:val="24"/>
                <w:lang w:val="en-US" w:eastAsia="zh-CN"/>
              </w:rPr>
            </w:pPr>
            <w:r>
              <w:rPr>
                <w:rFonts w:hint="default" w:ascii="Times New Roman" w:hAnsi="Times New Roman" w:cs="Times New Roman"/>
                <w:snapToGrid w:val="0"/>
                <w:kern w:val="0"/>
                <w:sz w:val="24"/>
                <w:lang w:val="en-US" w:eastAsia="zh-CN"/>
              </w:rPr>
              <w:t>喷完漆后的工件</w:t>
            </w:r>
            <w:r>
              <w:rPr>
                <w:rFonts w:hint="eastAsia" w:ascii="Times New Roman" w:hAnsi="Times New Roman" w:cs="Times New Roman"/>
                <w:snapToGrid w:val="0"/>
                <w:kern w:val="0"/>
                <w:sz w:val="24"/>
                <w:lang w:val="en-US" w:eastAsia="zh-CN"/>
              </w:rPr>
              <w:t>送入烘干房</w:t>
            </w:r>
            <w:r>
              <w:rPr>
                <w:rFonts w:hint="default" w:ascii="Times New Roman" w:hAnsi="Times New Roman" w:cs="Times New Roman"/>
                <w:snapToGrid w:val="0"/>
                <w:kern w:val="0"/>
                <w:sz w:val="24"/>
                <w:lang w:val="en-US" w:eastAsia="zh-CN"/>
              </w:rPr>
              <w:t>内进行</w:t>
            </w:r>
            <w:r>
              <w:rPr>
                <w:rFonts w:hint="eastAsia" w:ascii="Times New Roman" w:hAnsi="Times New Roman" w:cs="Times New Roman"/>
                <w:snapToGrid w:val="0"/>
                <w:kern w:val="0"/>
                <w:sz w:val="24"/>
                <w:lang w:val="en-US" w:eastAsia="zh-CN"/>
              </w:rPr>
              <w:t>烘干</w:t>
            </w:r>
            <w:r>
              <w:rPr>
                <w:rFonts w:hint="default" w:ascii="Times New Roman" w:hAnsi="Times New Roman" w:cs="Times New Roman"/>
                <w:snapToGrid w:val="0"/>
                <w:kern w:val="0"/>
                <w:sz w:val="24"/>
                <w:lang w:val="en-US" w:eastAsia="zh-CN"/>
              </w:rPr>
              <w:t>，</w:t>
            </w:r>
            <w:r>
              <w:rPr>
                <w:rFonts w:hint="eastAsia" w:ascii="Times New Roman" w:hAnsi="Times New Roman" w:cs="Times New Roman"/>
                <w:snapToGrid w:val="0"/>
                <w:kern w:val="0"/>
                <w:sz w:val="24"/>
                <w:lang w:val="en-US" w:eastAsia="zh-CN"/>
              </w:rPr>
              <w:t>采用电加热进行烘干，烘干后即为成品，</w:t>
            </w:r>
            <w:r>
              <w:rPr>
                <w:rFonts w:hint="default" w:ascii="Times New Roman" w:hAnsi="Times New Roman" w:cs="Times New Roman"/>
                <w:snapToGrid w:val="0"/>
                <w:kern w:val="0"/>
                <w:sz w:val="24"/>
              </w:rPr>
              <w:t>此过程</w:t>
            </w:r>
            <w:r>
              <w:rPr>
                <w:rFonts w:hint="default" w:ascii="Times New Roman" w:hAnsi="Times New Roman" w:cs="Times New Roman"/>
                <w:snapToGrid w:val="0"/>
                <w:kern w:val="0"/>
                <w:sz w:val="24"/>
                <w:lang w:val="en-US" w:eastAsia="zh-CN"/>
              </w:rPr>
              <w:t>主要产生有机废气，废气处置过程中会产生</w:t>
            </w:r>
            <w:r>
              <w:rPr>
                <w:rFonts w:hint="eastAsia" w:ascii="Times New Roman" w:hAnsi="Times New Roman" w:cs="Times New Roman"/>
                <w:snapToGrid w:val="0"/>
                <w:kern w:val="0"/>
                <w:sz w:val="24"/>
                <w:lang w:val="en-US" w:eastAsia="zh-CN"/>
              </w:rPr>
              <w:t>废过滤棉、</w:t>
            </w:r>
            <w:r>
              <w:rPr>
                <w:rFonts w:hint="default" w:ascii="Times New Roman" w:hAnsi="Times New Roman" w:cs="Times New Roman"/>
                <w:snapToGrid w:val="0"/>
                <w:kern w:val="0"/>
                <w:sz w:val="24"/>
                <w:lang w:val="en-US" w:eastAsia="zh-CN"/>
              </w:rPr>
              <w:t>废活性炭</w:t>
            </w:r>
            <w:r>
              <w:rPr>
                <w:rFonts w:hint="eastAsia" w:ascii="Times New Roman" w:hAnsi="Times New Roman" w:cs="Times New Roman"/>
                <w:snapToGrid w:val="0"/>
                <w:kern w:val="0"/>
                <w:sz w:val="24"/>
                <w:lang w:val="en-US" w:eastAsia="zh-CN"/>
              </w:rPr>
              <w:t>。</w:t>
            </w:r>
          </w:p>
          <w:p w14:paraId="6BCB7516">
            <w:pPr>
              <w:adjustRightInd w:val="0"/>
              <w:snapToGrid w:val="0"/>
              <w:spacing w:line="360" w:lineRule="auto"/>
              <w:ind w:firstLine="480" w:firstLineChars="200"/>
              <w:rPr>
                <w:rFonts w:ascii="Times New Roman" w:hAnsi="Times New Roman" w:cs="Times New Roman"/>
                <w:snapToGrid w:val="0"/>
                <w:kern w:val="0"/>
                <w:sz w:val="24"/>
              </w:rPr>
            </w:pPr>
            <w:r>
              <w:rPr>
                <w:rFonts w:hint="eastAsia" w:ascii="Times New Roman" w:hAnsi="Times New Roman" w:cs="Times New Roman"/>
                <w:snapToGrid w:val="0"/>
                <w:kern w:val="0"/>
                <w:sz w:val="24"/>
                <w:lang w:val="en-US" w:eastAsia="zh-CN"/>
              </w:rPr>
              <w:t>2.2</w:t>
            </w:r>
            <w:r>
              <w:rPr>
                <w:rFonts w:ascii="Times New Roman" w:hAnsi="Times New Roman" w:cs="Times New Roman"/>
                <w:snapToGrid w:val="0"/>
                <w:kern w:val="0"/>
                <w:sz w:val="24"/>
              </w:rPr>
              <w:t>在建项目污染防治措施及排放情况</w:t>
            </w:r>
            <w:bookmarkEnd w:id="3"/>
            <w:bookmarkEnd w:id="4"/>
            <w:bookmarkEnd w:id="5"/>
            <w:bookmarkEnd w:id="6"/>
            <w:bookmarkEnd w:id="7"/>
            <w:bookmarkEnd w:id="8"/>
            <w:bookmarkEnd w:id="9"/>
          </w:p>
          <w:p w14:paraId="0BDDAF71">
            <w:pPr>
              <w:adjustRightInd w:val="0"/>
              <w:snapToGrid w:val="0"/>
              <w:spacing w:line="360" w:lineRule="auto"/>
              <w:ind w:firstLine="420" w:firstLineChars="200"/>
              <w:rPr>
                <w:rFonts w:ascii="Times New Roman" w:hAnsi="Times New Roman" w:cs="Times New Roman"/>
                <w:sz w:val="24"/>
              </w:rPr>
            </w:pPr>
            <w:r>
              <w:commentReference w:id="26"/>
            </w:r>
            <w:r>
              <w:rPr>
                <w:rFonts w:ascii="Times New Roman" w:hAnsi="Times New Roman" w:cs="Times New Roman"/>
                <w:snapToGrid w:val="0"/>
                <w:kern w:val="0"/>
                <w:sz w:val="24"/>
              </w:rPr>
              <w:t>在建项目污染物防治措施以及排放情况</w:t>
            </w:r>
            <w:r>
              <w:rPr>
                <w:rFonts w:hint="eastAsia" w:ascii="Times New Roman" w:hAnsi="Times New Roman" w:cs="Times New Roman"/>
                <w:snapToGrid w:val="0"/>
                <w:kern w:val="0"/>
                <w:sz w:val="24"/>
                <w:lang w:eastAsia="zh-CN"/>
              </w:rPr>
              <w:t>如下，以下</w:t>
            </w:r>
            <w:r>
              <w:rPr>
                <w:rFonts w:ascii="Times New Roman" w:hAnsi="Times New Roman" w:cs="Times New Roman"/>
                <w:snapToGrid w:val="0"/>
                <w:kern w:val="0"/>
                <w:sz w:val="24"/>
              </w:rPr>
              <w:t>分析数据来自《</w:t>
            </w:r>
            <w:r>
              <w:rPr>
                <w:rFonts w:hint="eastAsia" w:ascii="Times New Roman" w:hAnsi="Times New Roman" w:cs="Times New Roman"/>
                <w:snapToGrid w:val="0"/>
                <w:kern w:val="0"/>
                <w:sz w:val="24"/>
              </w:rPr>
              <w:t>宝鸡天浩泰金属表面处理有限公司钢零件表面处理生产线建设项目环境影响报告表</w:t>
            </w:r>
            <w:r>
              <w:rPr>
                <w:rFonts w:ascii="Times New Roman" w:hAnsi="Times New Roman" w:cs="Times New Roman"/>
                <w:snapToGrid w:val="0"/>
                <w:kern w:val="0"/>
                <w:sz w:val="24"/>
              </w:rPr>
              <w:t>》中的数据。</w:t>
            </w:r>
          </w:p>
          <w:p w14:paraId="032A6538">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（1）废气</w:t>
            </w:r>
          </w:p>
          <w:p w14:paraId="1FF506CB">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①碳化除油废气：经密闭管道送入等离子油烟净化器</w:t>
            </w:r>
            <w:r>
              <w:rPr>
                <w:rFonts w:ascii="Times New Roman" w:hAnsi="Times New Roman" w:cs="Times New Roman"/>
                <w:sz w:val="24"/>
              </w:rPr>
              <w:t>TA001</w:t>
            </w:r>
            <w:r>
              <w:rPr>
                <w:rFonts w:hint="eastAsia" w:ascii="Times New Roman" w:hAnsi="Times New Roman" w:cs="Times New Roman"/>
                <w:sz w:val="24"/>
              </w:rPr>
              <w:t>处理后由</w:t>
            </w:r>
            <w:r>
              <w:rPr>
                <w:rFonts w:ascii="Times New Roman" w:hAnsi="Times New Roman" w:cs="Times New Roman"/>
                <w:sz w:val="24"/>
              </w:rPr>
              <w:t>15m高排气筒</w:t>
            </w:r>
            <w:r>
              <w:rPr>
                <w:rFonts w:hint="eastAsia" w:ascii="Times New Roman" w:hAnsi="Times New Roman" w:cs="Times New Roman"/>
                <w:sz w:val="24"/>
              </w:rPr>
              <w:t>（</w:t>
            </w:r>
            <w:r>
              <w:rPr>
                <w:rFonts w:ascii="Times New Roman" w:hAnsi="Times New Roman" w:cs="Times New Roman"/>
                <w:sz w:val="24"/>
              </w:rPr>
              <w:t>DA001</w:t>
            </w:r>
            <w:r>
              <w:rPr>
                <w:rFonts w:hint="eastAsia" w:ascii="Times New Roman" w:hAnsi="Times New Roman" w:cs="Times New Roman"/>
                <w:sz w:val="24"/>
              </w:rPr>
              <w:t>）排放，排放速率和排放浓度均可满足</w:t>
            </w:r>
            <w:r>
              <w:rPr>
                <w:rFonts w:ascii="Times New Roman" w:hAnsi="Times New Roman" w:cs="Times New Roman"/>
                <w:sz w:val="24"/>
              </w:rPr>
              <w:t>《</w:t>
            </w:r>
            <w:r>
              <w:rPr>
                <w:rFonts w:hint="eastAsia" w:ascii="Times New Roman" w:hAnsi="Times New Roman" w:cs="Times New Roman"/>
                <w:sz w:val="24"/>
              </w:rPr>
              <w:t>大气污染物综合排放标准</w:t>
            </w:r>
            <w:r>
              <w:rPr>
                <w:rFonts w:ascii="Times New Roman" w:hAnsi="Times New Roman" w:cs="Times New Roman"/>
                <w:sz w:val="24"/>
              </w:rPr>
              <w:t>》（GB</w:t>
            </w:r>
            <w:r>
              <w:rPr>
                <w:rFonts w:hint="eastAsia" w:ascii="Times New Roman" w:hAnsi="Times New Roman" w:cs="Times New Roman"/>
                <w:sz w:val="24"/>
              </w:rPr>
              <w:t>16297</w:t>
            </w:r>
            <w:r>
              <w:rPr>
                <w:rFonts w:ascii="Times New Roman" w:hAnsi="Times New Roman" w:cs="Times New Roman"/>
                <w:sz w:val="24"/>
              </w:rPr>
              <w:t>-</w:t>
            </w:r>
            <w:r>
              <w:rPr>
                <w:rFonts w:hint="eastAsia" w:ascii="Times New Roman" w:hAnsi="Times New Roman" w:cs="Times New Roman"/>
                <w:sz w:val="24"/>
              </w:rPr>
              <w:t>1996</w:t>
            </w:r>
            <w:r>
              <w:rPr>
                <w:rFonts w:ascii="Times New Roman" w:hAnsi="Times New Roman" w:cs="Times New Roman"/>
                <w:sz w:val="24"/>
              </w:rPr>
              <w:t>）中表</w:t>
            </w:r>
            <w:r>
              <w:rPr>
                <w:rFonts w:hint="eastAsia" w:ascii="Times New Roman" w:hAnsi="Times New Roman" w:cs="Times New Roman"/>
                <w:sz w:val="24"/>
              </w:rPr>
              <w:t>2中二级标准限值，对环境影响较小。</w:t>
            </w:r>
          </w:p>
          <w:p w14:paraId="328EF1D1">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cs="Times New Roman"/>
                <w:sz w:val="24"/>
              </w:rPr>
              <w:t>②抛丸</w:t>
            </w:r>
            <w:r>
              <w:rPr>
                <w:rFonts w:ascii="Times New Roman" w:hAnsi="Times New Roman" w:cs="Times New Roman"/>
                <w:sz w:val="24"/>
              </w:rPr>
              <w:t>工序粉尘经密闭管道收集后由集气管路送入</w:t>
            </w:r>
            <w:r>
              <w:rPr>
                <w:rFonts w:hint="eastAsia" w:ascii="Times New Roman" w:hAnsi="Times New Roman" w:cs="Times New Roman"/>
                <w:sz w:val="24"/>
              </w:rPr>
              <w:t>1套</w:t>
            </w:r>
            <w:r>
              <w:rPr>
                <w:rFonts w:ascii="Times New Roman" w:hAnsi="Times New Roman" w:cs="Times New Roman"/>
                <w:sz w:val="24"/>
              </w:rPr>
              <w:t>脉冲高效布袋除尘器处理（TA00</w:t>
            </w:r>
            <w:r>
              <w:rPr>
                <w:rFonts w:hint="eastAsia" w:ascii="Times New Roman" w:hAnsi="Times New Roman" w:cs="Times New Roman"/>
                <w:sz w:val="24"/>
              </w:rPr>
              <w:t>2</w:t>
            </w:r>
            <w:r>
              <w:rPr>
                <w:rFonts w:ascii="Times New Roman" w:hAnsi="Times New Roman" w:cs="Times New Roman"/>
                <w:sz w:val="24"/>
              </w:rPr>
              <w:t>）后由15m高排气筒</w:t>
            </w:r>
            <w:r>
              <w:rPr>
                <w:rFonts w:hint="eastAsia" w:ascii="Times New Roman" w:hAnsi="Times New Roman" w:cs="Times New Roman"/>
                <w:sz w:val="24"/>
              </w:rPr>
              <w:t>（</w:t>
            </w:r>
            <w:r>
              <w:rPr>
                <w:rFonts w:ascii="Times New Roman" w:hAnsi="Times New Roman" w:cs="Times New Roman"/>
                <w:sz w:val="24"/>
              </w:rPr>
              <w:t>DA00</w:t>
            </w:r>
            <w:r>
              <w:rPr>
                <w:rFonts w:hint="eastAsia" w:ascii="Times New Roman" w:hAnsi="Times New Roman" w:cs="Times New Roman"/>
                <w:sz w:val="24"/>
              </w:rPr>
              <w:t>2）</w:t>
            </w:r>
            <w:r>
              <w:rPr>
                <w:rFonts w:ascii="Times New Roman" w:hAnsi="Times New Roman" w:cs="Times New Roman"/>
                <w:sz w:val="24"/>
              </w:rPr>
              <w:t>排放，</w:t>
            </w:r>
            <w:r>
              <w:rPr>
                <w:rFonts w:hint="eastAsia" w:ascii="Times New Roman" w:hAnsi="Times New Roman" w:eastAsia="宋体" w:cs="Times New Roman"/>
                <w:sz w:val="24"/>
              </w:rPr>
              <w:t>排放速率和排放浓度均可满足</w:t>
            </w:r>
            <w:r>
              <w:rPr>
                <w:rFonts w:ascii="Times New Roman" w:hAnsi="Times New Roman" w:eastAsia="宋体" w:cs="Times New Roman"/>
                <w:sz w:val="24"/>
              </w:rPr>
              <w:t>《</w:t>
            </w:r>
            <w:r>
              <w:rPr>
                <w:rFonts w:hint="eastAsia" w:ascii="Times New Roman" w:hAnsi="Times New Roman" w:eastAsia="宋体" w:cs="Times New Roman"/>
                <w:sz w:val="24"/>
              </w:rPr>
              <w:t>大气污染物综合排放标准</w:t>
            </w:r>
            <w:r>
              <w:rPr>
                <w:rFonts w:ascii="Times New Roman" w:hAnsi="Times New Roman" w:eastAsia="宋体" w:cs="Times New Roman"/>
                <w:sz w:val="24"/>
              </w:rPr>
              <w:t>》（GB</w:t>
            </w:r>
            <w:r>
              <w:rPr>
                <w:rFonts w:hint="eastAsia" w:ascii="Times New Roman" w:hAnsi="Times New Roman" w:eastAsia="宋体" w:cs="Times New Roman"/>
                <w:sz w:val="24"/>
              </w:rPr>
              <w:t>16297</w:t>
            </w:r>
            <w:r>
              <w:rPr>
                <w:rFonts w:ascii="Times New Roman" w:hAnsi="Times New Roman" w:eastAsia="宋体" w:cs="Times New Roman"/>
                <w:sz w:val="24"/>
              </w:rPr>
              <w:t>-</w:t>
            </w:r>
            <w:r>
              <w:rPr>
                <w:rFonts w:hint="eastAsia" w:ascii="Times New Roman" w:hAnsi="Times New Roman" w:eastAsia="宋体" w:cs="Times New Roman"/>
                <w:sz w:val="24"/>
              </w:rPr>
              <w:t>1996</w:t>
            </w:r>
            <w:r>
              <w:rPr>
                <w:rFonts w:ascii="Times New Roman" w:hAnsi="Times New Roman" w:eastAsia="宋体" w:cs="Times New Roman"/>
                <w:sz w:val="24"/>
              </w:rPr>
              <w:t>）中表</w:t>
            </w:r>
            <w:r>
              <w:rPr>
                <w:rFonts w:hint="eastAsia" w:ascii="Times New Roman" w:hAnsi="Times New Roman" w:eastAsia="宋体" w:cs="Times New Roman"/>
                <w:sz w:val="24"/>
              </w:rPr>
              <w:t>2中二级标准限值，对环境影响较小。</w:t>
            </w:r>
          </w:p>
          <w:p w14:paraId="22466832">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③振动分离</w:t>
            </w:r>
            <w:r>
              <w:rPr>
                <w:rFonts w:ascii="Times New Roman" w:hAnsi="Times New Roman" w:cs="Times New Roman"/>
                <w:sz w:val="24"/>
              </w:rPr>
              <w:t>废气</w:t>
            </w:r>
            <w:r>
              <w:rPr>
                <w:rFonts w:hint="eastAsia" w:ascii="Times New Roman" w:hAnsi="Times New Roman" w:cs="Times New Roman"/>
                <w:sz w:val="24"/>
              </w:rPr>
              <w:t>：经集气罩收集后</w:t>
            </w:r>
            <w:r>
              <w:rPr>
                <w:rFonts w:ascii="Times New Roman" w:hAnsi="Times New Roman" w:cs="Times New Roman"/>
                <w:sz w:val="24"/>
              </w:rPr>
              <w:t>，由集气管路送入脉冲高效布袋除尘器（TA00</w:t>
            </w:r>
            <w:r>
              <w:rPr>
                <w:rFonts w:hint="eastAsia" w:ascii="Times New Roman" w:hAnsi="Times New Roman" w:cs="Times New Roman"/>
                <w:sz w:val="24"/>
              </w:rPr>
              <w:t>2</w:t>
            </w:r>
            <w:r>
              <w:rPr>
                <w:rFonts w:ascii="Times New Roman" w:hAnsi="Times New Roman" w:cs="Times New Roman"/>
                <w:sz w:val="24"/>
              </w:rPr>
              <w:t>）处理后由15m高排气筒</w:t>
            </w:r>
            <w:r>
              <w:rPr>
                <w:rFonts w:hint="eastAsia" w:ascii="Times New Roman" w:hAnsi="Times New Roman" w:cs="Times New Roman"/>
                <w:sz w:val="24"/>
              </w:rPr>
              <w:t>（</w:t>
            </w:r>
            <w:r>
              <w:rPr>
                <w:rFonts w:ascii="Times New Roman" w:hAnsi="Times New Roman" w:cs="Times New Roman"/>
                <w:sz w:val="24"/>
              </w:rPr>
              <w:t>DA00</w:t>
            </w:r>
            <w:r>
              <w:rPr>
                <w:rFonts w:hint="eastAsia" w:ascii="Times New Roman" w:hAnsi="Times New Roman" w:cs="Times New Roman"/>
                <w:sz w:val="24"/>
              </w:rPr>
              <w:t>2）</w:t>
            </w:r>
            <w:r>
              <w:rPr>
                <w:rFonts w:ascii="Times New Roman" w:hAnsi="Times New Roman" w:cs="Times New Roman"/>
                <w:sz w:val="24"/>
              </w:rPr>
              <w:t>排放</w:t>
            </w:r>
            <w:r>
              <w:rPr>
                <w:rFonts w:hint="eastAsia" w:ascii="Times New Roman" w:hAnsi="Times New Roman" w:cs="Times New Roman"/>
                <w:sz w:val="24"/>
              </w:rPr>
              <w:t>，</w:t>
            </w:r>
            <w:r>
              <w:rPr>
                <w:rFonts w:hint="eastAsia" w:ascii="Times New Roman" w:hAnsi="Times New Roman" w:eastAsia="宋体" w:cs="Times New Roman"/>
                <w:sz w:val="24"/>
              </w:rPr>
              <w:t>排放速率和排放浓度均可满足</w:t>
            </w:r>
            <w:r>
              <w:rPr>
                <w:rFonts w:ascii="Times New Roman" w:hAnsi="Times New Roman" w:eastAsia="宋体" w:cs="Times New Roman"/>
                <w:sz w:val="24"/>
              </w:rPr>
              <w:t>《</w:t>
            </w:r>
            <w:r>
              <w:rPr>
                <w:rFonts w:hint="eastAsia" w:ascii="Times New Roman" w:hAnsi="Times New Roman" w:eastAsia="宋体" w:cs="Times New Roman"/>
                <w:sz w:val="24"/>
              </w:rPr>
              <w:t>大气污染物综合排放标准</w:t>
            </w:r>
            <w:r>
              <w:rPr>
                <w:rFonts w:ascii="Times New Roman" w:hAnsi="Times New Roman" w:eastAsia="宋体" w:cs="Times New Roman"/>
                <w:sz w:val="24"/>
              </w:rPr>
              <w:t>》（GB</w:t>
            </w:r>
            <w:r>
              <w:rPr>
                <w:rFonts w:hint="eastAsia" w:ascii="Times New Roman" w:hAnsi="Times New Roman" w:eastAsia="宋体" w:cs="Times New Roman"/>
                <w:sz w:val="24"/>
              </w:rPr>
              <w:t>16297</w:t>
            </w:r>
            <w:r>
              <w:rPr>
                <w:rFonts w:ascii="Times New Roman" w:hAnsi="Times New Roman" w:eastAsia="宋体" w:cs="Times New Roman"/>
                <w:sz w:val="24"/>
              </w:rPr>
              <w:t>-</w:t>
            </w:r>
            <w:r>
              <w:rPr>
                <w:rFonts w:hint="eastAsia" w:ascii="Times New Roman" w:hAnsi="Times New Roman" w:eastAsia="宋体" w:cs="Times New Roman"/>
                <w:sz w:val="24"/>
              </w:rPr>
              <w:t>1996</w:t>
            </w:r>
            <w:r>
              <w:rPr>
                <w:rFonts w:ascii="Times New Roman" w:hAnsi="Times New Roman" w:eastAsia="宋体" w:cs="Times New Roman"/>
                <w:sz w:val="24"/>
              </w:rPr>
              <w:t>）中表</w:t>
            </w:r>
            <w:r>
              <w:rPr>
                <w:rFonts w:hint="eastAsia" w:ascii="Times New Roman" w:hAnsi="Times New Roman" w:eastAsia="宋体" w:cs="Times New Roman"/>
                <w:sz w:val="24"/>
              </w:rPr>
              <w:t>2中二级标准限值，对环境影响较小。</w:t>
            </w:r>
          </w:p>
          <w:p w14:paraId="419EB638">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④</w:t>
            </w:r>
            <w:r>
              <w:rPr>
                <w:rFonts w:ascii="Times New Roman" w:hAnsi="Times New Roman" w:cs="Times New Roman"/>
                <w:sz w:val="24"/>
              </w:rPr>
              <w:t>喷涂废气（包括调漆、喷漆、</w:t>
            </w:r>
            <w:r>
              <w:rPr>
                <w:rFonts w:hint="eastAsia" w:ascii="Times New Roman" w:hAnsi="Times New Roman" w:cs="Times New Roman"/>
                <w:sz w:val="24"/>
              </w:rPr>
              <w:t>烘干废气</w:t>
            </w:r>
            <w:r>
              <w:rPr>
                <w:rFonts w:ascii="Times New Roman" w:hAnsi="Times New Roman" w:cs="Times New Roman"/>
                <w:sz w:val="24"/>
              </w:rPr>
              <w:t>）</w:t>
            </w:r>
            <w:r>
              <w:rPr>
                <w:rFonts w:hint="eastAsia" w:ascii="Times New Roman" w:hAnsi="Times New Roman" w:cs="Times New Roman"/>
                <w:sz w:val="24"/>
              </w:rPr>
              <w:t>：</w:t>
            </w:r>
            <w:r>
              <w:rPr>
                <w:rFonts w:ascii="Times New Roman" w:hAnsi="Times New Roman" w:cs="Times New Roman"/>
                <w:sz w:val="24"/>
              </w:rPr>
              <w:t>废气经</w:t>
            </w:r>
            <w:r>
              <w:rPr>
                <w:rFonts w:hint="eastAsia" w:ascii="Times New Roman" w:hAnsi="Times New Roman" w:cs="Times New Roman"/>
                <w:sz w:val="24"/>
              </w:rPr>
              <w:t>干式过滤棉</w:t>
            </w:r>
            <w:r>
              <w:rPr>
                <w:rFonts w:ascii="Times New Roman" w:hAnsi="Times New Roman" w:cs="Times New Roman"/>
                <w:sz w:val="24"/>
              </w:rPr>
              <w:t>+</w:t>
            </w:r>
            <w:r>
              <w:rPr>
                <w:rFonts w:hint="eastAsia" w:ascii="Times New Roman" w:hAnsi="Times New Roman" w:cs="Times New Roman"/>
                <w:sz w:val="24"/>
              </w:rPr>
              <w:t>二级</w:t>
            </w:r>
            <w:r>
              <w:rPr>
                <w:rFonts w:ascii="Times New Roman" w:hAnsi="Times New Roman" w:cs="Times New Roman"/>
                <w:sz w:val="24"/>
              </w:rPr>
              <w:t>活性炭吸附处理后，最终通过15m高的排气筒（DA003）排放</w:t>
            </w:r>
            <w:r>
              <w:rPr>
                <w:rFonts w:hint="eastAsia" w:ascii="Times New Roman" w:hAnsi="Times New Roman" w:cs="Times New Roman"/>
                <w:sz w:val="24"/>
              </w:rPr>
              <w:t>。</w:t>
            </w:r>
            <w:r>
              <w:rPr>
                <w:rFonts w:ascii="Times New Roman" w:hAnsi="Times New Roman" w:cs="Times New Roman"/>
                <w:kern w:val="0"/>
                <w:sz w:val="24"/>
              </w:rPr>
              <w:t>喷</w:t>
            </w:r>
            <w:r>
              <w:rPr>
                <w:rFonts w:hint="eastAsia" w:ascii="Times New Roman" w:hAnsi="Times New Roman" w:cs="Times New Roman"/>
                <w:kern w:val="0"/>
                <w:sz w:val="24"/>
              </w:rPr>
              <w:t>漆</w:t>
            </w:r>
            <w:r>
              <w:rPr>
                <w:rFonts w:ascii="Times New Roman" w:hAnsi="Times New Roman" w:cs="Times New Roman"/>
                <w:kern w:val="0"/>
                <w:sz w:val="24"/>
              </w:rPr>
              <w:t>工序漆雾颗粒执行《大气污染物综合排放标准》（GB16297-1996）中表2的二级排放标准要求以及无组织排放限值；喷</w:t>
            </w:r>
            <w:r>
              <w:rPr>
                <w:rFonts w:hint="eastAsia" w:ascii="Times New Roman" w:hAnsi="Times New Roman" w:cs="Times New Roman"/>
                <w:kern w:val="0"/>
                <w:sz w:val="24"/>
              </w:rPr>
              <w:t>漆</w:t>
            </w:r>
            <w:r>
              <w:rPr>
                <w:rFonts w:ascii="Times New Roman" w:hAnsi="Times New Roman" w:cs="Times New Roman"/>
                <w:kern w:val="0"/>
                <w:sz w:val="24"/>
              </w:rPr>
              <w:t>过程中产生的非甲烷总烃排放执行《挥发性有机物排放控制标准》（DB61/T1061-2017）中表面涂装的相关标准以及无组织排放限值。</w:t>
            </w:r>
          </w:p>
          <w:p w14:paraId="636CF82A">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（2）废水</w:t>
            </w:r>
          </w:p>
          <w:p w14:paraId="5B7361B7">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在建项目</w:t>
            </w:r>
            <w:r>
              <w:rPr>
                <w:rFonts w:ascii="Times New Roman" w:hAnsi="Times New Roman" w:cs="Times New Roman"/>
                <w:sz w:val="24"/>
              </w:rPr>
              <w:t>生活污水排放量为</w:t>
            </w:r>
            <w:r>
              <w:rPr>
                <w:rFonts w:hint="eastAsia" w:ascii="Times New Roman" w:hAnsi="Times New Roman" w:cs="Times New Roman"/>
                <w:sz w:val="24"/>
              </w:rPr>
              <w:t>0.84</w:t>
            </w:r>
            <w:r>
              <w:rPr>
                <w:rFonts w:ascii="Times New Roman" w:hAnsi="Times New Roman" w:cs="Times New Roman"/>
                <w:sz w:val="24"/>
              </w:rPr>
              <w:t>m</w:t>
            </w:r>
            <w:r>
              <w:rPr>
                <w:rFonts w:ascii="Times New Roman" w:hAnsi="Times New Roman" w:cs="Times New Roman"/>
                <w:sz w:val="24"/>
                <w:vertAlign w:val="superscript"/>
              </w:rPr>
              <w:t>3</w:t>
            </w:r>
            <w:r>
              <w:rPr>
                <w:rFonts w:ascii="Times New Roman" w:hAnsi="Times New Roman" w:cs="Times New Roman"/>
                <w:sz w:val="24"/>
              </w:rPr>
              <w:t>/d</w:t>
            </w:r>
            <w:r>
              <w:rPr>
                <w:rFonts w:hint="eastAsia" w:ascii="Times New Roman" w:hAnsi="Times New Roman" w:cs="Times New Roman"/>
                <w:sz w:val="24"/>
              </w:rPr>
              <w:t>，</w:t>
            </w:r>
            <w:r>
              <w:rPr>
                <w:rFonts w:ascii="Times New Roman" w:hAnsi="Times New Roman" w:cs="Times New Roman"/>
                <w:sz w:val="24"/>
              </w:rPr>
              <w:t>经过</w:t>
            </w:r>
            <w:r>
              <w:rPr>
                <w:rFonts w:hint="eastAsia" w:ascii="Times New Roman" w:hAnsi="Times New Roman" w:cs="Times New Roman"/>
                <w:sz w:val="24"/>
              </w:rPr>
              <w:t>宝鸡市秦成工贸（集团）有限责任公司现有</w:t>
            </w:r>
            <w:r>
              <w:rPr>
                <w:rFonts w:ascii="Times New Roman" w:hAnsi="Times New Roman" w:cs="Times New Roman"/>
                <w:sz w:val="24"/>
              </w:rPr>
              <w:t>化粪池处理后通过市政污水管网排入</w:t>
            </w:r>
            <w:r>
              <w:rPr>
                <w:rFonts w:hint="eastAsia" w:ascii="Times New Roman" w:hAnsi="Times New Roman" w:cs="Times New Roman"/>
                <w:sz w:val="24"/>
              </w:rPr>
              <w:t>宝鸡高新污水处理厂</w:t>
            </w:r>
            <w:r>
              <w:rPr>
                <w:rFonts w:ascii="Times New Roman" w:hAnsi="Times New Roman" w:cs="Times New Roman"/>
                <w:sz w:val="24"/>
              </w:rPr>
              <w:t>处理后达标排放</w:t>
            </w:r>
            <w:r>
              <w:rPr>
                <w:rFonts w:hint="eastAsia" w:ascii="Times New Roman" w:hAnsi="Times New Roman" w:cs="Times New Roman"/>
                <w:sz w:val="24"/>
              </w:rPr>
              <w:t>。</w:t>
            </w:r>
          </w:p>
          <w:p w14:paraId="18FF1519">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在建项目生产废水可完全回用，不外排。</w:t>
            </w:r>
          </w:p>
          <w:p w14:paraId="4AE5330E">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（3）噪声</w:t>
            </w:r>
          </w:p>
          <w:p w14:paraId="2B7EDCEC">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cs="Times New Roman"/>
                <w:sz w:val="24"/>
              </w:rPr>
              <w:t>在建项</w:t>
            </w:r>
            <w:r>
              <w:rPr>
                <w:rFonts w:hint="eastAsia" w:ascii="Times New Roman" w:hAnsi="Times New Roman" w:eastAsia="宋体" w:cs="Times New Roman"/>
                <w:snapToGrid w:val="0"/>
                <w:kern w:val="0"/>
                <w:sz w:val="24"/>
              </w:rPr>
              <w:t>目</w:t>
            </w:r>
            <w:r>
              <w:rPr>
                <w:rFonts w:ascii="Times New Roman" w:hAnsi="Times New Roman" w:eastAsia="宋体" w:cs="Times New Roman"/>
                <w:snapToGrid w:val="0"/>
                <w:kern w:val="0"/>
                <w:sz w:val="24"/>
              </w:rPr>
              <w:t>运营期主要噪声源为车间内机械设备运行过程中产生的机械噪声</w:t>
            </w:r>
            <w:r>
              <w:rPr>
                <w:rFonts w:hint="eastAsia" w:ascii="Times New Roman" w:hAnsi="Times New Roman" w:eastAsia="宋体" w:cs="Times New Roman"/>
                <w:snapToGrid w:val="0"/>
                <w:kern w:val="0"/>
                <w:sz w:val="24"/>
              </w:rPr>
              <w:t>。</w:t>
            </w:r>
            <w:r>
              <w:rPr>
                <w:rFonts w:ascii="Times New Roman" w:hAnsi="Times New Roman" w:eastAsia="宋体" w:cs="Times New Roman"/>
                <w:snapToGrid w:val="0"/>
                <w:kern w:val="0"/>
                <w:sz w:val="24"/>
              </w:rPr>
              <w:t>噪声源特点是：噪声源数量较多，主要分布在厂区内，间歇性和偶发噪声多，通过隔声和距离衰减等措施，根据在建工程环境影响报告表中的计算预测分析，在建项目运营期</w:t>
            </w:r>
            <w:r>
              <w:rPr>
                <w:rFonts w:ascii="Times New Roman" w:hAnsi="Times New Roman" w:cs="Times New Roman"/>
                <w:sz w:val="24"/>
              </w:rPr>
              <w:t>厂界四周昼间、夜间噪声</w:t>
            </w:r>
            <w:r>
              <w:rPr>
                <w:rFonts w:hint="eastAsia" w:ascii="Times New Roman" w:hAnsi="Times New Roman" w:cs="Times New Roman"/>
                <w:sz w:val="24"/>
                <w:lang w:eastAsia="zh-CN"/>
              </w:rPr>
              <w:t>贡献</w:t>
            </w:r>
            <w:r>
              <w:rPr>
                <w:rFonts w:ascii="Times New Roman" w:hAnsi="Times New Roman" w:cs="Times New Roman"/>
                <w:sz w:val="24"/>
              </w:rPr>
              <w:t>值</w:t>
            </w:r>
            <w:r>
              <w:rPr>
                <w:rFonts w:hint="eastAsia" w:ascii="Times New Roman" w:hAnsi="Times New Roman" w:eastAsia="宋体" w:cs="Times New Roman"/>
                <w:snapToGrid w:val="0"/>
                <w:kern w:val="0"/>
                <w:sz w:val="24"/>
              </w:rPr>
              <w:t>满足</w:t>
            </w:r>
            <w:r>
              <w:rPr>
                <w:rFonts w:ascii="Times New Roman" w:hAnsi="Times New Roman" w:eastAsia="宋体" w:cs="Times New Roman"/>
                <w:snapToGrid w:val="0"/>
                <w:kern w:val="0"/>
                <w:sz w:val="24"/>
              </w:rPr>
              <w:t>《工业企业厂界环境噪声排放标准》（GB12348-2008）中3类标准限值要求，</w:t>
            </w:r>
            <w:r>
              <w:rPr>
                <w:rFonts w:hint="eastAsia" w:ascii="Times New Roman" w:hAnsi="Times New Roman" w:eastAsia="宋体" w:cs="Times New Roman"/>
                <w:snapToGrid w:val="0"/>
                <w:kern w:val="0"/>
                <w:sz w:val="24"/>
              </w:rPr>
              <w:t>巨家村</w:t>
            </w:r>
            <w:r>
              <w:rPr>
                <w:rFonts w:ascii="Times New Roman" w:hAnsi="Times New Roman" w:eastAsia="宋体" w:cs="Times New Roman"/>
                <w:snapToGrid w:val="0"/>
                <w:kern w:val="0"/>
                <w:sz w:val="24"/>
              </w:rPr>
              <w:t>昼间、夜间噪声</w:t>
            </w:r>
            <w:r>
              <w:rPr>
                <w:rFonts w:hint="eastAsia" w:ascii="Times New Roman" w:hAnsi="Times New Roman" w:eastAsia="宋体" w:cs="Times New Roman"/>
                <w:snapToGrid w:val="0"/>
                <w:color w:val="FF0000"/>
                <w:kern w:val="0"/>
                <w:sz w:val="24"/>
                <w:lang w:eastAsia="zh-CN"/>
              </w:rPr>
              <w:t>预测</w:t>
            </w:r>
            <w:commentRangeStart w:id="27"/>
            <w:commentRangeStart w:id="28"/>
            <w:r>
              <w:rPr>
                <w:rFonts w:ascii="Times New Roman" w:hAnsi="Times New Roman" w:eastAsia="宋体" w:cs="Times New Roman"/>
                <w:snapToGrid w:val="0"/>
                <w:color w:val="FF0000"/>
                <w:kern w:val="0"/>
                <w:sz w:val="24"/>
              </w:rPr>
              <w:t>值</w:t>
            </w:r>
            <w:commentRangeEnd w:id="27"/>
            <w:r>
              <w:commentReference w:id="27"/>
            </w:r>
            <w:commentRangeEnd w:id="28"/>
            <w:r>
              <w:commentReference w:id="28"/>
            </w:r>
            <w:r>
              <w:rPr>
                <w:rFonts w:ascii="Times New Roman" w:hAnsi="Times New Roman" w:eastAsia="宋体" w:cs="Times New Roman"/>
                <w:snapToGrid w:val="0"/>
                <w:kern w:val="0"/>
                <w:sz w:val="24"/>
              </w:rPr>
              <w:t>均满足《声环境质量标准》（GB3096-2008）中</w:t>
            </w:r>
            <w:r>
              <w:rPr>
                <w:rFonts w:hint="eastAsia" w:ascii="Times New Roman" w:hAnsi="Times New Roman" w:eastAsia="宋体" w:cs="Times New Roman"/>
                <w:snapToGrid w:val="0"/>
                <w:kern w:val="0"/>
                <w:sz w:val="24"/>
              </w:rPr>
              <w:t>2</w:t>
            </w:r>
            <w:r>
              <w:rPr>
                <w:rFonts w:ascii="Times New Roman" w:hAnsi="Times New Roman" w:eastAsia="宋体" w:cs="Times New Roman"/>
                <w:snapToGrid w:val="0"/>
                <w:kern w:val="0"/>
                <w:sz w:val="24"/>
              </w:rPr>
              <w:t>类标准限值要求，项目运营对周边声环境影响较小</w:t>
            </w:r>
            <w:r>
              <w:rPr>
                <w:rFonts w:ascii="Times New Roman" w:hAnsi="Times New Roman" w:eastAsia="宋体" w:cs="Times New Roman"/>
                <w:sz w:val="24"/>
              </w:rPr>
              <w:t>。</w:t>
            </w:r>
          </w:p>
          <w:p w14:paraId="71B3D2E1">
            <w:pPr>
              <w:adjustRightInd w:val="0"/>
              <w:snapToGrid w:val="0"/>
              <w:spacing w:line="360" w:lineRule="auto"/>
              <w:ind w:firstLine="480" w:firstLineChars="200"/>
              <w:rPr>
                <w:sz w:val="24"/>
              </w:rPr>
            </w:pPr>
            <w:r>
              <w:rPr>
                <w:rFonts w:hint="eastAsia" w:ascii="Times New Roman" w:hAnsi="Times New Roman" w:cs="Times New Roman"/>
                <w:sz w:val="24"/>
              </w:rPr>
              <w:t>（4）固废</w:t>
            </w:r>
          </w:p>
          <w:p w14:paraId="79B69879">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在建项目</w:t>
            </w:r>
            <w:r>
              <w:rPr>
                <w:rFonts w:ascii="Times New Roman" w:hAnsi="Times New Roman" w:cs="Times New Roman"/>
                <w:sz w:val="24"/>
              </w:rPr>
              <w:t>固废产生情况见下表。</w:t>
            </w:r>
          </w:p>
          <w:p w14:paraId="024DDBCB">
            <w:pPr>
              <w:widowControl/>
              <w:adjustRightInd w:val="0"/>
              <w:snapToGrid w:val="0"/>
              <w:jc w:val="center"/>
              <w:rPr>
                <w:rFonts w:ascii="Times New Roman" w:hAnsi="Times New Roman" w:cs="Times New Roman"/>
                <w:b/>
                <w:bCs/>
                <w:szCs w:val="21"/>
              </w:rPr>
            </w:pPr>
            <w:r>
              <w:rPr>
                <w:rFonts w:ascii="Times New Roman" w:hAnsi="Times New Roman" w:cs="Times New Roman"/>
                <w:b/>
                <w:bCs/>
                <w:szCs w:val="21"/>
              </w:rPr>
              <w:t>表</w:t>
            </w:r>
            <w:r>
              <w:rPr>
                <w:rFonts w:hint="eastAsia" w:ascii="Times New Roman" w:hAnsi="Times New Roman" w:cs="Times New Roman"/>
                <w:b/>
                <w:bCs/>
                <w:szCs w:val="21"/>
              </w:rPr>
              <w:t xml:space="preserve">2-12    </w:t>
            </w:r>
            <w:r>
              <w:rPr>
                <w:rFonts w:ascii="Times New Roman" w:hAnsi="Times New Roman" w:cs="Times New Roman"/>
                <w:b/>
                <w:bCs/>
                <w:szCs w:val="21"/>
              </w:rPr>
              <w:t>项目产生固废统计表</w:t>
            </w:r>
          </w:p>
          <w:tbl>
            <w:tblPr>
              <w:tblStyle w:val="26"/>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240"/>
              <w:gridCol w:w="1172"/>
              <w:gridCol w:w="2447"/>
              <w:gridCol w:w="846"/>
              <w:gridCol w:w="918"/>
              <w:gridCol w:w="1390"/>
            </w:tblGrid>
            <w:tr w14:paraId="076FAB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96" w:type="pct"/>
                  <w:tcBorders>
                    <w:tl2br w:val="nil"/>
                    <w:tr2bl w:val="nil"/>
                  </w:tcBorders>
                  <w:vAlign w:val="center"/>
                </w:tcPr>
                <w:p w14:paraId="39CA2E65">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序</w:t>
                  </w:r>
                </w:p>
                <w:p w14:paraId="07AAA8D5">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号</w:t>
                  </w:r>
                </w:p>
              </w:tc>
              <w:tc>
                <w:tcPr>
                  <w:tcW w:w="712" w:type="pct"/>
                  <w:tcBorders>
                    <w:tl2br w:val="nil"/>
                    <w:tr2bl w:val="nil"/>
                  </w:tcBorders>
                  <w:vAlign w:val="center"/>
                </w:tcPr>
                <w:p w14:paraId="033C995E">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产生环节</w:t>
                  </w:r>
                </w:p>
              </w:tc>
              <w:tc>
                <w:tcPr>
                  <w:tcW w:w="673" w:type="pct"/>
                  <w:tcBorders>
                    <w:tl2br w:val="nil"/>
                    <w:tr2bl w:val="nil"/>
                  </w:tcBorders>
                  <w:vAlign w:val="center"/>
                </w:tcPr>
                <w:p w14:paraId="6EA13BC3">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名称</w:t>
                  </w:r>
                </w:p>
              </w:tc>
              <w:tc>
                <w:tcPr>
                  <w:tcW w:w="1405" w:type="pct"/>
                  <w:tcBorders>
                    <w:tl2br w:val="nil"/>
                    <w:tr2bl w:val="nil"/>
                  </w:tcBorders>
                  <w:vAlign w:val="center"/>
                </w:tcPr>
                <w:p w14:paraId="43DECD27">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属性</w:t>
                  </w:r>
                </w:p>
              </w:tc>
              <w:tc>
                <w:tcPr>
                  <w:tcW w:w="486" w:type="pct"/>
                  <w:tcBorders>
                    <w:tl2br w:val="nil"/>
                    <w:tr2bl w:val="nil"/>
                  </w:tcBorders>
                  <w:vAlign w:val="center"/>
                </w:tcPr>
                <w:p w14:paraId="340E3915">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产生量</w:t>
                  </w:r>
                </w:p>
                <w:p w14:paraId="61DC464F">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（t/a）</w:t>
                  </w:r>
                </w:p>
              </w:tc>
              <w:tc>
                <w:tcPr>
                  <w:tcW w:w="527" w:type="pct"/>
                  <w:tcBorders>
                    <w:tl2br w:val="nil"/>
                    <w:tr2bl w:val="nil"/>
                  </w:tcBorders>
                  <w:vAlign w:val="center"/>
                </w:tcPr>
                <w:p w14:paraId="666D98AD">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临时贮存方式</w:t>
                  </w:r>
                </w:p>
              </w:tc>
              <w:tc>
                <w:tcPr>
                  <w:tcW w:w="798" w:type="pct"/>
                  <w:tcBorders>
                    <w:tl2br w:val="nil"/>
                    <w:tr2bl w:val="nil"/>
                  </w:tcBorders>
                  <w:vAlign w:val="center"/>
                </w:tcPr>
                <w:p w14:paraId="7007AE64">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利用处置方式和去向</w:t>
                  </w:r>
                </w:p>
              </w:tc>
            </w:tr>
            <w:tr w14:paraId="6DFB18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96" w:type="pct"/>
                  <w:tcBorders>
                    <w:tl2br w:val="nil"/>
                    <w:tr2bl w:val="nil"/>
                  </w:tcBorders>
                  <w:vAlign w:val="center"/>
                </w:tcPr>
                <w:p w14:paraId="77797979">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1</w:t>
                  </w:r>
                </w:p>
              </w:tc>
              <w:tc>
                <w:tcPr>
                  <w:tcW w:w="712" w:type="pct"/>
                  <w:tcBorders>
                    <w:tl2br w:val="nil"/>
                    <w:tr2bl w:val="nil"/>
                  </w:tcBorders>
                  <w:vAlign w:val="center"/>
                </w:tcPr>
                <w:p w14:paraId="7D44B467">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职工生活</w:t>
                  </w:r>
                </w:p>
              </w:tc>
              <w:tc>
                <w:tcPr>
                  <w:tcW w:w="673" w:type="pct"/>
                  <w:tcBorders>
                    <w:tl2br w:val="nil"/>
                    <w:tr2bl w:val="nil"/>
                  </w:tcBorders>
                  <w:vAlign w:val="center"/>
                </w:tcPr>
                <w:p w14:paraId="649E2CD9">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生活垃圾</w:t>
                  </w:r>
                </w:p>
              </w:tc>
              <w:tc>
                <w:tcPr>
                  <w:tcW w:w="1405" w:type="pct"/>
                  <w:tcBorders>
                    <w:tl2br w:val="nil"/>
                    <w:tr2bl w:val="nil"/>
                  </w:tcBorders>
                  <w:vAlign w:val="center"/>
                </w:tcPr>
                <w:p w14:paraId="32D06FD1">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w:t>
                  </w:r>
                </w:p>
              </w:tc>
              <w:tc>
                <w:tcPr>
                  <w:tcW w:w="486" w:type="pct"/>
                  <w:tcBorders>
                    <w:tl2br w:val="nil"/>
                    <w:tr2bl w:val="nil"/>
                  </w:tcBorders>
                  <w:vAlign w:val="center"/>
                </w:tcPr>
                <w:p w14:paraId="237B889B">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4.5</w:t>
                  </w:r>
                </w:p>
              </w:tc>
              <w:tc>
                <w:tcPr>
                  <w:tcW w:w="527" w:type="pct"/>
                  <w:tcBorders>
                    <w:tl2br w:val="nil"/>
                    <w:tr2bl w:val="nil"/>
                  </w:tcBorders>
                  <w:vAlign w:val="center"/>
                </w:tcPr>
                <w:p w14:paraId="540E2077">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垃圾桶</w:t>
                  </w:r>
                </w:p>
              </w:tc>
              <w:tc>
                <w:tcPr>
                  <w:tcW w:w="798" w:type="pct"/>
                  <w:tcBorders>
                    <w:tl2br w:val="nil"/>
                    <w:tr2bl w:val="nil"/>
                  </w:tcBorders>
                  <w:vAlign w:val="center"/>
                </w:tcPr>
                <w:p w14:paraId="4A28AF29">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环卫部门处置</w:t>
                  </w:r>
                </w:p>
              </w:tc>
            </w:tr>
            <w:tr w14:paraId="30418F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96" w:type="pct"/>
                  <w:tcBorders>
                    <w:tl2br w:val="nil"/>
                    <w:tr2bl w:val="nil"/>
                  </w:tcBorders>
                  <w:vAlign w:val="center"/>
                </w:tcPr>
                <w:p w14:paraId="3C20B63A">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2</w:t>
                  </w:r>
                </w:p>
              </w:tc>
              <w:tc>
                <w:tcPr>
                  <w:tcW w:w="712" w:type="pct"/>
                  <w:tcBorders>
                    <w:tl2br w:val="nil"/>
                    <w:tr2bl w:val="nil"/>
                  </w:tcBorders>
                  <w:vAlign w:val="center"/>
                </w:tcPr>
                <w:p w14:paraId="34BAAC37">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抛丸</w:t>
                  </w:r>
                </w:p>
              </w:tc>
              <w:tc>
                <w:tcPr>
                  <w:tcW w:w="673" w:type="pct"/>
                  <w:tcBorders>
                    <w:tl2br w:val="nil"/>
                    <w:tr2bl w:val="nil"/>
                  </w:tcBorders>
                  <w:vAlign w:val="center"/>
                </w:tcPr>
                <w:p w14:paraId="1166BDFB">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废钢丸</w:t>
                  </w:r>
                </w:p>
              </w:tc>
              <w:tc>
                <w:tcPr>
                  <w:tcW w:w="1405" w:type="pct"/>
                  <w:tcBorders>
                    <w:tl2br w:val="nil"/>
                    <w:tr2bl w:val="nil"/>
                  </w:tcBorders>
                  <w:vAlign w:val="center"/>
                </w:tcPr>
                <w:p w14:paraId="4522FF82">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一般固废</w:t>
                  </w:r>
                </w:p>
              </w:tc>
              <w:tc>
                <w:tcPr>
                  <w:tcW w:w="486" w:type="pct"/>
                  <w:tcBorders>
                    <w:tl2br w:val="nil"/>
                    <w:tr2bl w:val="nil"/>
                  </w:tcBorders>
                  <w:vAlign w:val="center"/>
                </w:tcPr>
                <w:p w14:paraId="5F307D58">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2</w:t>
                  </w:r>
                </w:p>
              </w:tc>
              <w:tc>
                <w:tcPr>
                  <w:tcW w:w="527" w:type="pct"/>
                  <w:vMerge w:val="restart"/>
                  <w:tcBorders>
                    <w:tl2br w:val="nil"/>
                    <w:tr2bl w:val="nil"/>
                  </w:tcBorders>
                  <w:vAlign w:val="center"/>
                </w:tcPr>
                <w:p w14:paraId="5704CA18">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一般固废暂存间</w:t>
                  </w:r>
                </w:p>
              </w:tc>
              <w:tc>
                <w:tcPr>
                  <w:tcW w:w="798" w:type="pct"/>
                  <w:vMerge w:val="restart"/>
                  <w:tcBorders>
                    <w:tl2br w:val="nil"/>
                    <w:tr2bl w:val="nil"/>
                  </w:tcBorders>
                  <w:vAlign w:val="center"/>
                </w:tcPr>
                <w:p w14:paraId="7A491C56">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外售综合利用</w:t>
                  </w:r>
                </w:p>
              </w:tc>
            </w:tr>
            <w:tr w14:paraId="594FFF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96" w:type="pct"/>
                  <w:tcBorders>
                    <w:tl2br w:val="nil"/>
                    <w:tr2bl w:val="nil"/>
                  </w:tcBorders>
                  <w:vAlign w:val="center"/>
                </w:tcPr>
                <w:p w14:paraId="0ACE76DC">
                  <w:pPr>
                    <w:pStyle w:val="11"/>
                    <w:adjustRightInd w:val="0"/>
                    <w:snapToGrid w:val="0"/>
                    <w:spacing w:before="0" w:line="240" w:lineRule="auto"/>
                    <w:ind w:firstLine="0"/>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val="en-US" w:eastAsia="zh-CN"/>
                    </w:rPr>
                    <w:t>3</w:t>
                  </w:r>
                </w:p>
              </w:tc>
              <w:tc>
                <w:tcPr>
                  <w:tcW w:w="712" w:type="pct"/>
                  <w:tcBorders>
                    <w:tl2br w:val="nil"/>
                    <w:tr2bl w:val="nil"/>
                  </w:tcBorders>
                  <w:vAlign w:val="center"/>
                </w:tcPr>
                <w:p w14:paraId="056DF04A">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生产</w:t>
                  </w:r>
                </w:p>
              </w:tc>
              <w:tc>
                <w:tcPr>
                  <w:tcW w:w="673" w:type="pct"/>
                  <w:tcBorders>
                    <w:tl2br w:val="nil"/>
                    <w:tr2bl w:val="nil"/>
                  </w:tcBorders>
                  <w:vAlign w:val="center"/>
                </w:tcPr>
                <w:p w14:paraId="5D758B35">
                  <w:pPr>
                    <w:adjustRightInd w:val="0"/>
                    <w:snapToGrid w:val="0"/>
                    <w:jc w:val="center"/>
                    <w:rPr>
                      <w:rFonts w:ascii="Times New Roman" w:hAnsi="Times New Roman" w:cs="Times New Roman"/>
                      <w:szCs w:val="21"/>
                    </w:rPr>
                  </w:pPr>
                  <w:r>
                    <w:rPr>
                      <w:rFonts w:hint="eastAsia" w:ascii="Times New Roman" w:hAnsi="Times New Roman" w:cs="Times New Roman"/>
                      <w:szCs w:val="21"/>
                    </w:rPr>
                    <w:t>废包装材料</w:t>
                  </w:r>
                </w:p>
              </w:tc>
              <w:tc>
                <w:tcPr>
                  <w:tcW w:w="1405" w:type="pct"/>
                  <w:tcBorders>
                    <w:tl2br w:val="nil"/>
                    <w:tr2bl w:val="nil"/>
                  </w:tcBorders>
                  <w:vAlign w:val="center"/>
                </w:tcPr>
                <w:p w14:paraId="17CDC946">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一般固废</w:t>
                  </w:r>
                </w:p>
              </w:tc>
              <w:tc>
                <w:tcPr>
                  <w:tcW w:w="486" w:type="pct"/>
                  <w:tcBorders>
                    <w:tl2br w:val="nil"/>
                    <w:tr2bl w:val="nil"/>
                  </w:tcBorders>
                  <w:vAlign w:val="center"/>
                </w:tcPr>
                <w:p w14:paraId="3486773D">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0.1</w:t>
                  </w:r>
                </w:p>
              </w:tc>
              <w:tc>
                <w:tcPr>
                  <w:tcW w:w="527" w:type="pct"/>
                  <w:vMerge w:val="continue"/>
                  <w:tcBorders>
                    <w:tl2br w:val="nil"/>
                    <w:tr2bl w:val="nil"/>
                  </w:tcBorders>
                  <w:vAlign w:val="center"/>
                </w:tcPr>
                <w:p w14:paraId="2511ECCF">
                  <w:pPr>
                    <w:pStyle w:val="11"/>
                    <w:adjustRightInd w:val="0"/>
                    <w:snapToGrid w:val="0"/>
                    <w:spacing w:before="0" w:line="240" w:lineRule="auto"/>
                    <w:ind w:firstLine="0"/>
                    <w:jc w:val="center"/>
                    <w:rPr>
                      <w:rFonts w:ascii="Times New Roman" w:hAnsi="Times New Roman" w:cs="Times New Roman"/>
                      <w:sz w:val="21"/>
                      <w:szCs w:val="21"/>
                    </w:rPr>
                  </w:pPr>
                </w:p>
              </w:tc>
              <w:tc>
                <w:tcPr>
                  <w:tcW w:w="798" w:type="pct"/>
                  <w:vMerge w:val="continue"/>
                  <w:tcBorders>
                    <w:tl2br w:val="nil"/>
                    <w:tr2bl w:val="nil"/>
                  </w:tcBorders>
                  <w:vAlign w:val="center"/>
                </w:tcPr>
                <w:p w14:paraId="716C9395">
                  <w:pPr>
                    <w:pStyle w:val="11"/>
                    <w:adjustRightInd w:val="0"/>
                    <w:snapToGrid w:val="0"/>
                    <w:spacing w:before="0" w:line="240" w:lineRule="auto"/>
                    <w:ind w:firstLine="0"/>
                    <w:jc w:val="center"/>
                    <w:rPr>
                      <w:rFonts w:ascii="Times New Roman" w:hAnsi="Times New Roman" w:cs="Times New Roman"/>
                      <w:sz w:val="21"/>
                      <w:szCs w:val="21"/>
                    </w:rPr>
                  </w:pPr>
                </w:p>
              </w:tc>
            </w:tr>
            <w:tr w14:paraId="1AAC03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96" w:type="pct"/>
                  <w:tcBorders>
                    <w:tl2br w:val="nil"/>
                    <w:tr2bl w:val="nil"/>
                  </w:tcBorders>
                  <w:vAlign w:val="center"/>
                </w:tcPr>
                <w:p w14:paraId="53FE5077">
                  <w:pPr>
                    <w:pStyle w:val="11"/>
                    <w:adjustRightInd w:val="0"/>
                    <w:snapToGrid w:val="0"/>
                    <w:spacing w:before="0" w:line="240" w:lineRule="auto"/>
                    <w:ind w:firstLine="0"/>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val="en-US" w:eastAsia="zh-CN"/>
                    </w:rPr>
                    <w:t>4</w:t>
                  </w:r>
                </w:p>
              </w:tc>
              <w:tc>
                <w:tcPr>
                  <w:tcW w:w="712" w:type="pct"/>
                  <w:vMerge w:val="restart"/>
                  <w:tcBorders>
                    <w:tl2br w:val="nil"/>
                    <w:tr2bl w:val="nil"/>
                  </w:tcBorders>
                  <w:vAlign w:val="center"/>
                </w:tcPr>
                <w:p w14:paraId="3A33D0EB">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废气处理</w:t>
                  </w:r>
                </w:p>
              </w:tc>
              <w:tc>
                <w:tcPr>
                  <w:tcW w:w="673" w:type="pct"/>
                  <w:tcBorders>
                    <w:tl2br w:val="nil"/>
                    <w:tr2bl w:val="nil"/>
                  </w:tcBorders>
                  <w:vAlign w:val="center"/>
                </w:tcPr>
                <w:p w14:paraId="0E0C2993">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废活性炭</w:t>
                  </w:r>
                </w:p>
              </w:tc>
              <w:tc>
                <w:tcPr>
                  <w:tcW w:w="1405" w:type="pct"/>
                  <w:tcBorders>
                    <w:tl2br w:val="nil"/>
                    <w:tr2bl w:val="nil"/>
                  </w:tcBorders>
                  <w:vAlign w:val="center"/>
                </w:tcPr>
                <w:p w14:paraId="5462488E">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危险废物</w:t>
                  </w:r>
                </w:p>
                <w:p w14:paraId="3FCEA645">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HW49-900-041-49</w:t>
                  </w:r>
                </w:p>
              </w:tc>
              <w:tc>
                <w:tcPr>
                  <w:tcW w:w="486" w:type="pct"/>
                  <w:tcBorders>
                    <w:tl2br w:val="nil"/>
                    <w:tr2bl w:val="nil"/>
                  </w:tcBorders>
                  <w:vAlign w:val="center"/>
                </w:tcPr>
                <w:p w14:paraId="279BA974">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0.816</w:t>
                  </w:r>
                </w:p>
              </w:tc>
              <w:tc>
                <w:tcPr>
                  <w:tcW w:w="527" w:type="pct"/>
                  <w:vMerge w:val="restart"/>
                  <w:tcBorders>
                    <w:tl2br w:val="nil"/>
                    <w:tr2bl w:val="nil"/>
                  </w:tcBorders>
                  <w:vAlign w:val="center"/>
                </w:tcPr>
                <w:p w14:paraId="0CCDA48F">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专用容器收集，危废</w:t>
                  </w:r>
                  <w:r>
                    <w:rPr>
                      <w:rFonts w:hint="eastAsia" w:ascii="Times New Roman" w:hAnsi="Times New Roman" w:cs="Times New Roman"/>
                      <w:sz w:val="21"/>
                      <w:szCs w:val="21"/>
                    </w:rPr>
                    <w:t>贮存库</w:t>
                  </w:r>
                  <w:r>
                    <w:rPr>
                      <w:rFonts w:ascii="Times New Roman" w:hAnsi="Times New Roman" w:cs="Times New Roman"/>
                      <w:sz w:val="21"/>
                      <w:szCs w:val="21"/>
                    </w:rPr>
                    <w:t>暂存</w:t>
                  </w:r>
                </w:p>
              </w:tc>
              <w:tc>
                <w:tcPr>
                  <w:tcW w:w="798" w:type="pct"/>
                  <w:vMerge w:val="restart"/>
                  <w:tcBorders>
                    <w:tl2br w:val="nil"/>
                    <w:tr2bl w:val="nil"/>
                  </w:tcBorders>
                  <w:vAlign w:val="center"/>
                </w:tcPr>
                <w:p w14:paraId="7A520F8F">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委托有资质的单位处理</w:t>
                  </w:r>
                </w:p>
              </w:tc>
            </w:tr>
            <w:tr w14:paraId="05261E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96" w:type="pct"/>
                  <w:tcBorders>
                    <w:tl2br w:val="nil"/>
                    <w:tr2bl w:val="nil"/>
                  </w:tcBorders>
                  <w:vAlign w:val="center"/>
                </w:tcPr>
                <w:p w14:paraId="4C633E20">
                  <w:pPr>
                    <w:pStyle w:val="11"/>
                    <w:adjustRightInd w:val="0"/>
                    <w:snapToGrid w:val="0"/>
                    <w:spacing w:before="0" w:line="240" w:lineRule="auto"/>
                    <w:ind w:firstLine="0"/>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val="en-US" w:eastAsia="zh-CN"/>
                    </w:rPr>
                    <w:t>5</w:t>
                  </w:r>
                </w:p>
              </w:tc>
              <w:tc>
                <w:tcPr>
                  <w:tcW w:w="712" w:type="pct"/>
                  <w:vMerge w:val="continue"/>
                  <w:tcBorders>
                    <w:tl2br w:val="nil"/>
                    <w:tr2bl w:val="nil"/>
                  </w:tcBorders>
                  <w:vAlign w:val="center"/>
                </w:tcPr>
                <w:p w14:paraId="28596AA0">
                  <w:pPr>
                    <w:pStyle w:val="11"/>
                    <w:adjustRightInd w:val="0"/>
                    <w:snapToGrid w:val="0"/>
                    <w:spacing w:before="0" w:line="240" w:lineRule="auto"/>
                    <w:ind w:firstLine="0"/>
                    <w:jc w:val="center"/>
                    <w:rPr>
                      <w:rFonts w:ascii="Times New Roman" w:hAnsi="Times New Roman" w:cs="Times New Roman"/>
                      <w:sz w:val="21"/>
                      <w:szCs w:val="21"/>
                    </w:rPr>
                  </w:pPr>
                </w:p>
              </w:tc>
              <w:tc>
                <w:tcPr>
                  <w:tcW w:w="673" w:type="pct"/>
                  <w:tcBorders>
                    <w:tl2br w:val="nil"/>
                    <w:tr2bl w:val="nil"/>
                  </w:tcBorders>
                  <w:vAlign w:val="center"/>
                </w:tcPr>
                <w:p w14:paraId="03A6CB88">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废过滤棉</w:t>
                  </w:r>
                </w:p>
              </w:tc>
              <w:tc>
                <w:tcPr>
                  <w:tcW w:w="1405" w:type="pct"/>
                  <w:tcBorders>
                    <w:tl2br w:val="nil"/>
                    <w:tr2bl w:val="nil"/>
                  </w:tcBorders>
                  <w:vAlign w:val="center"/>
                </w:tcPr>
                <w:p w14:paraId="0A94509A">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危险废物HW</w:t>
                  </w:r>
                  <w:r>
                    <w:rPr>
                      <w:rFonts w:hint="eastAsia" w:ascii="Times New Roman" w:hAnsi="Times New Roman" w:cs="Times New Roman"/>
                      <w:sz w:val="21"/>
                      <w:szCs w:val="21"/>
                    </w:rPr>
                    <w:t>49-</w:t>
                  </w:r>
                  <w:r>
                    <w:rPr>
                      <w:rFonts w:ascii="Times New Roman" w:hAnsi="Times New Roman" w:cs="Times New Roman"/>
                      <w:sz w:val="21"/>
                      <w:szCs w:val="21"/>
                    </w:rPr>
                    <w:t>900-041-49</w:t>
                  </w:r>
                </w:p>
              </w:tc>
              <w:tc>
                <w:tcPr>
                  <w:tcW w:w="486" w:type="pct"/>
                  <w:tcBorders>
                    <w:tl2br w:val="nil"/>
                    <w:tr2bl w:val="nil"/>
                  </w:tcBorders>
                  <w:vAlign w:val="center"/>
                </w:tcPr>
                <w:p w14:paraId="299D32B2">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0.001</w:t>
                  </w:r>
                </w:p>
              </w:tc>
              <w:tc>
                <w:tcPr>
                  <w:tcW w:w="527" w:type="pct"/>
                  <w:vMerge w:val="continue"/>
                  <w:tcBorders>
                    <w:tl2br w:val="nil"/>
                    <w:tr2bl w:val="nil"/>
                  </w:tcBorders>
                  <w:vAlign w:val="center"/>
                </w:tcPr>
                <w:p w14:paraId="408370B0">
                  <w:pPr>
                    <w:pStyle w:val="11"/>
                    <w:adjustRightInd w:val="0"/>
                    <w:snapToGrid w:val="0"/>
                    <w:spacing w:before="0" w:line="240" w:lineRule="auto"/>
                    <w:ind w:firstLine="0"/>
                    <w:jc w:val="center"/>
                    <w:rPr>
                      <w:rFonts w:ascii="Times New Roman" w:hAnsi="Times New Roman" w:cs="Times New Roman"/>
                      <w:sz w:val="21"/>
                      <w:szCs w:val="21"/>
                    </w:rPr>
                  </w:pPr>
                </w:p>
              </w:tc>
              <w:tc>
                <w:tcPr>
                  <w:tcW w:w="798" w:type="pct"/>
                  <w:vMerge w:val="continue"/>
                  <w:tcBorders>
                    <w:tl2br w:val="nil"/>
                    <w:tr2bl w:val="nil"/>
                  </w:tcBorders>
                  <w:vAlign w:val="center"/>
                </w:tcPr>
                <w:p w14:paraId="6D541662">
                  <w:pPr>
                    <w:pStyle w:val="11"/>
                    <w:adjustRightInd w:val="0"/>
                    <w:snapToGrid w:val="0"/>
                    <w:spacing w:before="0" w:line="240" w:lineRule="auto"/>
                    <w:ind w:firstLine="0"/>
                    <w:jc w:val="center"/>
                    <w:rPr>
                      <w:rFonts w:ascii="Times New Roman" w:hAnsi="Times New Roman" w:cs="Times New Roman"/>
                      <w:sz w:val="21"/>
                      <w:szCs w:val="21"/>
                    </w:rPr>
                  </w:pPr>
                </w:p>
              </w:tc>
            </w:tr>
            <w:tr w14:paraId="09A9D0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96" w:type="pct"/>
                  <w:tcBorders>
                    <w:tl2br w:val="nil"/>
                    <w:tr2bl w:val="nil"/>
                  </w:tcBorders>
                  <w:vAlign w:val="center"/>
                </w:tcPr>
                <w:p w14:paraId="438725BA">
                  <w:pPr>
                    <w:pStyle w:val="11"/>
                    <w:adjustRightInd w:val="0"/>
                    <w:snapToGrid w:val="0"/>
                    <w:spacing w:before="0" w:line="240" w:lineRule="auto"/>
                    <w:ind w:firstLine="0"/>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val="en-US" w:eastAsia="zh-CN"/>
                    </w:rPr>
                    <w:t>6</w:t>
                  </w:r>
                </w:p>
              </w:tc>
              <w:tc>
                <w:tcPr>
                  <w:tcW w:w="712" w:type="pct"/>
                  <w:vMerge w:val="continue"/>
                  <w:tcBorders>
                    <w:tl2br w:val="nil"/>
                    <w:tr2bl w:val="nil"/>
                  </w:tcBorders>
                  <w:vAlign w:val="center"/>
                </w:tcPr>
                <w:p w14:paraId="47012D37">
                  <w:pPr>
                    <w:pStyle w:val="11"/>
                    <w:adjustRightInd w:val="0"/>
                    <w:snapToGrid w:val="0"/>
                    <w:spacing w:before="0" w:line="240" w:lineRule="auto"/>
                    <w:ind w:firstLine="0"/>
                    <w:jc w:val="center"/>
                    <w:rPr>
                      <w:rFonts w:ascii="Times New Roman" w:hAnsi="Times New Roman" w:cs="Times New Roman"/>
                      <w:sz w:val="21"/>
                      <w:szCs w:val="21"/>
                    </w:rPr>
                  </w:pPr>
                </w:p>
              </w:tc>
              <w:tc>
                <w:tcPr>
                  <w:tcW w:w="673" w:type="pct"/>
                  <w:tcBorders>
                    <w:tl2br w:val="nil"/>
                    <w:tr2bl w:val="nil"/>
                  </w:tcBorders>
                  <w:vAlign w:val="center"/>
                </w:tcPr>
                <w:p w14:paraId="25FD9703">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除尘灰</w:t>
                  </w:r>
                </w:p>
              </w:tc>
              <w:tc>
                <w:tcPr>
                  <w:tcW w:w="1405" w:type="pct"/>
                  <w:tcBorders>
                    <w:tl2br w:val="nil"/>
                    <w:tr2bl w:val="nil"/>
                  </w:tcBorders>
                  <w:vAlign w:val="center"/>
                </w:tcPr>
                <w:p w14:paraId="1D950991">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危险废物</w:t>
                  </w:r>
                  <w:r>
                    <w:rPr>
                      <w:rFonts w:ascii="Times New Roman" w:hAnsi="Times New Roman" w:cs="Times New Roman"/>
                      <w:sz w:val="21"/>
                      <w:szCs w:val="21"/>
                    </w:rPr>
                    <w:t>HW</w:t>
                  </w:r>
                  <w:r>
                    <w:rPr>
                      <w:rFonts w:hint="eastAsia" w:ascii="Times New Roman" w:hAnsi="Times New Roman" w:cs="Times New Roman"/>
                      <w:sz w:val="21"/>
                      <w:szCs w:val="21"/>
                    </w:rPr>
                    <w:t>23-336</w:t>
                  </w:r>
                  <w:r>
                    <w:rPr>
                      <w:rFonts w:ascii="Times New Roman" w:hAnsi="Times New Roman" w:cs="Times New Roman"/>
                      <w:sz w:val="21"/>
                      <w:szCs w:val="21"/>
                    </w:rPr>
                    <w:t>-</w:t>
                  </w:r>
                </w:p>
                <w:p w14:paraId="45FEB0FF">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103</w:t>
                  </w:r>
                  <w:r>
                    <w:rPr>
                      <w:rFonts w:ascii="Times New Roman" w:hAnsi="Times New Roman" w:cs="Times New Roman"/>
                      <w:sz w:val="21"/>
                      <w:szCs w:val="21"/>
                    </w:rPr>
                    <w:t>-</w:t>
                  </w:r>
                  <w:r>
                    <w:rPr>
                      <w:rFonts w:hint="eastAsia" w:ascii="Times New Roman" w:hAnsi="Times New Roman" w:cs="Times New Roman"/>
                      <w:sz w:val="21"/>
                      <w:szCs w:val="21"/>
                    </w:rPr>
                    <w:t>23</w:t>
                  </w:r>
                </w:p>
              </w:tc>
              <w:tc>
                <w:tcPr>
                  <w:tcW w:w="486" w:type="pct"/>
                  <w:tcBorders>
                    <w:tl2br w:val="nil"/>
                    <w:tr2bl w:val="nil"/>
                  </w:tcBorders>
                  <w:vAlign w:val="center"/>
                </w:tcPr>
                <w:p w14:paraId="3B70E095">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3.2236</w:t>
                  </w:r>
                </w:p>
              </w:tc>
              <w:tc>
                <w:tcPr>
                  <w:tcW w:w="527" w:type="pct"/>
                  <w:vMerge w:val="continue"/>
                  <w:tcBorders>
                    <w:tl2br w:val="nil"/>
                    <w:tr2bl w:val="nil"/>
                  </w:tcBorders>
                  <w:vAlign w:val="center"/>
                </w:tcPr>
                <w:p w14:paraId="6EE75EAB">
                  <w:pPr>
                    <w:pStyle w:val="11"/>
                    <w:adjustRightInd w:val="0"/>
                    <w:snapToGrid w:val="0"/>
                    <w:spacing w:before="0" w:line="240" w:lineRule="auto"/>
                    <w:ind w:firstLine="0"/>
                    <w:jc w:val="center"/>
                    <w:rPr>
                      <w:rFonts w:ascii="Times New Roman" w:hAnsi="Times New Roman" w:cs="Times New Roman"/>
                      <w:sz w:val="21"/>
                      <w:szCs w:val="21"/>
                    </w:rPr>
                  </w:pPr>
                </w:p>
              </w:tc>
              <w:tc>
                <w:tcPr>
                  <w:tcW w:w="798" w:type="pct"/>
                  <w:vMerge w:val="continue"/>
                  <w:tcBorders>
                    <w:tl2br w:val="nil"/>
                    <w:tr2bl w:val="nil"/>
                  </w:tcBorders>
                  <w:vAlign w:val="center"/>
                </w:tcPr>
                <w:p w14:paraId="41209C14">
                  <w:pPr>
                    <w:pStyle w:val="11"/>
                    <w:adjustRightInd w:val="0"/>
                    <w:snapToGrid w:val="0"/>
                    <w:spacing w:before="0" w:line="240" w:lineRule="auto"/>
                    <w:ind w:firstLine="0"/>
                    <w:jc w:val="center"/>
                    <w:rPr>
                      <w:rFonts w:ascii="Times New Roman" w:hAnsi="Times New Roman" w:cs="Times New Roman"/>
                      <w:sz w:val="21"/>
                      <w:szCs w:val="21"/>
                    </w:rPr>
                  </w:pPr>
                </w:p>
              </w:tc>
            </w:tr>
            <w:tr w14:paraId="4DF81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96" w:type="pct"/>
                  <w:tcBorders>
                    <w:tl2br w:val="nil"/>
                    <w:tr2bl w:val="nil"/>
                  </w:tcBorders>
                  <w:vAlign w:val="center"/>
                </w:tcPr>
                <w:p w14:paraId="4E17A922">
                  <w:pPr>
                    <w:pStyle w:val="11"/>
                    <w:adjustRightInd w:val="0"/>
                    <w:snapToGrid w:val="0"/>
                    <w:spacing w:before="0" w:line="240" w:lineRule="auto"/>
                    <w:ind w:firstLine="0"/>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val="en-US" w:eastAsia="zh-CN"/>
                    </w:rPr>
                    <w:t>7</w:t>
                  </w:r>
                </w:p>
              </w:tc>
              <w:tc>
                <w:tcPr>
                  <w:tcW w:w="712" w:type="pct"/>
                  <w:vMerge w:val="restart"/>
                  <w:tcBorders>
                    <w:tl2br w:val="nil"/>
                    <w:tr2bl w:val="nil"/>
                  </w:tcBorders>
                  <w:vAlign w:val="center"/>
                </w:tcPr>
                <w:p w14:paraId="66CA5918">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设备维护</w:t>
                  </w:r>
                </w:p>
              </w:tc>
              <w:tc>
                <w:tcPr>
                  <w:tcW w:w="673" w:type="pct"/>
                  <w:tcBorders>
                    <w:tl2br w:val="nil"/>
                    <w:tr2bl w:val="nil"/>
                  </w:tcBorders>
                  <w:vAlign w:val="center"/>
                </w:tcPr>
                <w:p w14:paraId="207A2B8B">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废机油</w:t>
                  </w:r>
                </w:p>
              </w:tc>
              <w:tc>
                <w:tcPr>
                  <w:tcW w:w="1405" w:type="pct"/>
                  <w:tcBorders>
                    <w:tl2br w:val="nil"/>
                    <w:tr2bl w:val="nil"/>
                  </w:tcBorders>
                  <w:vAlign w:val="center"/>
                </w:tcPr>
                <w:p w14:paraId="04138F57">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危险废物</w:t>
                  </w:r>
                </w:p>
                <w:p w14:paraId="37A423C5">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HW08-900-249-08</w:t>
                  </w:r>
                </w:p>
              </w:tc>
              <w:tc>
                <w:tcPr>
                  <w:tcW w:w="486" w:type="pct"/>
                  <w:tcBorders>
                    <w:tl2br w:val="nil"/>
                    <w:tr2bl w:val="nil"/>
                  </w:tcBorders>
                  <w:vAlign w:val="center"/>
                </w:tcPr>
                <w:p w14:paraId="4809C109">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0.02</w:t>
                  </w:r>
                </w:p>
              </w:tc>
              <w:tc>
                <w:tcPr>
                  <w:tcW w:w="527" w:type="pct"/>
                  <w:vMerge w:val="continue"/>
                  <w:tcBorders>
                    <w:tl2br w:val="nil"/>
                    <w:tr2bl w:val="nil"/>
                  </w:tcBorders>
                  <w:vAlign w:val="center"/>
                </w:tcPr>
                <w:p w14:paraId="0C04420E">
                  <w:pPr>
                    <w:pStyle w:val="11"/>
                    <w:adjustRightInd w:val="0"/>
                    <w:snapToGrid w:val="0"/>
                    <w:spacing w:before="0" w:line="240" w:lineRule="auto"/>
                    <w:ind w:firstLine="0"/>
                    <w:jc w:val="center"/>
                    <w:rPr>
                      <w:rFonts w:ascii="Times New Roman" w:hAnsi="Times New Roman" w:cs="Times New Roman"/>
                      <w:sz w:val="21"/>
                      <w:szCs w:val="21"/>
                    </w:rPr>
                  </w:pPr>
                </w:p>
              </w:tc>
              <w:tc>
                <w:tcPr>
                  <w:tcW w:w="798" w:type="pct"/>
                  <w:vMerge w:val="continue"/>
                  <w:tcBorders>
                    <w:tl2br w:val="nil"/>
                    <w:tr2bl w:val="nil"/>
                  </w:tcBorders>
                  <w:vAlign w:val="center"/>
                </w:tcPr>
                <w:p w14:paraId="43ABB568">
                  <w:pPr>
                    <w:pStyle w:val="11"/>
                    <w:adjustRightInd w:val="0"/>
                    <w:snapToGrid w:val="0"/>
                    <w:spacing w:before="0" w:line="240" w:lineRule="auto"/>
                    <w:ind w:firstLine="0"/>
                    <w:jc w:val="center"/>
                    <w:rPr>
                      <w:rFonts w:ascii="Times New Roman" w:hAnsi="Times New Roman" w:cs="Times New Roman"/>
                      <w:sz w:val="21"/>
                      <w:szCs w:val="21"/>
                    </w:rPr>
                  </w:pPr>
                </w:p>
              </w:tc>
            </w:tr>
            <w:tr w14:paraId="6407A1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96" w:type="pct"/>
                  <w:tcBorders>
                    <w:tl2br w:val="nil"/>
                    <w:tr2bl w:val="nil"/>
                  </w:tcBorders>
                  <w:vAlign w:val="center"/>
                </w:tcPr>
                <w:p w14:paraId="63423A87">
                  <w:pPr>
                    <w:pStyle w:val="11"/>
                    <w:adjustRightInd w:val="0"/>
                    <w:snapToGrid w:val="0"/>
                    <w:spacing w:before="0" w:line="240" w:lineRule="auto"/>
                    <w:ind w:firstLine="0"/>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val="en-US" w:eastAsia="zh-CN"/>
                    </w:rPr>
                    <w:t>8</w:t>
                  </w:r>
                </w:p>
              </w:tc>
              <w:tc>
                <w:tcPr>
                  <w:tcW w:w="712" w:type="pct"/>
                  <w:vMerge w:val="continue"/>
                  <w:tcBorders>
                    <w:tl2br w:val="nil"/>
                    <w:tr2bl w:val="nil"/>
                  </w:tcBorders>
                  <w:vAlign w:val="center"/>
                </w:tcPr>
                <w:p w14:paraId="2B127C5A">
                  <w:pPr>
                    <w:pStyle w:val="11"/>
                    <w:adjustRightInd w:val="0"/>
                    <w:snapToGrid w:val="0"/>
                    <w:spacing w:before="0" w:line="240" w:lineRule="auto"/>
                    <w:ind w:firstLine="0"/>
                    <w:jc w:val="center"/>
                    <w:rPr>
                      <w:rFonts w:ascii="Times New Roman" w:hAnsi="Times New Roman" w:cs="Times New Roman"/>
                      <w:sz w:val="21"/>
                      <w:szCs w:val="21"/>
                    </w:rPr>
                  </w:pPr>
                </w:p>
              </w:tc>
              <w:tc>
                <w:tcPr>
                  <w:tcW w:w="673" w:type="pct"/>
                  <w:tcBorders>
                    <w:tl2br w:val="nil"/>
                    <w:tr2bl w:val="nil"/>
                  </w:tcBorders>
                  <w:vAlign w:val="center"/>
                </w:tcPr>
                <w:p w14:paraId="1D2B6E1F">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废油桶</w:t>
                  </w:r>
                </w:p>
              </w:tc>
              <w:tc>
                <w:tcPr>
                  <w:tcW w:w="1405" w:type="pct"/>
                  <w:tcBorders>
                    <w:tl2br w:val="nil"/>
                    <w:tr2bl w:val="nil"/>
                  </w:tcBorders>
                  <w:vAlign w:val="center"/>
                </w:tcPr>
                <w:p w14:paraId="1ACF2ADA">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危险废物HW49-900-041-49</w:t>
                  </w:r>
                </w:p>
              </w:tc>
              <w:tc>
                <w:tcPr>
                  <w:tcW w:w="486" w:type="pct"/>
                  <w:tcBorders>
                    <w:tl2br w:val="nil"/>
                    <w:tr2bl w:val="nil"/>
                  </w:tcBorders>
                  <w:vAlign w:val="center"/>
                </w:tcPr>
                <w:p w14:paraId="712D1534">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0.05</w:t>
                  </w:r>
                </w:p>
              </w:tc>
              <w:tc>
                <w:tcPr>
                  <w:tcW w:w="527" w:type="pct"/>
                  <w:vMerge w:val="continue"/>
                  <w:tcBorders>
                    <w:tl2br w:val="nil"/>
                    <w:tr2bl w:val="nil"/>
                  </w:tcBorders>
                  <w:vAlign w:val="center"/>
                </w:tcPr>
                <w:p w14:paraId="5B1902A0">
                  <w:pPr>
                    <w:pStyle w:val="11"/>
                    <w:adjustRightInd w:val="0"/>
                    <w:snapToGrid w:val="0"/>
                    <w:spacing w:before="0" w:line="240" w:lineRule="auto"/>
                    <w:ind w:firstLine="0"/>
                    <w:jc w:val="center"/>
                    <w:rPr>
                      <w:rFonts w:ascii="Times New Roman" w:hAnsi="Times New Roman" w:cs="Times New Roman"/>
                      <w:sz w:val="21"/>
                      <w:szCs w:val="21"/>
                    </w:rPr>
                  </w:pPr>
                </w:p>
              </w:tc>
              <w:tc>
                <w:tcPr>
                  <w:tcW w:w="798" w:type="pct"/>
                  <w:vMerge w:val="continue"/>
                  <w:tcBorders>
                    <w:tl2br w:val="nil"/>
                    <w:tr2bl w:val="nil"/>
                  </w:tcBorders>
                  <w:vAlign w:val="center"/>
                </w:tcPr>
                <w:p w14:paraId="6190E6A0">
                  <w:pPr>
                    <w:pStyle w:val="11"/>
                    <w:adjustRightInd w:val="0"/>
                    <w:snapToGrid w:val="0"/>
                    <w:spacing w:before="0" w:line="240" w:lineRule="auto"/>
                    <w:ind w:firstLine="0"/>
                    <w:jc w:val="center"/>
                    <w:rPr>
                      <w:rFonts w:ascii="Times New Roman" w:hAnsi="Times New Roman" w:cs="Times New Roman"/>
                      <w:sz w:val="21"/>
                      <w:szCs w:val="21"/>
                    </w:rPr>
                  </w:pPr>
                </w:p>
              </w:tc>
            </w:tr>
            <w:tr w14:paraId="37B43D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96" w:type="pct"/>
                  <w:tcBorders>
                    <w:tl2br w:val="nil"/>
                    <w:tr2bl w:val="nil"/>
                  </w:tcBorders>
                  <w:vAlign w:val="center"/>
                </w:tcPr>
                <w:p w14:paraId="7587803F">
                  <w:pPr>
                    <w:pStyle w:val="11"/>
                    <w:adjustRightInd w:val="0"/>
                    <w:snapToGrid w:val="0"/>
                    <w:spacing w:before="0" w:line="240" w:lineRule="auto"/>
                    <w:ind w:firstLine="0"/>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val="en-US" w:eastAsia="zh-CN"/>
                    </w:rPr>
                    <w:t>9</w:t>
                  </w:r>
                </w:p>
              </w:tc>
              <w:tc>
                <w:tcPr>
                  <w:tcW w:w="712" w:type="pct"/>
                  <w:vMerge w:val="continue"/>
                  <w:tcBorders>
                    <w:tl2br w:val="nil"/>
                    <w:tr2bl w:val="nil"/>
                  </w:tcBorders>
                  <w:vAlign w:val="center"/>
                </w:tcPr>
                <w:p w14:paraId="12EE299D">
                  <w:pPr>
                    <w:pStyle w:val="11"/>
                    <w:adjustRightInd w:val="0"/>
                    <w:snapToGrid w:val="0"/>
                    <w:spacing w:before="0" w:line="240" w:lineRule="auto"/>
                    <w:ind w:firstLine="0"/>
                    <w:jc w:val="center"/>
                    <w:rPr>
                      <w:rFonts w:ascii="Times New Roman" w:hAnsi="Times New Roman" w:cs="Times New Roman"/>
                      <w:sz w:val="21"/>
                      <w:szCs w:val="21"/>
                    </w:rPr>
                  </w:pPr>
                </w:p>
              </w:tc>
              <w:tc>
                <w:tcPr>
                  <w:tcW w:w="673" w:type="pct"/>
                  <w:tcBorders>
                    <w:tl2br w:val="nil"/>
                    <w:tr2bl w:val="nil"/>
                  </w:tcBorders>
                  <w:vAlign w:val="center"/>
                </w:tcPr>
                <w:p w14:paraId="64915F9D">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废含油抹布手套</w:t>
                  </w:r>
                </w:p>
              </w:tc>
              <w:tc>
                <w:tcPr>
                  <w:tcW w:w="1405" w:type="pct"/>
                  <w:tcBorders>
                    <w:tl2br w:val="nil"/>
                    <w:tr2bl w:val="nil"/>
                  </w:tcBorders>
                  <w:vAlign w:val="center"/>
                </w:tcPr>
                <w:p w14:paraId="7B88554F">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危险废物HW49-900-041-49</w:t>
                  </w:r>
                </w:p>
              </w:tc>
              <w:tc>
                <w:tcPr>
                  <w:tcW w:w="486" w:type="pct"/>
                  <w:tcBorders>
                    <w:tl2br w:val="nil"/>
                    <w:tr2bl w:val="nil"/>
                  </w:tcBorders>
                  <w:vAlign w:val="center"/>
                </w:tcPr>
                <w:p w14:paraId="6F1F3E4E">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0.01</w:t>
                  </w:r>
                </w:p>
              </w:tc>
              <w:tc>
                <w:tcPr>
                  <w:tcW w:w="527" w:type="pct"/>
                  <w:vMerge w:val="continue"/>
                  <w:tcBorders>
                    <w:tl2br w:val="nil"/>
                    <w:tr2bl w:val="nil"/>
                  </w:tcBorders>
                  <w:vAlign w:val="center"/>
                </w:tcPr>
                <w:p w14:paraId="5FD098C8">
                  <w:pPr>
                    <w:pStyle w:val="11"/>
                    <w:adjustRightInd w:val="0"/>
                    <w:snapToGrid w:val="0"/>
                    <w:spacing w:before="0" w:line="240" w:lineRule="auto"/>
                    <w:ind w:firstLine="0"/>
                    <w:jc w:val="center"/>
                    <w:rPr>
                      <w:rFonts w:ascii="Times New Roman" w:hAnsi="Times New Roman" w:cs="Times New Roman"/>
                      <w:sz w:val="21"/>
                      <w:szCs w:val="21"/>
                    </w:rPr>
                  </w:pPr>
                </w:p>
              </w:tc>
              <w:tc>
                <w:tcPr>
                  <w:tcW w:w="798" w:type="pct"/>
                  <w:vMerge w:val="continue"/>
                  <w:tcBorders>
                    <w:tl2br w:val="nil"/>
                    <w:tr2bl w:val="nil"/>
                  </w:tcBorders>
                  <w:vAlign w:val="center"/>
                </w:tcPr>
                <w:p w14:paraId="46BFFB5A">
                  <w:pPr>
                    <w:pStyle w:val="11"/>
                    <w:adjustRightInd w:val="0"/>
                    <w:snapToGrid w:val="0"/>
                    <w:spacing w:before="0" w:line="240" w:lineRule="auto"/>
                    <w:ind w:firstLine="0"/>
                    <w:jc w:val="center"/>
                    <w:rPr>
                      <w:rFonts w:ascii="Times New Roman" w:hAnsi="Times New Roman" w:cs="Times New Roman"/>
                      <w:sz w:val="21"/>
                      <w:szCs w:val="21"/>
                    </w:rPr>
                  </w:pPr>
                </w:p>
              </w:tc>
            </w:tr>
            <w:tr w14:paraId="520442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96" w:type="pct"/>
                  <w:tcBorders>
                    <w:tl2br w:val="nil"/>
                    <w:tr2bl w:val="nil"/>
                  </w:tcBorders>
                  <w:vAlign w:val="center"/>
                </w:tcPr>
                <w:p w14:paraId="519509F6">
                  <w:pPr>
                    <w:pStyle w:val="11"/>
                    <w:adjustRightInd w:val="0"/>
                    <w:snapToGrid w:val="0"/>
                    <w:spacing w:before="0" w:line="240" w:lineRule="auto"/>
                    <w:ind w:firstLine="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10</w:t>
                  </w:r>
                </w:p>
              </w:tc>
              <w:tc>
                <w:tcPr>
                  <w:tcW w:w="712" w:type="pct"/>
                  <w:tcBorders>
                    <w:tl2br w:val="nil"/>
                    <w:tr2bl w:val="nil"/>
                  </w:tcBorders>
                  <w:vAlign w:val="center"/>
                </w:tcPr>
                <w:p w14:paraId="1B077EFE">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污水处理</w:t>
                  </w:r>
                </w:p>
              </w:tc>
              <w:tc>
                <w:tcPr>
                  <w:tcW w:w="673" w:type="pct"/>
                  <w:tcBorders>
                    <w:tl2br w:val="nil"/>
                    <w:tr2bl w:val="nil"/>
                  </w:tcBorders>
                  <w:vAlign w:val="center"/>
                </w:tcPr>
                <w:p w14:paraId="20894AC8">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污泥</w:t>
                  </w:r>
                </w:p>
              </w:tc>
              <w:tc>
                <w:tcPr>
                  <w:tcW w:w="1405" w:type="pct"/>
                  <w:tcBorders>
                    <w:tl2br w:val="nil"/>
                    <w:tr2bl w:val="nil"/>
                  </w:tcBorders>
                  <w:vAlign w:val="center"/>
                </w:tcPr>
                <w:p w14:paraId="10F482D8">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危险废物HW17-</w:t>
                  </w:r>
                  <w:r>
                    <w:rPr>
                      <w:rFonts w:ascii="Times New Roman" w:hAnsi="Times New Roman" w:eastAsia="宋体" w:cs="Times New Roman"/>
                      <w:kern w:val="0"/>
                      <w:sz w:val="21"/>
                      <w:szCs w:val="21"/>
                      <w:lang w:bidi="ar"/>
                    </w:rPr>
                    <w:t>336-064-17</w:t>
                  </w:r>
                </w:p>
              </w:tc>
              <w:tc>
                <w:tcPr>
                  <w:tcW w:w="486" w:type="pct"/>
                  <w:tcBorders>
                    <w:tl2br w:val="nil"/>
                    <w:tr2bl w:val="nil"/>
                  </w:tcBorders>
                  <w:vAlign w:val="center"/>
                </w:tcPr>
                <w:p w14:paraId="3CAEDE26">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7.2</w:t>
                  </w:r>
                </w:p>
              </w:tc>
              <w:tc>
                <w:tcPr>
                  <w:tcW w:w="527" w:type="pct"/>
                  <w:vMerge w:val="continue"/>
                  <w:tcBorders>
                    <w:tl2br w:val="nil"/>
                    <w:tr2bl w:val="nil"/>
                  </w:tcBorders>
                  <w:vAlign w:val="center"/>
                </w:tcPr>
                <w:p w14:paraId="73BF8E66">
                  <w:pPr>
                    <w:pStyle w:val="11"/>
                    <w:adjustRightInd w:val="0"/>
                    <w:snapToGrid w:val="0"/>
                    <w:spacing w:before="0" w:line="240" w:lineRule="auto"/>
                    <w:ind w:firstLine="0"/>
                    <w:jc w:val="center"/>
                    <w:rPr>
                      <w:rFonts w:ascii="Times New Roman" w:hAnsi="Times New Roman" w:cs="Times New Roman"/>
                      <w:sz w:val="21"/>
                      <w:szCs w:val="21"/>
                    </w:rPr>
                  </w:pPr>
                </w:p>
              </w:tc>
              <w:tc>
                <w:tcPr>
                  <w:tcW w:w="798" w:type="pct"/>
                  <w:vMerge w:val="continue"/>
                  <w:tcBorders>
                    <w:tl2br w:val="nil"/>
                    <w:tr2bl w:val="nil"/>
                  </w:tcBorders>
                  <w:vAlign w:val="center"/>
                </w:tcPr>
                <w:p w14:paraId="21B6C4EB">
                  <w:pPr>
                    <w:pStyle w:val="11"/>
                    <w:adjustRightInd w:val="0"/>
                    <w:snapToGrid w:val="0"/>
                    <w:spacing w:before="0" w:line="240" w:lineRule="auto"/>
                    <w:ind w:firstLine="0"/>
                    <w:jc w:val="center"/>
                    <w:rPr>
                      <w:rFonts w:ascii="Times New Roman" w:hAnsi="Times New Roman" w:cs="Times New Roman"/>
                      <w:sz w:val="21"/>
                      <w:szCs w:val="21"/>
                    </w:rPr>
                  </w:pPr>
                </w:p>
              </w:tc>
            </w:tr>
            <w:tr w14:paraId="1CE52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96" w:type="pct"/>
                  <w:tcBorders>
                    <w:tl2br w:val="nil"/>
                    <w:tr2bl w:val="nil"/>
                  </w:tcBorders>
                  <w:vAlign w:val="center"/>
                </w:tcPr>
                <w:p w14:paraId="5EA13E03">
                  <w:pPr>
                    <w:pStyle w:val="11"/>
                    <w:adjustRightInd w:val="0"/>
                    <w:snapToGrid w:val="0"/>
                    <w:spacing w:before="0" w:line="240" w:lineRule="auto"/>
                    <w:ind w:firstLine="0" w:firstLineChars="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rPr>
                    <w:t>11</w:t>
                  </w:r>
                </w:p>
              </w:tc>
              <w:tc>
                <w:tcPr>
                  <w:tcW w:w="712" w:type="pct"/>
                  <w:tcBorders>
                    <w:tl2br w:val="nil"/>
                    <w:tr2bl w:val="nil"/>
                  </w:tcBorders>
                  <w:vAlign w:val="center"/>
                </w:tcPr>
                <w:p w14:paraId="154D4984">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生产</w:t>
                  </w:r>
                </w:p>
              </w:tc>
              <w:tc>
                <w:tcPr>
                  <w:tcW w:w="673" w:type="pct"/>
                  <w:tcBorders>
                    <w:tl2br w:val="nil"/>
                    <w:tr2bl w:val="nil"/>
                  </w:tcBorders>
                  <w:vAlign w:val="center"/>
                </w:tcPr>
                <w:p w14:paraId="34C6A6AA">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废锌粉包装袋</w:t>
                  </w:r>
                </w:p>
              </w:tc>
              <w:tc>
                <w:tcPr>
                  <w:tcW w:w="1405" w:type="pct"/>
                  <w:tcBorders>
                    <w:tl2br w:val="nil"/>
                    <w:tr2bl w:val="nil"/>
                  </w:tcBorders>
                  <w:vAlign w:val="center"/>
                </w:tcPr>
                <w:p w14:paraId="6483E868">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危险废物HW49-900-041-49</w:t>
                  </w:r>
                </w:p>
              </w:tc>
              <w:tc>
                <w:tcPr>
                  <w:tcW w:w="486" w:type="pct"/>
                  <w:tcBorders>
                    <w:tl2br w:val="nil"/>
                    <w:tr2bl w:val="nil"/>
                  </w:tcBorders>
                  <w:vAlign w:val="center"/>
                </w:tcPr>
                <w:p w14:paraId="53BCA0ED">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0.08</w:t>
                  </w:r>
                </w:p>
              </w:tc>
              <w:tc>
                <w:tcPr>
                  <w:tcW w:w="527" w:type="pct"/>
                  <w:vMerge w:val="continue"/>
                  <w:tcBorders>
                    <w:tl2br w:val="nil"/>
                    <w:tr2bl w:val="nil"/>
                  </w:tcBorders>
                  <w:vAlign w:val="center"/>
                </w:tcPr>
                <w:p w14:paraId="2D4E5AD9">
                  <w:pPr>
                    <w:pStyle w:val="11"/>
                    <w:adjustRightInd w:val="0"/>
                    <w:snapToGrid w:val="0"/>
                    <w:spacing w:before="0" w:line="240" w:lineRule="auto"/>
                    <w:ind w:firstLine="0"/>
                    <w:jc w:val="center"/>
                    <w:rPr>
                      <w:rFonts w:ascii="Times New Roman" w:hAnsi="Times New Roman" w:cs="Times New Roman"/>
                      <w:sz w:val="21"/>
                      <w:szCs w:val="21"/>
                    </w:rPr>
                  </w:pPr>
                </w:p>
              </w:tc>
              <w:tc>
                <w:tcPr>
                  <w:tcW w:w="798" w:type="pct"/>
                  <w:vMerge w:val="continue"/>
                  <w:tcBorders>
                    <w:tl2br w:val="nil"/>
                    <w:tr2bl w:val="nil"/>
                  </w:tcBorders>
                  <w:vAlign w:val="center"/>
                </w:tcPr>
                <w:p w14:paraId="7A2602A1">
                  <w:pPr>
                    <w:pStyle w:val="11"/>
                    <w:adjustRightInd w:val="0"/>
                    <w:snapToGrid w:val="0"/>
                    <w:spacing w:before="0" w:line="240" w:lineRule="auto"/>
                    <w:ind w:firstLine="0"/>
                    <w:jc w:val="center"/>
                    <w:rPr>
                      <w:rFonts w:ascii="Times New Roman" w:hAnsi="Times New Roman" w:cs="Times New Roman"/>
                      <w:sz w:val="21"/>
                      <w:szCs w:val="21"/>
                    </w:rPr>
                  </w:pPr>
                </w:p>
              </w:tc>
            </w:tr>
            <w:tr w14:paraId="6401D2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96" w:type="pct"/>
                  <w:tcBorders>
                    <w:tl2br w:val="nil"/>
                    <w:tr2bl w:val="nil"/>
                  </w:tcBorders>
                  <w:vAlign w:val="center"/>
                </w:tcPr>
                <w:p w14:paraId="01C5299E">
                  <w:pPr>
                    <w:pStyle w:val="11"/>
                    <w:adjustRightInd w:val="0"/>
                    <w:snapToGrid w:val="0"/>
                    <w:spacing w:before="0"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rPr>
                    <w:t>12</w:t>
                  </w:r>
                </w:p>
              </w:tc>
              <w:tc>
                <w:tcPr>
                  <w:tcW w:w="712" w:type="pct"/>
                  <w:vMerge w:val="restart"/>
                  <w:tcBorders>
                    <w:tl2br w:val="nil"/>
                    <w:tr2bl w:val="nil"/>
                  </w:tcBorders>
                  <w:vAlign w:val="center"/>
                </w:tcPr>
                <w:p w14:paraId="25437C6A">
                  <w:pPr>
                    <w:pStyle w:val="11"/>
                    <w:adjustRightInd w:val="0"/>
                    <w:snapToGrid w:val="0"/>
                    <w:spacing w:before="0" w:line="240" w:lineRule="auto"/>
                    <w:ind w:firstLine="0"/>
                    <w:jc w:val="center"/>
                    <w:rPr>
                      <w:rFonts w:hint="eastAsia" w:ascii="Times New Roman" w:hAnsi="Times New Roman" w:cs="Times New Roman"/>
                      <w:color w:val="FF0000"/>
                      <w:sz w:val="21"/>
                      <w:szCs w:val="21"/>
                    </w:rPr>
                  </w:pPr>
                  <w:r>
                    <w:rPr>
                      <w:rFonts w:hint="eastAsia" w:ascii="Times New Roman" w:hAnsi="Times New Roman" w:cs="Times New Roman"/>
                      <w:color w:val="FF0000"/>
                      <w:sz w:val="21"/>
                      <w:szCs w:val="21"/>
                    </w:rPr>
                    <w:t>喷漆</w:t>
                  </w:r>
                </w:p>
              </w:tc>
              <w:tc>
                <w:tcPr>
                  <w:tcW w:w="673" w:type="pct"/>
                  <w:tcBorders>
                    <w:tl2br w:val="nil"/>
                    <w:tr2bl w:val="nil"/>
                  </w:tcBorders>
                  <w:vAlign w:val="center"/>
                </w:tcPr>
                <w:p w14:paraId="1B7CB402">
                  <w:pPr>
                    <w:pStyle w:val="11"/>
                    <w:adjustRightInd w:val="0"/>
                    <w:snapToGrid w:val="0"/>
                    <w:spacing w:before="0" w:line="240" w:lineRule="auto"/>
                    <w:ind w:firstLine="0" w:firstLineChars="0"/>
                    <w:jc w:val="center"/>
                    <w:rPr>
                      <w:rFonts w:hint="eastAsia" w:ascii="Times New Roman" w:hAnsi="Times New Roman" w:cs="Times New Roman" w:eastAsiaTheme="minorEastAsia"/>
                      <w:color w:val="FF0000"/>
                      <w:kern w:val="2"/>
                      <w:sz w:val="21"/>
                      <w:szCs w:val="21"/>
                      <w:highlight w:val="cyan"/>
                      <w:lang w:val="en-US" w:eastAsia="zh-CN" w:bidi="ar-SA"/>
                    </w:rPr>
                  </w:pPr>
                  <w:r>
                    <w:rPr>
                      <w:rFonts w:hint="eastAsia" w:ascii="Times New Roman" w:hAnsi="Times New Roman" w:cs="Times New Roman"/>
                      <w:color w:val="FF0000"/>
                      <w:sz w:val="21"/>
                      <w:szCs w:val="21"/>
                      <w:highlight w:val="cyan"/>
                    </w:rPr>
                    <w:t>废水性漆桶</w:t>
                  </w:r>
                </w:p>
              </w:tc>
              <w:tc>
                <w:tcPr>
                  <w:tcW w:w="1405" w:type="pct"/>
                  <w:tcBorders>
                    <w:tl2br w:val="nil"/>
                    <w:tr2bl w:val="nil"/>
                  </w:tcBorders>
                  <w:vAlign w:val="center"/>
                </w:tcPr>
                <w:p w14:paraId="28FD2F11">
                  <w:pPr>
                    <w:pStyle w:val="11"/>
                    <w:adjustRightInd w:val="0"/>
                    <w:snapToGrid w:val="0"/>
                    <w:spacing w:before="0" w:line="240" w:lineRule="auto"/>
                    <w:ind w:firstLine="0" w:firstLineChars="0"/>
                    <w:jc w:val="center"/>
                    <w:rPr>
                      <w:rFonts w:ascii="Times New Roman" w:hAnsi="Times New Roman" w:cs="Times New Roman" w:eastAsiaTheme="minorEastAsia"/>
                      <w:color w:val="FF0000"/>
                      <w:kern w:val="2"/>
                      <w:sz w:val="21"/>
                      <w:szCs w:val="21"/>
                      <w:highlight w:val="cyan"/>
                      <w:lang w:val="en-US" w:eastAsia="zh-CN" w:bidi="ar-SA"/>
                    </w:rPr>
                  </w:pPr>
                  <w:r>
                    <w:rPr>
                      <w:rFonts w:ascii="Times New Roman" w:hAnsi="Times New Roman" w:cs="Times New Roman"/>
                      <w:color w:val="FF0000"/>
                      <w:sz w:val="21"/>
                      <w:szCs w:val="21"/>
                    </w:rPr>
                    <w:t>危险废物HW49-900-041-49</w:t>
                  </w:r>
                  <w:r>
                    <w:rPr>
                      <w:color w:val="FF0000"/>
                    </w:rPr>
                    <w:commentReference w:id="29"/>
                  </w:r>
                </w:p>
              </w:tc>
              <w:tc>
                <w:tcPr>
                  <w:tcW w:w="486" w:type="pct"/>
                  <w:tcBorders>
                    <w:tl2br w:val="nil"/>
                    <w:tr2bl w:val="nil"/>
                  </w:tcBorders>
                  <w:vAlign w:val="center"/>
                </w:tcPr>
                <w:p w14:paraId="72473079">
                  <w:pPr>
                    <w:pStyle w:val="11"/>
                    <w:adjustRightInd w:val="0"/>
                    <w:snapToGrid w:val="0"/>
                    <w:spacing w:before="0" w:line="240" w:lineRule="auto"/>
                    <w:ind w:firstLine="0" w:firstLineChars="0"/>
                    <w:jc w:val="center"/>
                    <w:rPr>
                      <w:rFonts w:hint="eastAsia" w:ascii="Times New Roman" w:hAnsi="Times New Roman" w:cs="Times New Roman" w:eastAsiaTheme="minorEastAsia"/>
                      <w:color w:val="FF0000"/>
                      <w:kern w:val="2"/>
                      <w:sz w:val="21"/>
                      <w:szCs w:val="21"/>
                      <w:highlight w:val="cyan"/>
                      <w:lang w:val="en-US" w:eastAsia="zh-CN" w:bidi="ar-SA"/>
                    </w:rPr>
                  </w:pPr>
                  <w:r>
                    <w:rPr>
                      <w:rFonts w:hint="eastAsia" w:ascii="Times New Roman" w:hAnsi="Times New Roman" w:cs="Times New Roman"/>
                      <w:color w:val="FF0000"/>
                      <w:sz w:val="21"/>
                      <w:szCs w:val="21"/>
                      <w:highlight w:val="cyan"/>
                    </w:rPr>
                    <w:t>0.3</w:t>
                  </w:r>
                </w:p>
              </w:tc>
              <w:tc>
                <w:tcPr>
                  <w:tcW w:w="527" w:type="pct"/>
                  <w:vMerge w:val="continue"/>
                  <w:tcBorders>
                    <w:tl2br w:val="nil"/>
                    <w:tr2bl w:val="nil"/>
                  </w:tcBorders>
                  <w:vAlign w:val="center"/>
                </w:tcPr>
                <w:p w14:paraId="101D2173">
                  <w:pPr>
                    <w:pStyle w:val="11"/>
                    <w:adjustRightInd w:val="0"/>
                    <w:snapToGrid w:val="0"/>
                    <w:spacing w:before="0" w:line="240" w:lineRule="auto"/>
                    <w:ind w:firstLine="0"/>
                    <w:jc w:val="center"/>
                    <w:rPr>
                      <w:rFonts w:ascii="Times New Roman" w:hAnsi="Times New Roman" w:cs="Times New Roman"/>
                      <w:sz w:val="21"/>
                      <w:szCs w:val="21"/>
                    </w:rPr>
                  </w:pPr>
                </w:p>
              </w:tc>
              <w:tc>
                <w:tcPr>
                  <w:tcW w:w="798" w:type="pct"/>
                  <w:vMerge w:val="continue"/>
                  <w:tcBorders>
                    <w:tl2br w:val="nil"/>
                    <w:tr2bl w:val="nil"/>
                  </w:tcBorders>
                  <w:vAlign w:val="center"/>
                </w:tcPr>
                <w:p w14:paraId="63DF0354">
                  <w:pPr>
                    <w:pStyle w:val="11"/>
                    <w:adjustRightInd w:val="0"/>
                    <w:snapToGrid w:val="0"/>
                    <w:spacing w:before="0" w:line="240" w:lineRule="auto"/>
                    <w:ind w:firstLine="0"/>
                    <w:jc w:val="center"/>
                    <w:rPr>
                      <w:rFonts w:ascii="Times New Roman" w:hAnsi="Times New Roman" w:cs="Times New Roman"/>
                      <w:sz w:val="21"/>
                      <w:szCs w:val="21"/>
                    </w:rPr>
                  </w:pPr>
                </w:p>
              </w:tc>
            </w:tr>
            <w:tr w14:paraId="4E3294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96" w:type="pct"/>
                  <w:tcBorders>
                    <w:tl2br w:val="nil"/>
                    <w:tr2bl w:val="nil"/>
                  </w:tcBorders>
                  <w:vAlign w:val="center"/>
                </w:tcPr>
                <w:p w14:paraId="2DBE2385">
                  <w:pPr>
                    <w:pStyle w:val="11"/>
                    <w:adjustRightInd w:val="0"/>
                    <w:snapToGrid w:val="0"/>
                    <w:spacing w:before="0" w:line="240" w:lineRule="auto"/>
                    <w:ind w:firstLine="0" w:firstLineChars="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13</w:t>
                  </w:r>
                </w:p>
              </w:tc>
              <w:tc>
                <w:tcPr>
                  <w:tcW w:w="712" w:type="pct"/>
                  <w:vMerge w:val="continue"/>
                  <w:tcBorders>
                    <w:tl2br w:val="nil"/>
                    <w:tr2bl w:val="nil"/>
                  </w:tcBorders>
                  <w:vAlign w:val="center"/>
                </w:tcPr>
                <w:p w14:paraId="312D94FC">
                  <w:pPr>
                    <w:pStyle w:val="11"/>
                    <w:adjustRightInd w:val="0"/>
                    <w:snapToGrid w:val="0"/>
                    <w:spacing w:before="0" w:line="240" w:lineRule="auto"/>
                    <w:ind w:firstLine="0"/>
                    <w:jc w:val="center"/>
                    <w:rPr>
                      <w:rFonts w:hint="eastAsia" w:ascii="Times New Roman" w:hAnsi="Times New Roman" w:cs="Times New Roman"/>
                      <w:color w:val="FF0000"/>
                      <w:sz w:val="21"/>
                      <w:szCs w:val="21"/>
                    </w:rPr>
                  </w:pPr>
                </w:p>
              </w:tc>
              <w:tc>
                <w:tcPr>
                  <w:tcW w:w="673" w:type="pct"/>
                  <w:tcBorders>
                    <w:tl2br w:val="nil"/>
                    <w:tr2bl w:val="nil"/>
                  </w:tcBorders>
                  <w:vAlign w:val="center"/>
                </w:tcPr>
                <w:p w14:paraId="015D90A7">
                  <w:pPr>
                    <w:pStyle w:val="11"/>
                    <w:adjustRightInd w:val="0"/>
                    <w:snapToGrid w:val="0"/>
                    <w:spacing w:before="0" w:line="240" w:lineRule="auto"/>
                    <w:ind w:firstLine="0"/>
                    <w:jc w:val="center"/>
                    <w:rPr>
                      <w:rFonts w:hint="eastAsia" w:ascii="Times New Roman" w:hAnsi="Times New Roman" w:cs="Times New Roman" w:eastAsiaTheme="minorEastAsia"/>
                      <w:color w:val="FF0000"/>
                      <w:sz w:val="21"/>
                      <w:szCs w:val="21"/>
                      <w:lang w:eastAsia="zh-CN"/>
                    </w:rPr>
                  </w:pPr>
                  <w:r>
                    <w:rPr>
                      <w:rFonts w:hint="eastAsia" w:ascii="Times New Roman" w:hAnsi="Times New Roman" w:cs="Times New Roman"/>
                      <w:color w:val="FF0000"/>
                      <w:sz w:val="21"/>
                      <w:szCs w:val="21"/>
                      <w:lang w:eastAsia="zh-CN"/>
                    </w:rPr>
                    <w:t>漆渣</w:t>
                  </w:r>
                </w:p>
              </w:tc>
              <w:tc>
                <w:tcPr>
                  <w:tcW w:w="1405" w:type="pct"/>
                  <w:tcBorders>
                    <w:tl2br w:val="nil"/>
                    <w:tr2bl w:val="nil"/>
                  </w:tcBorders>
                  <w:vAlign w:val="center"/>
                </w:tcPr>
                <w:p w14:paraId="475B8590">
                  <w:pPr>
                    <w:pStyle w:val="11"/>
                    <w:adjustRightInd w:val="0"/>
                    <w:snapToGrid w:val="0"/>
                    <w:spacing w:before="0" w:line="240" w:lineRule="auto"/>
                    <w:ind w:firstLine="0"/>
                    <w:jc w:val="center"/>
                    <w:rPr>
                      <w:rFonts w:ascii="Times New Roman" w:hAnsi="Times New Roman" w:cs="Times New Roman"/>
                      <w:color w:val="FF0000"/>
                      <w:sz w:val="21"/>
                      <w:szCs w:val="21"/>
                    </w:rPr>
                  </w:pPr>
                  <w:r>
                    <w:rPr>
                      <w:rFonts w:ascii="Times New Roman" w:hAnsi="Times New Roman" w:cs="Times New Roman"/>
                      <w:color w:val="FF0000"/>
                      <w:sz w:val="21"/>
                      <w:szCs w:val="21"/>
                    </w:rPr>
                    <w:t>危险废物HW49-900-041-49</w:t>
                  </w:r>
                </w:p>
              </w:tc>
              <w:tc>
                <w:tcPr>
                  <w:tcW w:w="486" w:type="pct"/>
                  <w:tcBorders>
                    <w:tl2br w:val="nil"/>
                    <w:tr2bl w:val="nil"/>
                  </w:tcBorders>
                  <w:vAlign w:val="center"/>
                </w:tcPr>
                <w:p w14:paraId="79106D31">
                  <w:pPr>
                    <w:pStyle w:val="11"/>
                    <w:adjustRightInd w:val="0"/>
                    <w:snapToGrid w:val="0"/>
                    <w:spacing w:before="0" w:line="240" w:lineRule="auto"/>
                    <w:ind w:firstLine="0"/>
                    <w:jc w:val="center"/>
                    <w:rPr>
                      <w:rFonts w:hint="default" w:ascii="Times New Roman" w:hAnsi="Times New Roman" w:cs="Times New Roman" w:eastAsiaTheme="minorEastAsia"/>
                      <w:color w:val="FF0000"/>
                      <w:sz w:val="21"/>
                      <w:szCs w:val="21"/>
                      <w:lang w:val="en-US" w:eastAsia="zh-CN"/>
                    </w:rPr>
                  </w:pPr>
                  <w:r>
                    <w:rPr>
                      <w:rFonts w:hint="eastAsia" w:ascii="Times New Roman" w:hAnsi="Times New Roman" w:cs="Times New Roman"/>
                      <w:color w:val="FF0000"/>
                      <w:sz w:val="21"/>
                      <w:szCs w:val="21"/>
                      <w:lang w:val="en-US" w:eastAsia="zh-CN"/>
                    </w:rPr>
                    <w:t>0.367</w:t>
                  </w:r>
                </w:p>
              </w:tc>
              <w:tc>
                <w:tcPr>
                  <w:tcW w:w="527" w:type="pct"/>
                  <w:vMerge w:val="continue"/>
                  <w:tcBorders>
                    <w:tl2br w:val="nil"/>
                    <w:tr2bl w:val="nil"/>
                  </w:tcBorders>
                  <w:vAlign w:val="center"/>
                </w:tcPr>
                <w:p w14:paraId="30EB2CC5">
                  <w:pPr>
                    <w:pStyle w:val="11"/>
                    <w:adjustRightInd w:val="0"/>
                    <w:snapToGrid w:val="0"/>
                    <w:spacing w:before="0" w:line="240" w:lineRule="auto"/>
                    <w:ind w:firstLine="0"/>
                    <w:jc w:val="center"/>
                    <w:rPr>
                      <w:rFonts w:ascii="Times New Roman" w:hAnsi="Times New Roman" w:cs="Times New Roman"/>
                      <w:sz w:val="21"/>
                      <w:szCs w:val="21"/>
                    </w:rPr>
                  </w:pPr>
                </w:p>
              </w:tc>
              <w:tc>
                <w:tcPr>
                  <w:tcW w:w="798" w:type="pct"/>
                  <w:vMerge w:val="continue"/>
                  <w:tcBorders>
                    <w:tl2br w:val="nil"/>
                    <w:tr2bl w:val="nil"/>
                  </w:tcBorders>
                  <w:vAlign w:val="center"/>
                </w:tcPr>
                <w:p w14:paraId="7BA924C9">
                  <w:pPr>
                    <w:pStyle w:val="11"/>
                    <w:adjustRightInd w:val="0"/>
                    <w:snapToGrid w:val="0"/>
                    <w:spacing w:before="0" w:line="240" w:lineRule="auto"/>
                    <w:ind w:firstLine="0"/>
                    <w:jc w:val="center"/>
                    <w:rPr>
                      <w:rFonts w:ascii="Times New Roman" w:hAnsi="Times New Roman" w:cs="Times New Roman"/>
                      <w:sz w:val="21"/>
                      <w:szCs w:val="21"/>
                    </w:rPr>
                  </w:pPr>
                </w:p>
              </w:tc>
            </w:tr>
          </w:tbl>
          <w:p w14:paraId="03585A2F">
            <w:pPr>
              <w:adjustRightInd w:val="0"/>
              <w:snapToGrid w:val="0"/>
              <w:spacing w:line="360" w:lineRule="auto"/>
              <w:ind w:firstLine="480" w:firstLineChars="200"/>
              <w:rPr>
                <w:rFonts w:ascii="Times New Roman" w:hAnsi="Times New Roman" w:cs="Times New Roman"/>
                <w:snapToGrid w:val="0"/>
                <w:kern w:val="0"/>
                <w:sz w:val="24"/>
              </w:rPr>
            </w:pPr>
            <w:r>
              <w:rPr>
                <w:rFonts w:hint="eastAsia" w:ascii="Times New Roman" w:hAnsi="Times New Roman" w:cs="Times New Roman"/>
                <w:snapToGrid w:val="0"/>
                <w:kern w:val="0"/>
                <w:sz w:val="24"/>
              </w:rPr>
              <w:t>2.2</w:t>
            </w:r>
            <w:r>
              <w:rPr>
                <w:rFonts w:ascii="Times New Roman" w:hAnsi="Times New Roman" w:cs="Times New Roman"/>
                <w:snapToGrid w:val="0"/>
                <w:kern w:val="0"/>
                <w:sz w:val="24"/>
              </w:rPr>
              <w:t>在建项目污染物排放情况汇总</w:t>
            </w:r>
          </w:p>
          <w:p w14:paraId="301CD40A">
            <w:pPr>
              <w:adjustRightInd w:val="0"/>
              <w:snapToGrid w:val="0"/>
              <w:spacing w:line="360" w:lineRule="auto"/>
              <w:ind w:firstLine="480" w:firstLineChars="200"/>
              <w:rPr>
                <w:rFonts w:ascii="Times New Roman" w:hAnsi="Times New Roman" w:cs="Times New Roman"/>
                <w:snapToGrid w:val="0"/>
                <w:kern w:val="0"/>
                <w:sz w:val="24"/>
              </w:rPr>
            </w:pPr>
            <w:r>
              <w:rPr>
                <w:rFonts w:ascii="Times New Roman" w:hAnsi="Times New Roman" w:cs="Times New Roman"/>
                <w:snapToGrid w:val="0"/>
                <w:kern w:val="0"/>
                <w:sz w:val="24"/>
              </w:rPr>
              <w:t>在建项目污染物排放情况汇总见下表。</w:t>
            </w:r>
          </w:p>
          <w:p w14:paraId="5F193993">
            <w:pPr>
              <w:adjustRightInd w:val="0"/>
              <w:snapToGrid w:val="0"/>
              <w:jc w:val="center"/>
              <w:rPr>
                <w:rFonts w:ascii="Times New Roman" w:hAnsi="Times New Roman" w:eastAsia="宋体" w:cs="Times New Roman"/>
                <w:b/>
                <w:szCs w:val="21"/>
                <w:lang w:bidi="zh-CN"/>
              </w:rPr>
            </w:pPr>
            <w:bookmarkStart w:id="10" w:name="_bookmark51"/>
            <w:bookmarkEnd w:id="10"/>
            <w:r>
              <w:rPr>
                <w:rFonts w:ascii="Times New Roman" w:hAnsi="Times New Roman" w:eastAsia="宋体" w:cs="Times New Roman"/>
                <w:b/>
                <w:szCs w:val="21"/>
                <w:lang w:bidi="zh-CN"/>
              </w:rPr>
              <w:t>表2</w:t>
            </w:r>
            <w:r>
              <w:rPr>
                <w:rFonts w:hint="eastAsia" w:ascii="Times New Roman" w:hAnsi="Times New Roman" w:eastAsia="宋体" w:cs="Times New Roman"/>
                <w:b/>
                <w:szCs w:val="21"/>
                <w:lang w:bidi="zh-CN"/>
              </w:rPr>
              <w:t>-</w:t>
            </w:r>
            <w:r>
              <w:rPr>
                <w:rFonts w:ascii="Times New Roman" w:hAnsi="Times New Roman" w:cs="Times New Roman"/>
                <w:b/>
                <w:szCs w:val="21"/>
                <w:lang w:bidi="zh-CN"/>
              </w:rPr>
              <w:t>1</w:t>
            </w:r>
            <w:r>
              <w:rPr>
                <w:rFonts w:hint="eastAsia" w:ascii="Times New Roman" w:hAnsi="Times New Roman" w:cs="Times New Roman"/>
                <w:b/>
                <w:szCs w:val="21"/>
                <w:lang w:bidi="zh-CN"/>
              </w:rPr>
              <w:t>3</w:t>
            </w:r>
            <w:r>
              <w:rPr>
                <w:rFonts w:ascii="Times New Roman" w:hAnsi="Times New Roman" w:cs="Times New Roman"/>
                <w:b/>
                <w:szCs w:val="21"/>
                <w:lang w:bidi="zh-CN"/>
              </w:rPr>
              <w:t xml:space="preserve">    在建项目</w:t>
            </w:r>
            <w:r>
              <w:rPr>
                <w:rFonts w:ascii="Times New Roman" w:hAnsi="Times New Roman" w:eastAsia="宋体" w:cs="Times New Roman"/>
                <w:b/>
                <w:szCs w:val="21"/>
                <w:lang w:bidi="zh-CN"/>
              </w:rPr>
              <w:t>污染物排放统计一览表</w:t>
            </w:r>
          </w:p>
          <w:tbl>
            <w:tblPr>
              <w:tblStyle w:val="26"/>
              <w:tblW w:w="4994"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446"/>
              <w:gridCol w:w="1292"/>
              <w:gridCol w:w="1308"/>
              <w:gridCol w:w="1526"/>
              <w:gridCol w:w="1595"/>
              <w:gridCol w:w="2501"/>
            </w:tblGrid>
            <w:tr w14:paraId="05327C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57" w:type="pct"/>
                  <w:vMerge w:val="restart"/>
                  <w:tcBorders>
                    <w:tl2br w:val="nil"/>
                    <w:tr2bl w:val="nil"/>
                  </w:tcBorders>
                  <w:vAlign w:val="center"/>
                </w:tcPr>
                <w:p w14:paraId="2F2AB301">
                  <w:pPr>
                    <w:autoSpaceDE w:val="0"/>
                    <w:autoSpaceDN w:val="0"/>
                    <w:adjustRightInd w:val="0"/>
                    <w:snapToGrid w:val="0"/>
                    <w:jc w:val="center"/>
                    <w:rPr>
                      <w:rFonts w:ascii="Times New Roman" w:hAnsi="Times New Roman" w:cs="Times New Roman"/>
                      <w:b/>
                      <w:bCs/>
                      <w:szCs w:val="21"/>
                    </w:rPr>
                  </w:pPr>
                  <w:r>
                    <w:rPr>
                      <w:rFonts w:ascii="Times New Roman" w:hAnsi="Times New Roman" w:cs="Times New Roman"/>
                      <w:b/>
                      <w:bCs/>
                      <w:szCs w:val="21"/>
                    </w:rPr>
                    <w:t>环境因素</w:t>
                  </w:r>
                </w:p>
              </w:tc>
              <w:tc>
                <w:tcPr>
                  <w:tcW w:w="745" w:type="pct"/>
                  <w:vMerge w:val="restart"/>
                  <w:tcBorders>
                    <w:tl2br w:val="nil"/>
                    <w:tr2bl w:val="nil"/>
                  </w:tcBorders>
                  <w:vAlign w:val="center"/>
                </w:tcPr>
                <w:p w14:paraId="06AAA89E">
                  <w:pPr>
                    <w:autoSpaceDE w:val="0"/>
                    <w:autoSpaceDN w:val="0"/>
                    <w:adjustRightInd w:val="0"/>
                    <w:snapToGrid w:val="0"/>
                    <w:jc w:val="center"/>
                    <w:rPr>
                      <w:rFonts w:ascii="Times New Roman" w:hAnsi="Times New Roman" w:cs="Times New Roman"/>
                      <w:b/>
                      <w:bCs/>
                      <w:szCs w:val="21"/>
                    </w:rPr>
                  </w:pPr>
                  <w:r>
                    <w:rPr>
                      <w:rFonts w:ascii="Times New Roman" w:hAnsi="Times New Roman" w:cs="Times New Roman"/>
                      <w:b/>
                      <w:bCs/>
                      <w:szCs w:val="21"/>
                    </w:rPr>
                    <w:t>污染源</w:t>
                  </w:r>
                </w:p>
              </w:tc>
              <w:tc>
                <w:tcPr>
                  <w:tcW w:w="1634" w:type="pct"/>
                  <w:gridSpan w:val="2"/>
                  <w:tcBorders>
                    <w:tl2br w:val="nil"/>
                    <w:tr2bl w:val="nil"/>
                  </w:tcBorders>
                  <w:vAlign w:val="center"/>
                </w:tcPr>
                <w:p w14:paraId="7AC6AB75">
                  <w:pPr>
                    <w:autoSpaceDE w:val="0"/>
                    <w:autoSpaceDN w:val="0"/>
                    <w:adjustRightInd w:val="0"/>
                    <w:snapToGrid w:val="0"/>
                    <w:jc w:val="center"/>
                    <w:rPr>
                      <w:rFonts w:ascii="Times New Roman" w:hAnsi="Times New Roman" w:cs="Times New Roman"/>
                      <w:b/>
                      <w:bCs/>
                      <w:szCs w:val="21"/>
                    </w:rPr>
                  </w:pPr>
                  <w:r>
                    <w:rPr>
                      <w:rFonts w:ascii="Times New Roman" w:hAnsi="Times New Roman" w:cs="Times New Roman"/>
                      <w:b/>
                      <w:bCs/>
                      <w:szCs w:val="21"/>
                    </w:rPr>
                    <w:t>污染物排放清单</w:t>
                  </w:r>
                </w:p>
              </w:tc>
              <w:tc>
                <w:tcPr>
                  <w:tcW w:w="920" w:type="pct"/>
                  <w:vMerge w:val="restart"/>
                  <w:tcBorders>
                    <w:tl2br w:val="nil"/>
                    <w:tr2bl w:val="nil"/>
                  </w:tcBorders>
                  <w:vAlign w:val="center"/>
                </w:tcPr>
                <w:p w14:paraId="41619619">
                  <w:pPr>
                    <w:autoSpaceDE w:val="0"/>
                    <w:autoSpaceDN w:val="0"/>
                    <w:adjustRightInd w:val="0"/>
                    <w:snapToGrid w:val="0"/>
                    <w:jc w:val="center"/>
                    <w:rPr>
                      <w:rFonts w:ascii="Times New Roman" w:hAnsi="Times New Roman" w:cs="Times New Roman"/>
                      <w:b/>
                      <w:bCs/>
                      <w:szCs w:val="21"/>
                    </w:rPr>
                  </w:pPr>
                  <w:r>
                    <w:rPr>
                      <w:rFonts w:ascii="Times New Roman" w:hAnsi="Times New Roman" w:cs="Times New Roman"/>
                      <w:b/>
                      <w:bCs/>
                      <w:szCs w:val="21"/>
                    </w:rPr>
                    <w:t>采取的</w:t>
                  </w:r>
                </w:p>
                <w:p w14:paraId="2194043A">
                  <w:pPr>
                    <w:autoSpaceDE w:val="0"/>
                    <w:autoSpaceDN w:val="0"/>
                    <w:adjustRightInd w:val="0"/>
                    <w:snapToGrid w:val="0"/>
                    <w:jc w:val="center"/>
                    <w:rPr>
                      <w:rFonts w:ascii="Times New Roman" w:hAnsi="Times New Roman" w:cs="Times New Roman"/>
                      <w:b/>
                      <w:bCs/>
                      <w:szCs w:val="21"/>
                    </w:rPr>
                  </w:pPr>
                  <w:r>
                    <w:rPr>
                      <w:rFonts w:ascii="Times New Roman" w:hAnsi="Times New Roman" w:cs="Times New Roman"/>
                      <w:b/>
                      <w:bCs/>
                      <w:szCs w:val="21"/>
                    </w:rPr>
                    <w:t>环保措施</w:t>
                  </w:r>
                </w:p>
              </w:tc>
              <w:tc>
                <w:tcPr>
                  <w:tcW w:w="1442" w:type="pct"/>
                  <w:vMerge w:val="restart"/>
                  <w:tcBorders>
                    <w:tl2br w:val="nil"/>
                    <w:tr2bl w:val="nil"/>
                  </w:tcBorders>
                  <w:vAlign w:val="center"/>
                </w:tcPr>
                <w:p w14:paraId="59713134">
                  <w:pPr>
                    <w:autoSpaceDE w:val="0"/>
                    <w:autoSpaceDN w:val="0"/>
                    <w:adjustRightInd w:val="0"/>
                    <w:snapToGrid w:val="0"/>
                    <w:jc w:val="center"/>
                    <w:rPr>
                      <w:rFonts w:ascii="Times New Roman" w:hAnsi="Times New Roman" w:cs="Times New Roman"/>
                      <w:b/>
                      <w:bCs/>
                      <w:szCs w:val="21"/>
                    </w:rPr>
                  </w:pPr>
                  <w:r>
                    <w:rPr>
                      <w:rFonts w:ascii="Times New Roman" w:hAnsi="Times New Roman" w:cs="Times New Roman"/>
                      <w:b/>
                      <w:bCs/>
                      <w:szCs w:val="21"/>
                    </w:rPr>
                    <w:t>执行的环境标准及污染物排放管理要求</w:t>
                  </w:r>
                </w:p>
              </w:tc>
            </w:tr>
            <w:tr w14:paraId="2CF668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57" w:type="pct"/>
                  <w:vMerge w:val="continue"/>
                  <w:tcBorders>
                    <w:tl2br w:val="nil"/>
                    <w:tr2bl w:val="nil"/>
                  </w:tcBorders>
                  <w:vAlign w:val="center"/>
                </w:tcPr>
                <w:p w14:paraId="732F5DA0">
                  <w:pPr>
                    <w:autoSpaceDE w:val="0"/>
                    <w:autoSpaceDN w:val="0"/>
                    <w:adjustRightInd w:val="0"/>
                    <w:snapToGrid w:val="0"/>
                    <w:jc w:val="center"/>
                    <w:rPr>
                      <w:rFonts w:ascii="Times New Roman" w:hAnsi="Times New Roman" w:cs="Times New Roman"/>
                      <w:b/>
                      <w:bCs/>
                      <w:szCs w:val="21"/>
                    </w:rPr>
                  </w:pPr>
                </w:p>
              </w:tc>
              <w:tc>
                <w:tcPr>
                  <w:tcW w:w="745" w:type="pct"/>
                  <w:vMerge w:val="continue"/>
                  <w:tcBorders>
                    <w:tl2br w:val="nil"/>
                    <w:tr2bl w:val="nil"/>
                  </w:tcBorders>
                  <w:vAlign w:val="center"/>
                </w:tcPr>
                <w:p w14:paraId="5DDD3ECC">
                  <w:pPr>
                    <w:autoSpaceDE w:val="0"/>
                    <w:autoSpaceDN w:val="0"/>
                    <w:adjustRightInd w:val="0"/>
                    <w:snapToGrid w:val="0"/>
                    <w:jc w:val="center"/>
                    <w:rPr>
                      <w:rFonts w:ascii="Times New Roman" w:hAnsi="Times New Roman" w:cs="Times New Roman"/>
                      <w:b/>
                      <w:bCs/>
                      <w:szCs w:val="21"/>
                    </w:rPr>
                  </w:pPr>
                </w:p>
              </w:tc>
              <w:tc>
                <w:tcPr>
                  <w:tcW w:w="754" w:type="pct"/>
                  <w:tcBorders>
                    <w:tl2br w:val="nil"/>
                    <w:tr2bl w:val="nil"/>
                  </w:tcBorders>
                  <w:vAlign w:val="center"/>
                </w:tcPr>
                <w:p w14:paraId="1C9E854A">
                  <w:pPr>
                    <w:autoSpaceDE w:val="0"/>
                    <w:autoSpaceDN w:val="0"/>
                    <w:adjustRightInd w:val="0"/>
                    <w:snapToGrid w:val="0"/>
                    <w:jc w:val="center"/>
                    <w:rPr>
                      <w:rFonts w:ascii="Times New Roman" w:hAnsi="Times New Roman" w:cs="Times New Roman"/>
                      <w:b/>
                      <w:bCs/>
                      <w:szCs w:val="21"/>
                    </w:rPr>
                  </w:pPr>
                  <w:r>
                    <w:rPr>
                      <w:rFonts w:ascii="Times New Roman" w:hAnsi="Times New Roman" w:cs="Times New Roman"/>
                      <w:b/>
                      <w:bCs/>
                      <w:szCs w:val="21"/>
                    </w:rPr>
                    <w:t>污染物</w:t>
                  </w:r>
                </w:p>
                <w:p w14:paraId="2AD4F2FF">
                  <w:pPr>
                    <w:autoSpaceDE w:val="0"/>
                    <w:autoSpaceDN w:val="0"/>
                    <w:adjustRightInd w:val="0"/>
                    <w:snapToGrid w:val="0"/>
                    <w:jc w:val="center"/>
                    <w:rPr>
                      <w:rFonts w:ascii="Times New Roman" w:hAnsi="Times New Roman" w:cs="Times New Roman"/>
                      <w:b/>
                      <w:bCs/>
                      <w:szCs w:val="21"/>
                    </w:rPr>
                  </w:pPr>
                  <w:r>
                    <w:rPr>
                      <w:rFonts w:ascii="Times New Roman" w:hAnsi="Times New Roman" w:cs="Times New Roman"/>
                      <w:b/>
                      <w:bCs/>
                      <w:szCs w:val="21"/>
                    </w:rPr>
                    <w:t>种类</w:t>
                  </w:r>
                </w:p>
              </w:tc>
              <w:tc>
                <w:tcPr>
                  <w:tcW w:w="880" w:type="pct"/>
                  <w:tcBorders>
                    <w:left w:val="single" w:color="auto" w:sz="4" w:space="0"/>
                    <w:tl2br w:val="nil"/>
                    <w:tr2bl w:val="nil"/>
                  </w:tcBorders>
                  <w:vAlign w:val="center"/>
                </w:tcPr>
                <w:p w14:paraId="7B28682D">
                  <w:pPr>
                    <w:autoSpaceDE w:val="0"/>
                    <w:autoSpaceDN w:val="0"/>
                    <w:adjustRightInd w:val="0"/>
                    <w:snapToGrid w:val="0"/>
                    <w:jc w:val="center"/>
                    <w:rPr>
                      <w:rFonts w:ascii="Times New Roman" w:hAnsi="Times New Roman" w:eastAsia="宋体" w:cs="Times New Roman"/>
                      <w:b/>
                      <w:bCs/>
                      <w:szCs w:val="21"/>
                    </w:rPr>
                  </w:pPr>
                  <w:r>
                    <w:rPr>
                      <w:rFonts w:ascii="Times New Roman" w:hAnsi="Times New Roman" w:cs="Times New Roman"/>
                      <w:b/>
                      <w:bCs/>
                      <w:szCs w:val="21"/>
                    </w:rPr>
                    <w:t>排放量</w:t>
                  </w:r>
                </w:p>
              </w:tc>
              <w:tc>
                <w:tcPr>
                  <w:tcW w:w="920" w:type="pct"/>
                  <w:vMerge w:val="continue"/>
                  <w:tcBorders>
                    <w:tl2br w:val="nil"/>
                    <w:tr2bl w:val="nil"/>
                  </w:tcBorders>
                  <w:vAlign w:val="center"/>
                </w:tcPr>
                <w:p w14:paraId="1C7C2739">
                  <w:pPr>
                    <w:autoSpaceDE w:val="0"/>
                    <w:autoSpaceDN w:val="0"/>
                    <w:adjustRightInd w:val="0"/>
                    <w:snapToGrid w:val="0"/>
                    <w:jc w:val="center"/>
                    <w:rPr>
                      <w:rFonts w:ascii="Times New Roman" w:hAnsi="Times New Roman" w:cs="Times New Roman"/>
                      <w:bCs/>
                      <w:szCs w:val="21"/>
                    </w:rPr>
                  </w:pPr>
                </w:p>
              </w:tc>
              <w:tc>
                <w:tcPr>
                  <w:tcW w:w="1442" w:type="pct"/>
                  <w:vMerge w:val="continue"/>
                  <w:tcBorders>
                    <w:tl2br w:val="nil"/>
                    <w:tr2bl w:val="nil"/>
                  </w:tcBorders>
                  <w:vAlign w:val="center"/>
                </w:tcPr>
                <w:p w14:paraId="6B6F9FDF">
                  <w:pPr>
                    <w:autoSpaceDE w:val="0"/>
                    <w:autoSpaceDN w:val="0"/>
                    <w:adjustRightInd w:val="0"/>
                    <w:snapToGrid w:val="0"/>
                    <w:jc w:val="center"/>
                    <w:rPr>
                      <w:rFonts w:ascii="Times New Roman" w:hAnsi="Times New Roman" w:cs="Times New Roman"/>
                      <w:bCs/>
                      <w:szCs w:val="21"/>
                    </w:rPr>
                  </w:pPr>
                </w:p>
              </w:tc>
            </w:tr>
            <w:tr w14:paraId="5E7303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8" w:hRule="atLeast"/>
              </w:trPr>
              <w:tc>
                <w:tcPr>
                  <w:tcW w:w="257" w:type="pct"/>
                  <w:vMerge w:val="restart"/>
                  <w:tcBorders>
                    <w:tl2br w:val="nil"/>
                    <w:tr2bl w:val="nil"/>
                  </w:tcBorders>
                  <w:vAlign w:val="center"/>
                </w:tcPr>
                <w:p w14:paraId="790FD4C4">
                  <w:pPr>
                    <w:autoSpaceDE w:val="0"/>
                    <w:autoSpaceDN w:val="0"/>
                    <w:adjustRightInd w:val="0"/>
                    <w:snapToGrid w:val="0"/>
                    <w:jc w:val="center"/>
                    <w:rPr>
                      <w:rFonts w:ascii="Times New Roman" w:hAnsi="Times New Roman" w:cs="Times New Roman"/>
                      <w:bCs/>
                      <w:szCs w:val="21"/>
                    </w:rPr>
                  </w:pPr>
                  <w:r>
                    <w:rPr>
                      <w:rFonts w:ascii="Times New Roman" w:hAnsi="Times New Roman" w:cs="Times New Roman"/>
                      <w:bCs/>
                      <w:szCs w:val="21"/>
                    </w:rPr>
                    <w:t>废气</w:t>
                  </w:r>
                </w:p>
              </w:tc>
              <w:tc>
                <w:tcPr>
                  <w:tcW w:w="745" w:type="pct"/>
                  <w:vMerge w:val="restart"/>
                  <w:tcBorders>
                    <w:tl2br w:val="nil"/>
                    <w:tr2bl w:val="nil"/>
                  </w:tcBorders>
                  <w:vAlign w:val="center"/>
                </w:tcPr>
                <w:p w14:paraId="404CCFF1">
                  <w:pPr>
                    <w:widowControl/>
                    <w:wordWrap w:val="0"/>
                    <w:adjustRightInd w:val="0"/>
                    <w:snapToGrid w:val="0"/>
                    <w:jc w:val="center"/>
                    <w:rPr>
                      <w:rFonts w:ascii="Times New Roman" w:hAnsi="Times New Roman" w:cs="Times New Roman"/>
                      <w:kern w:val="0"/>
                      <w:szCs w:val="21"/>
                      <w:lang w:bidi="en-US"/>
                    </w:rPr>
                  </w:pPr>
                  <w:r>
                    <w:rPr>
                      <w:rFonts w:hint="eastAsia" w:ascii="Times New Roman" w:hAnsi="Times New Roman" w:cs="Times New Roman"/>
                      <w:kern w:val="0"/>
                      <w:szCs w:val="21"/>
                      <w:lang w:bidi="en-US"/>
                    </w:rPr>
                    <w:t>喷漆</w:t>
                  </w:r>
                  <w:r>
                    <w:rPr>
                      <w:rFonts w:ascii="Times New Roman" w:hAnsi="Times New Roman" w:cs="Times New Roman"/>
                      <w:kern w:val="0"/>
                      <w:szCs w:val="21"/>
                      <w:lang w:bidi="en-US"/>
                    </w:rPr>
                    <w:t>工序</w:t>
                  </w:r>
                  <w:r>
                    <w:rPr>
                      <w:rFonts w:hint="eastAsia" w:ascii="Times New Roman" w:hAnsi="Times New Roman" w:cs="Times New Roman"/>
                      <w:kern w:val="0"/>
                      <w:szCs w:val="21"/>
                      <w:lang w:bidi="en-US"/>
                    </w:rPr>
                    <w:t>、</w:t>
                  </w:r>
                </w:p>
                <w:p w14:paraId="2AD473B6">
                  <w:pPr>
                    <w:widowControl/>
                    <w:wordWrap w:val="0"/>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固化</w:t>
                  </w:r>
                  <w:r>
                    <w:rPr>
                      <w:rFonts w:hint="eastAsia" w:ascii="Times New Roman" w:hAnsi="Times New Roman" w:eastAsia="宋体" w:cs="Times New Roman"/>
                      <w:bCs/>
                      <w:szCs w:val="21"/>
                    </w:rPr>
                    <w:t>工序</w:t>
                  </w:r>
                </w:p>
                <w:p w14:paraId="5050CA1C">
                  <w:pPr>
                    <w:autoSpaceDE w:val="0"/>
                    <w:autoSpaceDN w:val="0"/>
                    <w:adjustRightInd w:val="0"/>
                    <w:snapToGrid w:val="0"/>
                    <w:jc w:val="center"/>
                    <w:rPr>
                      <w:rFonts w:ascii="Times New Roman" w:hAnsi="Times New Roman" w:eastAsia="宋体" w:cs="Times New Roman"/>
                      <w:bCs/>
                      <w:szCs w:val="21"/>
                    </w:rPr>
                  </w:pPr>
                </w:p>
              </w:tc>
              <w:tc>
                <w:tcPr>
                  <w:tcW w:w="754" w:type="pct"/>
                  <w:tcBorders>
                    <w:tl2br w:val="nil"/>
                    <w:tr2bl w:val="nil"/>
                  </w:tcBorders>
                  <w:vAlign w:val="center"/>
                </w:tcPr>
                <w:p w14:paraId="772CDA86">
                  <w:pPr>
                    <w:jc w:val="center"/>
                    <w:rPr>
                      <w:rFonts w:ascii="Times New Roman" w:hAnsi="Times New Roman" w:cs="Times New Roman"/>
                      <w:bCs/>
                      <w:szCs w:val="21"/>
                    </w:rPr>
                  </w:pPr>
                  <w:r>
                    <w:rPr>
                      <w:rFonts w:ascii="Times New Roman" w:hAnsi="Times New Roman" w:cs="Times New Roman"/>
                      <w:snapToGrid w:val="0"/>
                      <w:kern w:val="21"/>
                      <w:szCs w:val="21"/>
                    </w:rPr>
                    <w:t>非甲烷总烃</w:t>
                  </w:r>
                </w:p>
              </w:tc>
              <w:tc>
                <w:tcPr>
                  <w:tcW w:w="880" w:type="pct"/>
                  <w:tcBorders>
                    <w:tl2br w:val="nil"/>
                    <w:tr2bl w:val="nil"/>
                  </w:tcBorders>
                  <w:shd w:val="clear" w:color="auto" w:fill="auto"/>
                  <w:vAlign w:val="center"/>
                </w:tcPr>
                <w:p w14:paraId="749966EA">
                  <w:pPr>
                    <w:jc w:val="center"/>
                    <w:rPr>
                      <w:rFonts w:ascii="Times New Roman" w:hAnsi="Times New Roman" w:cs="Times New Roman"/>
                      <w:snapToGrid w:val="0"/>
                      <w:kern w:val="21"/>
                      <w:szCs w:val="21"/>
                    </w:rPr>
                  </w:pPr>
                  <w:r>
                    <w:rPr>
                      <w:rFonts w:hint="eastAsia" w:ascii="Times New Roman" w:hAnsi="Times New Roman" w:cs="Times New Roman"/>
                      <w:szCs w:val="21"/>
                    </w:rPr>
                    <w:t>0.045</w:t>
                  </w:r>
                  <w:r>
                    <w:rPr>
                      <w:rFonts w:ascii="Times New Roman" w:hAnsi="Times New Roman" w:cs="Times New Roman"/>
                      <w:szCs w:val="21"/>
                    </w:rPr>
                    <w:t>t/a</w:t>
                  </w:r>
                </w:p>
              </w:tc>
              <w:tc>
                <w:tcPr>
                  <w:tcW w:w="920" w:type="pct"/>
                  <w:vMerge w:val="restart"/>
                  <w:tcBorders>
                    <w:tl2br w:val="nil"/>
                    <w:tr2bl w:val="nil"/>
                  </w:tcBorders>
                  <w:vAlign w:val="center"/>
                </w:tcPr>
                <w:p w14:paraId="12178ECD">
                  <w:pPr>
                    <w:autoSpaceDE w:val="0"/>
                    <w:autoSpaceDN w:val="0"/>
                    <w:adjustRightInd w:val="0"/>
                    <w:snapToGrid w:val="0"/>
                    <w:jc w:val="center"/>
                    <w:rPr>
                      <w:rFonts w:ascii="Times New Roman" w:hAnsi="Times New Roman" w:cs="Times New Roman"/>
                      <w:bCs/>
                      <w:szCs w:val="21"/>
                    </w:rPr>
                  </w:pPr>
                  <w:r>
                    <w:rPr>
                      <w:rFonts w:hint="eastAsia" w:ascii="Times New Roman" w:hAnsi="Times New Roman" w:cs="Times New Roman"/>
                      <w:szCs w:val="21"/>
                    </w:rPr>
                    <w:t>干式过滤棉+二级</w:t>
                  </w:r>
                  <w:r>
                    <w:rPr>
                      <w:rFonts w:ascii="Times New Roman" w:hAnsi="Times New Roman" w:cs="Times New Roman"/>
                      <w:szCs w:val="21"/>
                    </w:rPr>
                    <w:t>活性炭吸附TA003+1根15m高排气筒DA003</w:t>
                  </w:r>
                </w:p>
              </w:tc>
              <w:tc>
                <w:tcPr>
                  <w:tcW w:w="1442" w:type="pct"/>
                  <w:tcBorders>
                    <w:tl2br w:val="nil"/>
                    <w:tr2bl w:val="nil"/>
                  </w:tcBorders>
                  <w:vAlign w:val="center"/>
                </w:tcPr>
                <w:p w14:paraId="32FD8A76">
                  <w:pPr>
                    <w:autoSpaceDE w:val="0"/>
                    <w:autoSpaceDN w:val="0"/>
                    <w:adjustRightInd w:val="0"/>
                    <w:snapToGrid w:val="0"/>
                    <w:jc w:val="center"/>
                    <w:rPr>
                      <w:rFonts w:ascii="Times New Roman" w:hAnsi="Times New Roman" w:cs="Times New Roman"/>
                      <w:bCs/>
                      <w:szCs w:val="21"/>
                    </w:rPr>
                  </w:pPr>
                  <w:r>
                    <w:rPr>
                      <w:rFonts w:hint="eastAsia" w:ascii="Times New Roman" w:hAnsi="Times New Roman" w:cs="Times New Roman"/>
                      <w:kern w:val="0"/>
                      <w:szCs w:val="21"/>
                      <w:lang w:eastAsia="zh-CN"/>
                    </w:rPr>
                    <w:t>《</w:t>
                  </w:r>
                  <w:r>
                    <w:rPr>
                      <w:rFonts w:ascii="Times New Roman" w:hAnsi="Times New Roman" w:cs="Times New Roman"/>
                      <w:kern w:val="0"/>
                      <w:szCs w:val="21"/>
                    </w:rPr>
                    <w:t>挥发性有机物排放控制标准</w:t>
                  </w:r>
                  <w:r>
                    <w:rPr>
                      <w:rFonts w:hint="eastAsia" w:ascii="Times New Roman" w:hAnsi="Times New Roman" w:cs="Times New Roman"/>
                      <w:kern w:val="0"/>
                      <w:szCs w:val="21"/>
                      <w:lang w:eastAsia="zh-CN"/>
                    </w:rPr>
                    <w:t>》</w:t>
                  </w:r>
                  <w:r>
                    <w:rPr>
                      <w:rFonts w:ascii="Times New Roman" w:hAnsi="Times New Roman" w:cs="Times New Roman"/>
                      <w:kern w:val="0"/>
                      <w:szCs w:val="21"/>
                    </w:rPr>
                    <w:t>（DB61/T1061-2017）</w:t>
                  </w:r>
                  <w:r>
                    <w:rPr>
                      <w:rFonts w:hint="eastAsia" w:ascii="Times New Roman" w:hAnsi="Times New Roman" w:cs="Times New Roman"/>
                      <w:kern w:val="0"/>
                      <w:szCs w:val="21"/>
                    </w:rPr>
                    <w:t>；</w:t>
                  </w:r>
                  <w:r>
                    <w:rPr>
                      <w:rFonts w:ascii="Times New Roman" w:hAnsi="Times New Roman" w:cs="Times New Roman"/>
                      <w:kern w:val="0"/>
                      <w:szCs w:val="21"/>
                    </w:rPr>
                    <w:t>《挥发性有机物无组织排放控制标准》（GB37822-2019）</w:t>
                  </w:r>
                </w:p>
              </w:tc>
            </w:tr>
            <w:tr w14:paraId="0F0A3D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8" w:hRule="atLeast"/>
              </w:trPr>
              <w:tc>
                <w:tcPr>
                  <w:tcW w:w="257" w:type="pct"/>
                  <w:vMerge w:val="continue"/>
                  <w:tcBorders>
                    <w:tl2br w:val="nil"/>
                    <w:tr2bl w:val="nil"/>
                  </w:tcBorders>
                  <w:vAlign w:val="center"/>
                </w:tcPr>
                <w:p w14:paraId="2DD819D5">
                  <w:pPr>
                    <w:autoSpaceDE w:val="0"/>
                    <w:autoSpaceDN w:val="0"/>
                    <w:adjustRightInd w:val="0"/>
                    <w:snapToGrid w:val="0"/>
                    <w:jc w:val="center"/>
                    <w:rPr>
                      <w:rFonts w:ascii="Times New Roman" w:hAnsi="Times New Roman" w:cs="Times New Roman"/>
                      <w:bCs/>
                      <w:szCs w:val="21"/>
                    </w:rPr>
                  </w:pPr>
                </w:p>
              </w:tc>
              <w:tc>
                <w:tcPr>
                  <w:tcW w:w="745" w:type="pct"/>
                  <w:vMerge w:val="continue"/>
                  <w:tcBorders>
                    <w:tl2br w:val="nil"/>
                    <w:tr2bl w:val="nil"/>
                  </w:tcBorders>
                  <w:vAlign w:val="center"/>
                </w:tcPr>
                <w:p w14:paraId="205FB01F">
                  <w:pPr>
                    <w:autoSpaceDE w:val="0"/>
                    <w:autoSpaceDN w:val="0"/>
                    <w:adjustRightInd w:val="0"/>
                    <w:snapToGrid w:val="0"/>
                    <w:jc w:val="center"/>
                    <w:rPr>
                      <w:rFonts w:ascii="Times New Roman" w:hAnsi="Times New Roman" w:eastAsia="宋体" w:cs="Times New Roman"/>
                      <w:bCs/>
                      <w:szCs w:val="21"/>
                    </w:rPr>
                  </w:pPr>
                </w:p>
              </w:tc>
              <w:tc>
                <w:tcPr>
                  <w:tcW w:w="754" w:type="pct"/>
                  <w:tcBorders>
                    <w:tl2br w:val="nil"/>
                    <w:tr2bl w:val="nil"/>
                  </w:tcBorders>
                  <w:vAlign w:val="center"/>
                </w:tcPr>
                <w:p w14:paraId="703F354D">
                  <w:pPr>
                    <w:jc w:val="center"/>
                    <w:rPr>
                      <w:rFonts w:ascii="Times New Roman" w:hAnsi="Times New Roman" w:cs="Times New Roman"/>
                      <w:snapToGrid w:val="0"/>
                      <w:kern w:val="21"/>
                      <w:szCs w:val="21"/>
                    </w:rPr>
                  </w:pPr>
                  <w:r>
                    <w:rPr>
                      <w:rFonts w:ascii="Times New Roman" w:hAnsi="Times New Roman" w:cs="Times New Roman"/>
                      <w:szCs w:val="21"/>
                    </w:rPr>
                    <w:t>颗粒物</w:t>
                  </w:r>
                </w:p>
              </w:tc>
              <w:tc>
                <w:tcPr>
                  <w:tcW w:w="880" w:type="pct"/>
                  <w:tcBorders>
                    <w:tl2br w:val="nil"/>
                    <w:tr2bl w:val="nil"/>
                  </w:tcBorders>
                  <w:shd w:val="clear" w:color="auto" w:fill="auto"/>
                  <w:vAlign w:val="bottom"/>
                </w:tcPr>
                <w:p w14:paraId="710D7B3E">
                  <w:pPr>
                    <w:jc w:val="center"/>
                    <w:rPr>
                      <w:rFonts w:ascii="Times New Roman" w:hAnsi="Times New Roman" w:eastAsia="等线" w:cs="Times New Roman"/>
                      <w:szCs w:val="21"/>
                    </w:rPr>
                  </w:pPr>
                  <w:r>
                    <w:rPr>
                      <w:rFonts w:hint="eastAsia" w:ascii="Times New Roman" w:hAnsi="Times New Roman" w:eastAsia="等线" w:cs="Times New Roman"/>
                      <w:szCs w:val="21"/>
                    </w:rPr>
                    <w:t>0.11</w:t>
                  </w:r>
                  <w:r>
                    <w:rPr>
                      <w:rFonts w:ascii="Times New Roman" w:hAnsi="Times New Roman" w:cs="Times New Roman"/>
                      <w:szCs w:val="21"/>
                    </w:rPr>
                    <w:t>t/a</w:t>
                  </w:r>
                </w:p>
              </w:tc>
              <w:tc>
                <w:tcPr>
                  <w:tcW w:w="920" w:type="pct"/>
                  <w:vMerge w:val="continue"/>
                  <w:tcBorders>
                    <w:tl2br w:val="nil"/>
                    <w:tr2bl w:val="nil"/>
                  </w:tcBorders>
                  <w:vAlign w:val="center"/>
                </w:tcPr>
                <w:p w14:paraId="65CF8FED">
                  <w:pPr>
                    <w:autoSpaceDE w:val="0"/>
                    <w:autoSpaceDN w:val="0"/>
                    <w:adjustRightInd w:val="0"/>
                    <w:snapToGrid w:val="0"/>
                    <w:jc w:val="center"/>
                    <w:rPr>
                      <w:rFonts w:ascii="Times New Roman" w:hAnsi="Times New Roman" w:cs="Times New Roman"/>
                      <w:bCs/>
                      <w:szCs w:val="21"/>
                    </w:rPr>
                  </w:pPr>
                </w:p>
              </w:tc>
              <w:tc>
                <w:tcPr>
                  <w:tcW w:w="1442" w:type="pct"/>
                  <w:tcBorders>
                    <w:tl2br w:val="nil"/>
                    <w:tr2bl w:val="nil"/>
                  </w:tcBorders>
                  <w:vAlign w:val="center"/>
                </w:tcPr>
                <w:p w14:paraId="5340C56B">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szCs w:val="21"/>
                    </w:rPr>
                    <w:t>《大气污染物综合排放标准》（GB16297-1996）</w:t>
                  </w:r>
                </w:p>
              </w:tc>
            </w:tr>
            <w:tr w14:paraId="7BAB97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8" w:hRule="atLeast"/>
              </w:trPr>
              <w:tc>
                <w:tcPr>
                  <w:tcW w:w="257" w:type="pct"/>
                  <w:vMerge w:val="continue"/>
                  <w:tcBorders>
                    <w:tl2br w:val="nil"/>
                    <w:tr2bl w:val="nil"/>
                  </w:tcBorders>
                  <w:vAlign w:val="center"/>
                </w:tcPr>
                <w:p w14:paraId="7A82E571">
                  <w:pPr>
                    <w:autoSpaceDE w:val="0"/>
                    <w:autoSpaceDN w:val="0"/>
                    <w:adjustRightInd w:val="0"/>
                    <w:snapToGrid w:val="0"/>
                    <w:jc w:val="center"/>
                    <w:rPr>
                      <w:szCs w:val="21"/>
                    </w:rPr>
                  </w:pPr>
                </w:p>
              </w:tc>
              <w:tc>
                <w:tcPr>
                  <w:tcW w:w="745" w:type="pct"/>
                  <w:tcBorders>
                    <w:tl2br w:val="nil"/>
                    <w:tr2bl w:val="nil"/>
                  </w:tcBorders>
                  <w:vAlign w:val="center"/>
                </w:tcPr>
                <w:p w14:paraId="25375FD7">
                  <w:pPr>
                    <w:adjustRightInd w:val="0"/>
                    <w:snapToGrid w:val="0"/>
                    <w:jc w:val="center"/>
                    <w:rPr>
                      <w:rFonts w:ascii="Times New Roman" w:hAnsi="Times New Roman" w:cs="Times New Roman"/>
                      <w:kern w:val="0"/>
                      <w:szCs w:val="21"/>
                      <w:lang w:bidi="en-US"/>
                    </w:rPr>
                  </w:pPr>
                  <w:r>
                    <w:rPr>
                      <w:rFonts w:hint="eastAsia" w:ascii="Times New Roman" w:hAnsi="Times New Roman" w:cs="Times New Roman"/>
                      <w:kern w:val="0"/>
                      <w:szCs w:val="21"/>
                      <w:lang w:bidi="en-US"/>
                    </w:rPr>
                    <w:t>抛丸工序、</w:t>
                  </w:r>
                </w:p>
                <w:p w14:paraId="413BAF19">
                  <w:pPr>
                    <w:autoSpaceDE w:val="0"/>
                    <w:autoSpaceDN w:val="0"/>
                    <w:adjustRightInd w:val="0"/>
                    <w:snapToGrid w:val="0"/>
                    <w:jc w:val="center"/>
                    <w:rPr>
                      <w:szCs w:val="21"/>
                    </w:rPr>
                  </w:pPr>
                  <w:r>
                    <w:rPr>
                      <w:rFonts w:hint="eastAsia" w:ascii="Times New Roman" w:hAnsi="Times New Roman" w:cs="Times New Roman"/>
                      <w:kern w:val="0"/>
                      <w:szCs w:val="21"/>
                      <w:lang w:bidi="en-US"/>
                    </w:rPr>
                    <w:t>振动分离工序</w:t>
                  </w:r>
                </w:p>
              </w:tc>
              <w:tc>
                <w:tcPr>
                  <w:tcW w:w="754" w:type="pct"/>
                  <w:tcBorders>
                    <w:tl2br w:val="nil"/>
                    <w:tr2bl w:val="nil"/>
                  </w:tcBorders>
                  <w:vAlign w:val="center"/>
                </w:tcPr>
                <w:p w14:paraId="5255AB38">
                  <w:pPr>
                    <w:jc w:val="center"/>
                    <w:rPr>
                      <w:szCs w:val="21"/>
                    </w:rPr>
                  </w:pPr>
                  <w:r>
                    <w:rPr>
                      <w:rFonts w:ascii="Times New Roman" w:hAnsi="Times New Roman" w:cs="Times New Roman"/>
                      <w:szCs w:val="21"/>
                    </w:rPr>
                    <w:t>颗粒物</w:t>
                  </w:r>
                </w:p>
              </w:tc>
              <w:tc>
                <w:tcPr>
                  <w:tcW w:w="880" w:type="pct"/>
                  <w:tcBorders>
                    <w:tl2br w:val="nil"/>
                    <w:tr2bl w:val="nil"/>
                  </w:tcBorders>
                  <w:shd w:val="clear" w:color="auto" w:fill="auto"/>
                  <w:vAlign w:val="center"/>
                </w:tcPr>
                <w:p w14:paraId="3F8636CF">
                  <w:pPr>
                    <w:jc w:val="center"/>
                    <w:rPr>
                      <w:rFonts w:ascii="Times New Roman" w:hAnsi="Times New Roman" w:eastAsia="等线" w:cs="Times New Roman"/>
                      <w:szCs w:val="21"/>
                    </w:rPr>
                  </w:pPr>
                  <w:r>
                    <w:rPr>
                      <w:rFonts w:hint="eastAsia" w:ascii="Times New Roman" w:hAnsi="Times New Roman" w:eastAsia="等线" w:cs="Times New Roman"/>
                      <w:szCs w:val="21"/>
                    </w:rPr>
                    <w:t>0.1544</w:t>
                  </w:r>
                  <w:r>
                    <w:rPr>
                      <w:rFonts w:ascii="Times New Roman" w:hAnsi="Times New Roman" w:cs="Times New Roman"/>
                      <w:szCs w:val="21"/>
                    </w:rPr>
                    <w:t>t/a</w:t>
                  </w:r>
                </w:p>
              </w:tc>
              <w:tc>
                <w:tcPr>
                  <w:tcW w:w="920" w:type="pct"/>
                  <w:tcBorders>
                    <w:tl2br w:val="nil"/>
                    <w:tr2bl w:val="nil"/>
                  </w:tcBorders>
                  <w:vAlign w:val="center"/>
                </w:tcPr>
                <w:p w14:paraId="50344242">
                  <w:pPr>
                    <w:pStyle w:val="39"/>
                    <w:autoSpaceDE w:val="0"/>
                    <w:autoSpaceDN w:val="0"/>
                    <w:adjustRightInd w:val="0"/>
                    <w:snapToGrid w:val="0"/>
                    <w:jc w:val="center"/>
                    <w:rPr>
                      <w:rFonts w:ascii="Times New Roman" w:hAnsi="Times New Roman" w:cs="Times New Roman" w:eastAsiaTheme="minorEastAsia"/>
                      <w:szCs w:val="21"/>
                      <w:lang w:val="en-US" w:bidi="ar-SA"/>
                    </w:rPr>
                  </w:pPr>
                  <w:r>
                    <w:rPr>
                      <w:rFonts w:hint="eastAsia" w:ascii="Times New Roman" w:hAnsi="Times New Roman" w:cs="Times New Roman" w:eastAsiaTheme="minorEastAsia"/>
                      <w:szCs w:val="21"/>
                      <w:lang w:val="en-US" w:bidi="ar-SA"/>
                    </w:rPr>
                    <w:t>集气罩</w:t>
                  </w:r>
                  <w:r>
                    <w:rPr>
                      <w:rFonts w:ascii="Times New Roman" w:hAnsi="Times New Roman" w:cs="Times New Roman" w:eastAsiaTheme="minorEastAsia"/>
                      <w:szCs w:val="21"/>
                      <w:lang w:val="en-US" w:bidi="ar-SA"/>
                    </w:rPr>
                    <w:t>+布袋除尘器TA00</w:t>
                  </w:r>
                  <w:r>
                    <w:rPr>
                      <w:rFonts w:hint="eastAsia" w:ascii="Times New Roman" w:hAnsi="Times New Roman" w:cs="Times New Roman" w:eastAsiaTheme="minorEastAsia"/>
                      <w:szCs w:val="21"/>
                      <w:lang w:val="en-US" w:bidi="ar-SA"/>
                    </w:rPr>
                    <w:t>2</w:t>
                  </w:r>
                  <w:r>
                    <w:rPr>
                      <w:rFonts w:ascii="Times New Roman" w:hAnsi="Times New Roman" w:cs="Times New Roman" w:eastAsiaTheme="minorEastAsia"/>
                      <w:szCs w:val="21"/>
                      <w:lang w:val="en-US" w:bidi="ar-SA"/>
                    </w:rPr>
                    <w:t>+</w:t>
                  </w:r>
                </w:p>
                <w:p w14:paraId="70E8E298">
                  <w:pPr>
                    <w:autoSpaceDE w:val="0"/>
                    <w:autoSpaceDN w:val="0"/>
                    <w:adjustRightInd w:val="0"/>
                    <w:snapToGrid w:val="0"/>
                    <w:jc w:val="center"/>
                    <w:rPr>
                      <w:szCs w:val="21"/>
                    </w:rPr>
                  </w:pPr>
                  <w:r>
                    <w:rPr>
                      <w:rFonts w:ascii="Times New Roman" w:hAnsi="Times New Roman" w:cs="Times New Roman"/>
                      <w:szCs w:val="21"/>
                    </w:rPr>
                    <w:t>1根15m高排气筒DA00</w:t>
                  </w:r>
                  <w:r>
                    <w:rPr>
                      <w:rFonts w:hint="eastAsia" w:ascii="Times New Roman" w:hAnsi="Times New Roman" w:cs="Times New Roman"/>
                      <w:szCs w:val="21"/>
                    </w:rPr>
                    <w:t>2</w:t>
                  </w:r>
                </w:p>
              </w:tc>
              <w:tc>
                <w:tcPr>
                  <w:tcW w:w="1442" w:type="pct"/>
                  <w:vMerge w:val="restart"/>
                  <w:tcBorders>
                    <w:tl2br w:val="nil"/>
                    <w:tr2bl w:val="nil"/>
                  </w:tcBorders>
                  <w:vAlign w:val="center"/>
                </w:tcPr>
                <w:p w14:paraId="194BBF36">
                  <w:pPr>
                    <w:autoSpaceDE w:val="0"/>
                    <w:autoSpaceDN w:val="0"/>
                    <w:adjustRightInd w:val="0"/>
                    <w:snapToGrid w:val="0"/>
                    <w:jc w:val="center"/>
                    <w:rPr>
                      <w:rFonts w:ascii="Times New Roman" w:hAnsi="Times New Roman" w:cs="Times New Roman"/>
                      <w:bCs/>
                      <w:szCs w:val="21"/>
                    </w:rPr>
                  </w:pPr>
                  <w:r>
                    <w:rPr>
                      <w:rFonts w:ascii="Times New Roman" w:hAnsi="Times New Roman" w:cs="Times New Roman"/>
                      <w:kern w:val="0"/>
                      <w:szCs w:val="21"/>
                    </w:rPr>
                    <w:t>《大气污染物综合排放标准》（GB16297-1996）中的二级标准要求</w:t>
                  </w:r>
                </w:p>
              </w:tc>
            </w:tr>
            <w:tr w14:paraId="4187DB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8" w:hRule="atLeast"/>
              </w:trPr>
              <w:tc>
                <w:tcPr>
                  <w:tcW w:w="257" w:type="pct"/>
                  <w:vMerge w:val="continue"/>
                  <w:tcBorders>
                    <w:tl2br w:val="nil"/>
                    <w:tr2bl w:val="nil"/>
                  </w:tcBorders>
                  <w:vAlign w:val="center"/>
                </w:tcPr>
                <w:p w14:paraId="698C4708">
                  <w:pPr>
                    <w:autoSpaceDE w:val="0"/>
                    <w:autoSpaceDN w:val="0"/>
                    <w:adjustRightInd w:val="0"/>
                    <w:snapToGrid w:val="0"/>
                    <w:jc w:val="center"/>
                    <w:rPr>
                      <w:rFonts w:ascii="Times New Roman" w:hAnsi="Times New Roman" w:cs="Times New Roman"/>
                      <w:bCs/>
                      <w:szCs w:val="21"/>
                    </w:rPr>
                  </w:pPr>
                </w:p>
              </w:tc>
              <w:tc>
                <w:tcPr>
                  <w:tcW w:w="745" w:type="pct"/>
                  <w:tcBorders>
                    <w:tl2br w:val="nil"/>
                    <w:tr2bl w:val="nil"/>
                  </w:tcBorders>
                  <w:vAlign w:val="center"/>
                </w:tcPr>
                <w:p w14:paraId="773CC161">
                  <w:pPr>
                    <w:autoSpaceDE w:val="0"/>
                    <w:autoSpaceDN w:val="0"/>
                    <w:adjustRightInd w:val="0"/>
                    <w:snapToGrid w:val="0"/>
                    <w:jc w:val="center"/>
                    <w:rPr>
                      <w:rFonts w:ascii="Times New Roman" w:hAnsi="Times New Roman" w:cs="Times New Roman"/>
                      <w:bCs/>
                      <w:szCs w:val="21"/>
                    </w:rPr>
                  </w:pPr>
                  <w:r>
                    <w:rPr>
                      <w:rFonts w:hint="eastAsia" w:ascii="Times New Roman" w:hAnsi="Times New Roman" w:eastAsia="宋体" w:cs="Times New Roman"/>
                      <w:szCs w:val="21"/>
                    </w:rPr>
                    <w:t>碳化除油工序</w:t>
                  </w:r>
                </w:p>
              </w:tc>
              <w:tc>
                <w:tcPr>
                  <w:tcW w:w="754" w:type="pct"/>
                  <w:tcBorders>
                    <w:tl2br w:val="nil"/>
                    <w:tr2bl w:val="nil"/>
                  </w:tcBorders>
                  <w:vAlign w:val="center"/>
                </w:tcPr>
                <w:p w14:paraId="3DB74E5F">
                  <w:pPr>
                    <w:jc w:val="center"/>
                    <w:rPr>
                      <w:rFonts w:ascii="Times New Roman" w:hAnsi="Times New Roman" w:cs="Times New Roman"/>
                      <w:bCs/>
                      <w:szCs w:val="21"/>
                    </w:rPr>
                  </w:pPr>
                  <w:r>
                    <w:rPr>
                      <w:rFonts w:hint="eastAsia" w:ascii="Times New Roman" w:hAnsi="Times New Roman" w:cs="Times New Roman"/>
                      <w:szCs w:val="21"/>
                    </w:rPr>
                    <w:t>油雾颗粒</w:t>
                  </w:r>
                </w:p>
              </w:tc>
              <w:tc>
                <w:tcPr>
                  <w:tcW w:w="880" w:type="pct"/>
                  <w:tcBorders>
                    <w:tl2br w:val="nil"/>
                    <w:tr2bl w:val="nil"/>
                  </w:tcBorders>
                  <w:shd w:val="clear" w:color="auto" w:fill="auto"/>
                  <w:vAlign w:val="center"/>
                </w:tcPr>
                <w:p w14:paraId="2934D6B8">
                  <w:pPr>
                    <w:jc w:val="center"/>
                    <w:rPr>
                      <w:rFonts w:ascii="Times New Roman" w:hAnsi="Times New Roman" w:eastAsia="等线" w:cs="Times New Roman"/>
                      <w:szCs w:val="21"/>
                    </w:rPr>
                  </w:pPr>
                  <w:r>
                    <w:rPr>
                      <w:rFonts w:hint="eastAsia" w:ascii="Times New Roman" w:hAnsi="Times New Roman" w:cs="Times New Roman"/>
                      <w:szCs w:val="21"/>
                    </w:rPr>
                    <w:t>0.018</w:t>
                  </w:r>
                  <w:r>
                    <w:rPr>
                      <w:rFonts w:ascii="Times New Roman" w:hAnsi="Times New Roman" w:cs="Times New Roman"/>
                      <w:szCs w:val="21"/>
                    </w:rPr>
                    <w:t>t/a</w:t>
                  </w:r>
                </w:p>
              </w:tc>
              <w:tc>
                <w:tcPr>
                  <w:tcW w:w="920" w:type="pct"/>
                  <w:tcBorders>
                    <w:tl2br w:val="nil"/>
                    <w:tr2bl w:val="nil"/>
                  </w:tcBorders>
                  <w:vAlign w:val="center"/>
                </w:tcPr>
                <w:p w14:paraId="0049ACB4">
                  <w:pPr>
                    <w:pStyle w:val="39"/>
                    <w:autoSpaceDE w:val="0"/>
                    <w:autoSpaceDN w:val="0"/>
                    <w:adjustRightInd w:val="0"/>
                    <w:snapToGrid w:val="0"/>
                    <w:jc w:val="center"/>
                    <w:rPr>
                      <w:rFonts w:ascii="Times New Roman" w:hAnsi="Times New Roman" w:cs="Times New Roman" w:eastAsiaTheme="minorEastAsia"/>
                      <w:szCs w:val="21"/>
                      <w:lang w:val="en-US" w:bidi="ar-SA"/>
                    </w:rPr>
                  </w:pPr>
                  <w:r>
                    <w:rPr>
                      <w:rFonts w:hint="eastAsia" w:ascii="Times New Roman" w:hAnsi="Times New Roman" w:cs="Times New Roman" w:eastAsiaTheme="minorEastAsia"/>
                      <w:szCs w:val="21"/>
                      <w:lang w:val="en-US" w:bidi="ar-SA"/>
                    </w:rPr>
                    <w:t>油烟净化装置</w:t>
                  </w:r>
                  <w:r>
                    <w:rPr>
                      <w:rFonts w:ascii="Times New Roman" w:hAnsi="Times New Roman" w:cs="Times New Roman" w:eastAsiaTheme="minorEastAsia"/>
                      <w:szCs w:val="21"/>
                      <w:lang w:val="en-US" w:bidi="ar-SA"/>
                    </w:rPr>
                    <w:t>TA001+</w:t>
                  </w:r>
                </w:p>
                <w:p w14:paraId="6D6D0BB4">
                  <w:pPr>
                    <w:autoSpaceDE w:val="0"/>
                    <w:autoSpaceDN w:val="0"/>
                    <w:adjustRightInd w:val="0"/>
                    <w:snapToGrid w:val="0"/>
                    <w:jc w:val="center"/>
                    <w:rPr>
                      <w:rFonts w:ascii="Times New Roman" w:hAnsi="Times New Roman" w:cs="Times New Roman"/>
                      <w:bCs/>
                      <w:szCs w:val="21"/>
                    </w:rPr>
                  </w:pPr>
                  <w:r>
                    <w:rPr>
                      <w:rFonts w:ascii="Times New Roman" w:hAnsi="Times New Roman" w:cs="Times New Roman"/>
                      <w:szCs w:val="21"/>
                    </w:rPr>
                    <w:t>1根15m高排气筒DA001</w:t>
                  </w:r>
                </w:p>
              </w:tc>
              <w:tc>
                <w:tcPr>
                  <w:tcW w:w="1442" w:type="pct"/>
                  <w:vMerge w:val="continue"/>
                  <w:tcBorders>
                    <w:tl2br w:val="nil"/>
                    <w:tr2bl w:val="nil"/>
                  </w:tcBorders>
                  <w:vAlign w:val="center"/>
                </w:tcPr>
                <w:p w14:paraId="134536D6">
                  <w:pPr>
                    <w:autoSpaceDE w:val="0"/>
                    <w:autoSpaceDN w:val="0"/>
                    <w:adjustRightInd w:val="0"/>
                    <w:snapToGrid w:val="0"/>
                    <w:jc w:val="center"/>
                    <w:rPr>
                      <w:rFonts w:ascii="Times New Roman" w:hAnsi="Times New Roman" w:cs="Times New Roman"/>
                      <w:bCs/>
                      <w:szCs w:val="21"/>
                    </w:rPr>
                  </w:pPr>
                </w:p>
              </w:tc>
            </w:tr>
            <w:tr w14:paraId="3209C3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57" w:type="pct"/>
                  <w:vMerge w:val="restart"/>
                  <w:tcBorders>
                    <w:tl2br w:val="nil"/>
                    <w:tr2bl w:val="nil"/>
                  </w:tcBorders>
                  <w:vAlign w:val="center"/>
                </w:tcPr>
                <w:p w14:paraId="5BBF9886">
                  <w:pPr>
                    <w:autoSpaceDE w:val="0"/>
                    <w:autoSpaceDN w:val="0"/>
                    <w:adjustRightInd w:val="0"/>
                    <w:snapToGrid w:val="0"/>
                    <w:jc w:val="center"/>
                    <w:rPr>
                      <w:rFonts w:ascii="Times New Roman" w:hAnsi="Times New Roman" w:cs="Times New Roman"/>
                      <w:bCs/>
                      <w:szCs w:val="21"/>
                    </w:rPr>
                  </w:pPr>
                  <w:r>
                    <w:rPr>
                      <w:rFonts w:ascii="Times New Roman" w:hAnsi="Times New Roman" w:cs="Times New Roman"/>
                      <w:bCs/>
                      <w:szCs w:val="21"/>
                    </w:rPr>
                    <w:t>废水</w:t>
                  </w:r>
                </w:p>
              </w:tc>
              <w:tc>
                <w:tcPr>
                  <w:tcW w:w="745" w:type="pct"/>
                  <w:vMerge w:val="restart"/>
                  <w:tcBorders>
                    <w:tl2br w:val="nil"/>
                    <w:tr2bl w:val="nil"/>
                  </w:tcBorders>
                  <w:vAlign w:val="center"/>
                </w:tcPr>
                <w:p w14:paraId="67DA5D75">
                  <w:pPr>
                    <w:autoSpaceDE w:val="0"/>
                    <w:autoSpaceDN w:val="0"/>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生活污水</w:t>
                  </w:r>
                </w:p>
              </w:tc>
              <w:tc>
                <w:tcPr>
                  <w:tcW w:w="754" w:type="pct"/>
                  <w:tcBorders>
                    <w:tl2br w:val="nil"/>
                    <w:tr2bl w:val="nil"/>
                  </w:tcBorders>
                  <w:vAlign w:val="center"/>
                </w:tcPr>
                <w:p w14:paraId="3F769159">
                  <w:pPr>
                    <w:autoSpaceDE w:val="0"/>
                    <w:autoSpaceDN w:val="0"/>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水量</w:t>
                  </w:r>
                </w:p>
              </w:tc>
              <w:tc>
                <w:tcPr>
                  <w:tcW w:w="880" w:type="pct"/>
                  <w:tcBorders>
                    <w:tl2br w:val="nil"/>
                    <w:tr2bl w:val="nil"/>
                  </w:tcBorders>
                  <w:vAlign w:val="center"/>
                </w:tcPr>
                <w:p w14:paraId="0697C0F5">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cs="Times New Roman"/>
                      <w:szCs w:val="21"/>
                    </w:rPr>
                    <w:t>252</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c>
                <w:tcPr>
                  <w:tcW w:w="920" w:type="pct"/>
                  <w:vMerge w:val="restart"/>
                  <w:tcBorders>
                    <w:tl2br w:val="nil"/>
                    <w:tr2bl w:val="nil"/>
                  </w:tcBorders>
                  <w:vAlign w:val="center"/>
                </w:tcPr>
                <w:p w14:paraId="74237BAA">
                  <w:pPr>
                    <w:autoSpaceDE w:val="0"/>
                    <w:autoSpaceDN w:val="0"/>
                    <w:adjustRightInd w:val="0"/>
                    <w:snapToGrid w:val="0"/>
                    <w:jc w:val="center"/>
                    <w:rPr>
                      <w:rFonts w:ascii="Times New Roman" w:hAnsi="Times New Roman" w:eastAsia="宋体" w:cs="Times New Roman"/>
                      <w:bCs/>
                      <w:szCs w:val="21"/>
                    </w:rPr>
                  </w:pPr>
                  <w:r>
                    <w:rPr>
                      <w:rFonts w:ascii="Times New Roman" w:hAnsi="Times New Roman" w:cs="Times New Roman"/>
                      <w:szCs w:val="21"/>
                    </w:rPr>
                    <w:t>生活污水经过</w:t>
                  </w:r>
                  <w:r>
                    <w:rPr>
                      <w:rFonts w:hint="eastAsia" w:ascii="Times New Roman" w:hAnsi="Times New Roman" w:cs="Times New Roman"/>
                      <w:szCs w:val="21"/>
                    </w:rPr>
                    <w:t>宝鸡市秦成工贸（集团）有限责任公司现有</w:t>
                  </w:r>
                  <w:r>
                    <w:rPr>
                      <w:rFonts w:ascii="Times New Roman" w:hAnsi="Times New Roman" w:cs="Times New Roman"/>
                      <w:szCs w:val="21"/>
                    </w:rPr>
                    <w:t>化粪池处理后通过市政污水管网排入</w:t>
                  </w:r>
                  <w:r>
                    <w:rPr>
                      <w:rFonts w:hint="eastAsia" w:ascii="Times New Roman" w:hAnsi="Times New Roman" w:cs="Times New Roman"/>
                      <w:szCs w:val="21"/>
                    </w:rPr>
                    <w:t>宝鸡高新污水处理厂</w:t>
                  </w:r>
                  <w:r>
                    <w:rPr>
                      <w:rFonts w:ascii="Times New Roman" w:hAnsi="Times New Roman" w:cs="Times New Roman"/>
                      <w:szCs w:val="21"/>
                    </w:rPr>
                    <w:t>处理</w:t>
                  </w:r>
                </w:p>
              </w:tc>
              <w:tc>
                <w:tcPr>
                  <w:tcW w:w="1442" w:type="pct"/>
                  <w:vMerge w:val="restart"/>
                  <w:tcBorders>
                    <w:tl2br w:val="nil"/>
                    <w:tr2bl w:val="nil"/>
                  </w:tcBorders>
                  <w:vAlign w:val="center"/>
                </w:tcPr>
                <w:p w14:paraId="4ED732A6">
                  <w:pPr>
                    <w:autoSpaceDE w:val="0"/>
                    <w:autoSpaceDN w:val="0"/>
                    <w:adjustRightInd w:val="0"/>
                    <w:snapToGrid w:val="0"/>
                    <w:jc w:val="center"/>
                    <w:rPr>
                      <w:rFonts w:ascii="Times New Roman" w:hAnsi="Times New Roman" w:cs="Times New Roman"/>
                      <w:bCs/>
                      <w:szCs w:val="21"/>
                    </w:rPr>
                  </w:pPr>
                  <w:r>
                    <w:rPr>
                      <w:rFonts w:ascii="Times New Roman" w:hAnsi="Times New Roman" w:cs="Times New Roman"/>
                      <w:bCs/>
                      <w:iCs/>
                      <w:spacing w:val="-6"/>
                      <w:szCs w:val="21"/>
                    </w:rPr>
                    <w:t>《污水综合排放标准》（GB8978-1996）</w:t>
                  </w:r>
                  <w:r>
                    <w:rPr>
                      <w:rFonts w:hint="eastAsia" w:ascii="Times New Roman" w:hAnsi="Times New Roman" w:cs="Times New Roman"/>
                      <w:bCs/>
                      <w:iCs/>
                      <w:spacing w:val="-6"/>
                      <w:szCs w:val="21"/>
                    </w:rPr>
                    <w:t>三级标准、</w:t>
                  </w:r>
                  <w:r>
                    <w:rPr>
                      <w:rFonts w:ascii="Times New Roman" w:hAnsi="Times New Roman" w:cs="Times New Roman"/>
                      <w:bCs/>
                      <w:iCs/>
                      <w:spacing w:val="-6"/>
                      <w:szCs w:val="21"/>
                    </w:rPr>
                    <w:t>《污水排入城镇下水道水质标准》（GB/T31962-2015）B级标准</w:t>
                  </w:r>
                </w:p>
              </w:tc>
            </w:tr>
            <w:tr w14:paraId="7B4A64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57" w:type="pct"/>
                  <w:vMerge w:val="continue"/>
                  <w:tcBorders>
                    <w:tl2br w:val="nil"/>
                    <w:tr2bl w:val="nil"/>
                  </w:tcBorders>
                  <w:vAlign w:val="center"/>
                </w:tcPr>
                <w:p w14:paraId="3F342323">
                  <w:pPr>
                    <w:autoSpaceDE w:val="0"/>
                    <w:autoSpaceDN w:val="0"/>
                    <w:adjustRightInd w:val="0"/>
                    <w:snapToGrid w:val="0"/>
                    <w:jc w:val="center"/>
                    <w:rPr>
                      <w:rFonts w:ascii="Times New Roman" w:hAnsi="Times New Roman" w:cs="Times New Roman"/>
                      <w:bCs/>
                      <w:szCs w:val="21"/>
                    </w:rPr>
                  </w:pPr>
                </w:p>
              </w:tc>
              <w:tc>
                <w:tcPr>
                  <w:tcW w:w="745" w:type="pct"/>
                  <w:vMerge w:val="continue"/>
                  <w:tcBorders>
                    <w:tl2br w:val="nil"/>
                    <w:tr2bl w:val="nil"/>
                  </w:tcBorders>
                  <w:vAlign w:val="center"/>
                </w:tcPr>
                <w:p w14:paraId="0290ED3B">
                  <w:pPr>
                    <w:autoSpaceDE w:val="0"/>
                    <w:autoSpaceDN w:val="0"/>
                    <w:adjustRightInd w:val="0"/>
                    <w:snapToGrid w:val="0"/>
                    <w:jc w:val="center"/>
                    <w:rPr>
                      <w:rFonts w:ascii="Times New Roman" w:hAnsi="Times New Roman" w:cs="Times New Roman"/>
                      <w:bCs/>
                      <w:szCs w:val="21"/>
                    </w:rPr>
                  </w:pPr>
                </w:p>
              </w:tc>
              <w:tc>
                <w:tcPr>
                  <w:tcW w:w="754" w:type="pct"/>
                  <w:tcBorders>
                    <w:tl2br w:val="nil"/>
                    <w:tr2bl w:val="nil"/>
                  </w:tcBorders>
                  <w:shd w:val="clear" w:color="auto" w:fill="auto"/>
                  <w:vAlign w:val="center"/>
                </w:tcPr>
                <w:p w14:paraId="7B50E1B8">
                  <w:pPr>
                    <w:widowControl/>
                    <w:adjustRightInd w:val="0"/>
                    <w:snapToGrid w:val="0"/>
                    <w:jc w:val="center"/>
                    <w:rPr>
                      <w:rFonts w:ascii="Times New Roman" w:hAnsi="Times New Roman" w:cs="Times New Roman"/>
                      <w:szCs w:val="21"/>
                    </w:rPr>
                  </w:pPr>
                  <w:r>
                    <w:rPr>
                      <w:rFonts w:ascii="Times New Roman" w:hAnsi="Times New Roman" w:cs="Times New Roman"/>
                      <w:szCs w:val="21"/>
                    </w:rPr>
                    <w:t>COD</w:t>
                  </w:r>
                </w:p>
              </w:tc>
              <w:tc>
                <w:tcPr>
                  <w:tcW w:w="880" w:type="pct"/>
                  <w:tcBorders>
                    <w:tl2br w:val="nil"/>
                    <w:tr2bl w:val="nil"/>
                  </w:tcBorders>
                  <w:shd w:val="clear" w:color="auto" w:fill="auto"/>
                  <w:vAlign w:val="center"/>
                </w:tcPr>
                <w:p w14:paraId="2012E21C">
                  <w:pPr>
                    <w:widowControl/>
                    <w:adjustRightInd w:val="0"/>
                    <w:snapToGrid w:val="0"/>
                    <w:jc w:val="center"/>
                    <w:rPr>
                      <w:rFonts w:ascii="Times New Roman" w:hAnsi="Times New Roman" w:cs="Times New Roman"/>
                      <w:bCs/>
                      <w:szCs w:val="21"/>
                    </w:rPr>
                  </w:pPr>
                  <w:r>
                    <w:rPr>
                      <w:rFonts w:hint="eastAsia" w:ascii="Times New Roman" w:hAnsi="Times New Roman" w:cs="Times New Roman"/>
                      <w:bCs/>
                      <w:szCs w:val="21"/>
                    </w:rPr>
                    <w:t>0.095</w:t>
                  </w:r>
                  <w:r>
                    <w:rPr>
                      <w:rFonts w:ascii="Times New Roman" w:hAnsi="Times New Roman" w:cs="Times New Roman"/>
                      <w:bCs/>
                      <w:szCs w:val="21"/>
                    </w:rPr>
                    <w:t>t/a</w:t>
                  </w:r>
                </w:p>
              </w:tc>
              <w:tc>
                <w:tcPr>
                  <w:tcW w:w="920" w:type="pct"/>
                  <w:vMerge w:val="continue"/>
                  <w:tcBorders>
                    <w:tl2br w:val="nil"/>
                    <w:tr2bl w:val="nil"/>
                  </w:tcBorders>
                  <w:vAlign w:val="center"/>
                </w:tcPr>
                <w:p w14:paraId="2C3B63AC">
                  <w:pPr>
                    <w:autoSpaceDE w:val="0"/>
                    <w:autoSpaceDN w:val="0"/>
                    <w:adjustRightInd w:val="0"/>
                    <w:snapToGrid w:val="0"/>
                    <w:jc w:val="center"/>
                    <w:rPr>
                      <w:rFonts w:ascii="Times New Roman" w:hAnsi="Times New Roman" w:cs="Times New Roman"/>
                      <w:bCs/>
                      <w:szCs w:val="21"/>
                    </w:rPr>
                  </w:pPr>
                </w:p>
              </w:tc>
              <w:tc>
                <w:tcPr>
                  <w:tcW w:w="1442" w:type="pct"/>
                  <w:vMerge w:val="continue"/>
                  <w:tcBorders>
                    <w:tl2br w:val="nil"/>
                    <w:tr2bl w:val="nil"/>
                  </w:tcBorders>
                  <w:vAlign w:val="center"/>
                </w:tcPr>
                <w:p w14:paraId="0334C6FF">
                  <w:pPr>
                    <w:autoSpaceDE w:val="0"/>
                    <w:autoSpaceDN w:val="0"/>
                    <w:adjustRightInd w:val="0"/>
                    <w:snapToGrid w:val="0"/>
                    <w:jc w:val="center"/>
                    <w:rPr>
                      <w:rFonts w:ascii="Times New Roman" w:hAnsi="Times New Roman" w:cs="Times New Roman"/>
                      <w:bCs/>
                      <w:szCs w:val="21"/>
                    </w:rPr>
                  </w:pPr>
                </w:p>
              </w:tc>
            </w:tr>
            <w:tr w14:paraId="3F4359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57" w:type="pct"/>
                  <w:vMerge w:val="continue"/>
                  <w:tcBorders>
                    <w:tl2br w:val="nil"/>
                    <w:tr2bl w:val="nil"/>
                  </w:tcBorders>
                  <w:vAlign w:val="center"/>
                </w:tcPr>
                <w:p w14:paraId="527586B4">
                  <w:pPr>
                    <w:autoSpaceDE w:val="0"/>
                    <w:autoSpaceDN w:val="0"/>
                    <w:adjustRightInd w:val="0"/>
                    <w:snapToGrid w:val="0"/>
                    <w:jc w:val="center"/>
                    <w:rPr>
                      <w:rFonts w:ascii="Times New Roman" w:hAnsi="Times New Roman" w:cs="Times New Roman"/>
                      <w:bCs/>
                      <w:szCs w:val="21"/>
                    </w:rPr>
                  </w:pPr>
                </w:p>
              </w:tc>
              <w:tc>
                <w:tcPr>
                  <w:tcW w:w="745" w:type="pct"/>
                  <w:vMerge w:val="continue"/>
                  <w:tcBorders>
                    <w:tl2br w:val="nil"/>
                    <w:tr2bl w:val="nil"/>
                  </w:tcBorders>
                  <w:vAlign w:val="center"/>
                </w:tcPr>
                <w:p w14:paraId="28BE6A85">
                  <w:pPr>
                    <w:autoSpaceDE w:val="0"/>
                    <w:autoSpaceDN w:val="0"/>
                    <w:adjustRightInd w:val="0"/>
                    <w:snapToGrid w:val="0"/>
                    <w:jc w:val="center"/>
                    <w:rPr>
                      <w:rFonts w:ascii="Times New Roman" w:hAnsi="Times New Roman" w:cs="Times New Roman"/>
                      <w:bCs/>
                      <w:szCs w:val="21"/>
                    </w:rPr>
                  </w:pPr>
                </w:p>
              </w:tc>
              <w:tc>
                <w:tcPr>
                  <w:tcW w:w="754" w:type="pct"/>
                  <w:tcBorders>
                    <w:tl2br w:val="nil"/>
                    <w:tr2bl w:val="nil"/>
                  </w:tcBorders>
                  <w:shd w:val="clear" w:color="auto" w:fill="auto"/>
                  <w:vAlign w:val="center"/>
                </w:tcPr>
                <w:p w14:paraId="12AC9F1F">
                  <w:pPr>
                    <w:widowControl/>
                    <w:adjustRightInd w:val="0"/>
                    <w:snapToGrid w:val="0"/>
                    <w:jc w:val="center"/>
                    <w:rPr>
                      <w:rFonts w:ascii="Times New Roman" w:hAnsi="Times New Roman" w:cs="Times New Roman"/>
                      <w:szCs w:val="21"/>
                    </w:rPr>
                  </w:pPr>
                  <w:r>
                    <w:rPr>
                      <w:rFonts w:ascii="Times New Roman" w:hAnsi="Times New Roman" w:cs="Times New Roman"/>
                      <w:szCs w:val="21"/>
                    </w:rPr>
                    <w:t>BOD</w:t>
                  </w:r>
                  <w:r>
                    <w:rPr>
                      <w:rFonts w:ascii="Times New Roman" w:hAnsi="Times New Roman" w:cs="Times New Roman"/>
                      <w:szCs w:val="21"/>
                      <w:vertAlign w:val="subscript"/>
                    </w:rPr>
                    <w:t>5</w:t>
                  </w:r>
                </w:p>
              </w:tc>
              <w:tc>
                <w:tcPr>
                  <w:tcW w:w="880" w:type="pct"/>
                  <w:tcBorders>
                    <w:tl2br w:val="nil"/>
                    <w:tr2bl w:val="nil"/>
                  </w:tcBorders>
                  <w:shd w:val="clear" w:color="auto" w:fill="auto"/>
                  <w:vAlign w:val="center"/>
                </w:tcPr>
                <w:p w14:paraId="6090494C">
                  <w:pPr>
                    <w:widowControl/>
                    <w:adjustRightInd w:val="0"/>
                    <w:snapToGrid w:val="0"/>
                    <w:jc w:val="center"/>
                    <w:rPr>
                      <w:rFonts w:ascii="Times New Roman" w:hAnsi="Times New Roman" w:cs="Times New Roman"/>
                      <w:bCs/>
                      <w:szCs w:val="21"/>
                    </w:rPr>
                  </w:pPr>
                  <w:r>
                    <w:rPr>
                      <w:rFonts w:ascii="Times New Roman" w:hAnsi="Times New Roman" w:cs="Times New Roman"/>
                      <w:bCs/>
                      <w:szCs w:val="21"/>
                    </w:rPr>
                    <w:t>0.</w:t>
                  </w:r>
                  <w:r>
                    <w:rPr>
                      <w:rFonts w:hint="eastAsia" w:ascii="Times New Roman" w:hAnsi="Times New Roman" w:cs="Times New Roman"/>
                      <w:bCs/>
                      <w:szCs w:val="21"/>
                    </w:rPr>
                    <w:t>047</w:t>
                  </w:r>
                  <w:r>
                    <w:rPr>
                      <w:rFonts w:ascii="Times New Roman" w:hAnsi="Times New Roman" w:cs="Times New Roman"/>
                      <w:bCs/>
                      <w:szCs w:val="21"/>
                    </w:rPr>
                    <w:t>t/a</w:t>
                  </w:r>
                </w:p>
              </w:tc>
              <w:tc>
                <w:tcPr>
                  <w:tcW w:w="920" w:type="pct"/>
                  <w:vMerge w:val="continue"/>
                  <w:tcBorders>
                    <w:tl2br w:val="nil"/>
                    <w:tr2bl w:val="nil"/>
                  </w:tcBorders>
                  <w:vAlign w:val="center"/>
                </w:tcPr>
                <w:p w14:paraId="2771CF82">
                  <w:pPr>
                    <w:autoSpaceDE w:val="0"/>
                    <w:autoSpaceDN w:val="0"/>
                    <w:adjustRightInd w:val="0"/>
                    <w:snapToGrid w:val="0"/>
                    <w:jc w:val="center"/>
                    <w:rPr>
                      <w:rFonts w:ascii="Times New Roman" w:hAnsi="Times New Roman" w:cs="Times New Roman"/>
                      <w:bCs/>
                      <w:szCs w:val="21"/>
                    </w:rPr>
                  </w:pPr>
                </w:p>
              </w:tc>
              <w:tc>
                <w:tcPr>
                  <w:tcW w:w="1442" w:type="pct"/>
                  <w:vMerge w:val="continue"/>
                  <w:tcBorders>
                    <w:tl2br w:val="nil"/>
                    <w:tr2bl w:val="nil"/>
                  </w:tcBorders>
                  <w:vAlign w:val="center"/>
                </w:tcPr>
                <w:p w14:paraId="2D0082AB">
                  <w:pPr>
                    <w:autoSpaceDE w:val="0"/>
                    <w:autoSpaceDN w:val="0"/>
                    <w:adjustRightInd w:val="0"/>
                    <w:snapToGrid w:val="0"/>
                    <w:jc w:val="center"/>
                    <w:rPr>
                      <w:rFonts w:ascii="Times New Roman" w:hAnsi="Times New Roman" w:cs="Times New Roman"/>
                      <w:bCs/>
                      <w:szCs w:val="21"/>
                    </w:rPr>
                  </w:pPr>
                </w:p>
              </w:tc>
            </w:tr>
            <w:tr w14:paraId="0FD8BA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57" w:type="pct"/>
                  <w:vMerge w:val="continue"/>
                  <w:tcBorders>
                    <w:tl2br w:val="nil"/>
                    <w:tr2bl w:val="nil"/>
                  </w:tcBorders>
                  <w:vAlign w:val="center"/>
                </w:tcPr>
                <w:p w14:paraId="271C231A">
                  <w:pPr>
                    <w:autoSpaceDE w:val="0"/>
                    <w:autoSpaceDN w:val="0"/>
                    <w:adjustRightInd w:val="0"/>
                    <w:snapToGrid w:val="0"/>
                    <w:jc w:val="center"/>
                    <w:rPr>
                      <w:rFonts w:ascii="Times New Roman" w:hAnsi="Times New Roman" w:cs="Times New Roman"/>
                      <w:bCs/>
                      <w:szCs w:val="21"/>
                    </w:rPr>
                  </w:pPr>
                </w:p>
              </w:tc>
              <w:tc>
                <w:tcPr>
                  <w:tcW w:w="745" w:type="pct"/>
                  <w:vMerge w:val="continue"/>
                  <w:tcBorders>
                    <w:tl2br w:val="nil"/>
                    <w:tr2bl w:val="nil"/>
                  </w:tcBorders>
                  <w:vAlign w:val="center"/>
                </w:tcPr>
                <w:p w14:paraId="61B590AA">
                  <w:pPr>
                    <w:autoSpaceDE w:val="0"/>
                    <w:autoSpaceDN w:val="0"/>
                    <w:adjustRightInd w:val="0"/>
                    <w:snapToGrid w:val="0"/>
                    <w:jc w:val="center"/>
                    <w:rPr>
                      <w:rFonts w:ascii="Times New Roman" w:hAnsi="Times New Roman" w:cs="Times New Roman"/>
                      <w:bCs/>
                      <w:szCs w:val="21"/>
                    </w:rPr>
                  </w:pPr>
                </w:p>
              </w:tc>
              <w:tc>
                <w:tcPr>
                  <w:tcW w:w="754" w:type="pct"/>
                  <w:tcBorders>
                    <w:tl2br w:val="nil"/>
                    <w:tr2bl w:val="nil"/>
                  </w:tcBorders>
                  <w:shd w:val="clear" w:color="auto" w:fill="auto"/>
                  <w:vAlign w:val="center"/>
                </w:tcPr>
                <w:p w14:paraId="77B6AB5E">
                  <w:pPr>
                    <w:widowControl/>
                    <w:adjustRightInd w:val="0"/>
                    <w:snapToGrid w:val="0"/>
                    <w:jc w:val="center"/>
                    <w:rPr>
                      <w:rFonts w:ascii="Times New Roman" w:hAnsi="Times New Roman" w:cs="Times New Roman"/>
                      <w:bCs/>
                      <w:szCs w:val="21"/>
                    </w:rPr>
                  </w:pPr>
                  <w:r>
                    <w:rPr>
                      <w:rFonts w:ascii="Times New Roman" w:hAnsi="Times New Roman" w:cs="Times New Roman"/>
                      <w:szCs w:val="21"/>
                    </w:rPr>
                    <w:t>氨氮</w:t>
                  </w:r>
                </w:p>
              </w:tc>
              <w:tc>
                <w:tcPr>
                  <w:tcW w:w="880" w:type="pct"/>
                  <w:tcBorders>
                    <w:tl2br w:val="nil"/>
                    <w:tr2bl w:val="nil"/>
                  </w:tcBorders>
                  <w:shd w:val="clear" w:color="auto" w:fill="auto"/>
                  <w:vAlign w:val="center"/>
                </w:tcPr>
                <w:p w14:paraId="76CEC760">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bCs/>
                      <w:szCs w:val="21"/>
                    </w:rPr>
                    <w:t>0.</w:t>
                  </w:r>
                  <w:r>
                    <w:rPr>
                      <w:rFonts w:hint="eastAsia" w:ascii="Times New Roman" w:hAnsi="Times New Roman" w:eastAsia="宋体" w:cs="Times New Roman"/>
                      <w:bCs/>
                      <w:szCs w:val="21"/>
                    </w:rPr>
                    <w:t>011</w:t>
                  </w:r>
                  <w:r>
                    <w:rPr>
                      <w:rFonts w:ascii="Times New Roman" w:hAnsi="Times New Roman" w:cs="Times New Roman"/>
                      <w:bCs/>
                      <w:szCs w:val="21"/>
                    </w:rPr>
                    <w:t>t/a</w:t>
                  </w:r>
                </w:p>
              </w:tc>
              <w:tc>
                <w:tcPr>
                  <w:tcW w:w="920" w:type="pct"/>
                  <w:vMerge w:val="continue"/>
                  <w:tcBorders>
                    <w:tl2br w:val="nil"/>
                    <w:tr2bl w:val="nil"/>
                  </w:tcBorders>
                  <w:vAlign w:val="center"/>
                </w:tcPr>
                <w:p w14:paraId="4C579E1A">
                  <w:pPr>
                    <w:autoSpaceDE w:val="0"/>
                    <w:autoSpaceDN w:val="0"/>
                    <w:adjustRightInd w:val="0"/>
                    <w:snapToGrid w:val="0"/>
                    <w:jc w:val="center"/>
                    <w:rPr>
                      <w:rFonts w:ascii="Times New Roman" w:hAnsi="Times New Roman" w:cs="Times New Roman"/>
                      <w:bCs/>
                      <w:szCs w:val="21"/>
                    </w:rPr>
                  </w:pPr>
                </w:p>
              </w:tc>
              <w:tc>
                <w:tcPr>
                  <w:tcW w:w="1442" w:type="pct"/>
                  <w:vMerge w:val="continue"/>
                  <w:tcBorders>
                    <w:tl2br w:val="nil"/>
                    <w:tr2bl w:val="nil"/>
                  </w:tcBorders>
                  <w:vAlign w:val="center"/>
                </w:tcPr>
                <w:p w14:paraId="6FEF41C6">
                  <w:pPr>
                    <w:autoSpaceDE w:val="0"/>
                    <w:autoSpaceDN w:val="0"/>
                    <w:adjustRightInd w:val="0"/>
                    <w:snapToGrid w:val="0"/>
                    <w:jc w:val="center"/>
                    <w:rPr>
                      <w:rFonts w:ascii="Times New Roman" w:hAnsi="Times New Roman" w:cs="Times New Roman"/>
                      <w:bCs/>
                      <w:szCs w:val="21"/>
                    </w:rPr>
                  </w:pPr>
                </w:p>
              </w:tc>
            </w:tr>
            <w:tr w14:paraId="36E7A3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57" w:type="pct"/>
                  <w:vMerge w:val="continue"/>
                  <w:tcBorders>
                    <w:tl2br w:val="nil"/>
                    <w:tr2bl w:val="nil"/>
                  </w:tcBorders>
                  <w:vAlign w:val="center"/>
                </w:tcPr>
                <w:p w14:paraId="7C427A6A">
                  <w:pPr>
                    <w:autoSpaceDE w:val="0"/>
                    <w:autoSpaceDN w:val="0"/>
                    <w:adjustRightInd w:val="0"/>
                    <w:snapToGrid w:val="0"/>
                    <w:jc w:val="center"/>
                    <w:rPr>
                      <w:rFonts w:ascii="Times New Roman" w:hAnsi="Times New Roman" w:cs="Times New Roman"/>
                      <w:bCs/>
                      <w:szCs w:val="21"/>
                    </w:rPr>
                  </w:pPr>
                </w:p>
              </w:tc>
              <w:tc>
                <w:tcPr>
                  <w:tcW w:w="745" w:type="pct"/>
                  <w:vMerge w:val="continue"/>
                  <w:tcBorders>
                    <w:tl2br w:val="nil"/>
                    <w:tr2bl w:val="nil"/>
                  </w:tcBorders>
                  <w:vAlign w:val="center"/>
                </w:tcPr>
                <w:p w14:paraId="7C2A069D">
                  <w:pPr>
                    <w:autoSpaceDE w:val="0"/>
                    <w:autoSpaceDN w:val="0"/>
                    <w:adjustRightInd w:val="0"/>
                    <w:snapToGrid w:val="0"/>
                    <w:jc w:val="center"/>
                    <w:rPr>
                      <w:rFonts w:ascii="Times New Roman" w:hAnsi="Times New Roman" w:cs="Times New Roman"/>
                      <w:bCs/>
                      <w:szCs w:val="21"/>
                    </w:rPr>
                  </w:pPr>
                </w:p>
              </w:tc>
              <w:tc>
                <w:tcPr>
                  <w:tcW w:w="754" w:type="pct"/>
                  <w:tcBorders>
                    <w:tl2br w:val="nil"/>
                    <w:tr2bl w:val="nil"/>
                  </w:tcBorders>
                  <w:shd w:val="clear" w:color="auto" w:fill="auto"/>
                  <w:vAlign w:val="center"/>
                </w:tcPr>
                <w:p w14:paraId="3CEF7584">
                  <w:pPr>
                    <w:widowControl/>
                    <w:adjustRightInd w:val="0"/>
                    <w:snapToGrid w:val="0"/>
                    <w:jc w:val="center"/>
                    <w:rPr>
                      <w:rFonts w:ascii="Times New Roman" w:hAnsi="Times New Roman" w:eastAsia="宋体" w:cs="Times New Roman"/>
                      <w:szCs w:val="21"/>
                    </w:rPr>
                  </w:pPr>
                  <w:r>
                    <w:rPr>
                      <w:rFonts w:ascii="Times New Roman" w:hAnsi="Times New Roman" w:cs="Times New Roman"/>
                      <w:szCs w:val="21"/>
                    </w:rPr>
                    <w:t>悬浮物</w:t>
                  </w:r>
                </w:p>
              </w:tc>
              <w:tc>
                <w:tcPr>
                  <w:tcW w:w="880" w:type="pct"/>
                  <w:tcBorders>
                    <w:tl2br w:val="nil"/>
                    <w:tr2bl w:val="nil"/>
                  </w:tcBorders>
                  <w:shd w:val="clear" w:color="auto" w:fill="auto"/>
                  <w:vAlign w:val="center"/>
                </w:tcPr>
                <w:p w14:paraId="6EF05213">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w:t>
                  </w:r>
                  <w:r>
                    <w:rPr>
                      <w:rFonts w:hint="eastAsia" w:ascii="Times New Roman" w:hAnsi="Times New Roman" w:eastAsia="宋体" w:cs="Times New Roman"/>
                      <w:szCs w:val="21"/>
                    </w:rPr>
                    <w:t>044</w:t>
                  </w:r>
                  <w:r>
                    <w:rPr>
                      <w:rFonts w:ascii="Times New Roman" w:hAnsi="Times New Roman" w:cs="Times New Roman"/>
                      <w:bCs/>
                      <w:szCs w:val="21"/>
                    </w:rPr>
                    <w:t>t/a</w:t>
                  </w:r>
                </w:p>
              </w:tc>
              <w:tc>
                <w:tcPr>
                  <w:tcW w:w="920" w:type="pct"/>
                  <w:vMerge w:val="continue"/>
                  <w:tcBorders>
                    <w:tl2br w:val="nil"/>
                    <w:tr2bl w:val="nil"/>
                  </w:tcBorders>
                  <w:vAlign w:val="center"/>
                </w:tcPr>
                <w:p w14:paraId="54A029FB">
                  <w:pPr>
                    <w:autoSpaceDE w:val="0"/>
                    <w:autoSpaceDN w:val="0"/>
                    <w:adjustRightInd w:val="0"/>
                    <w:snapToGrid w:val="0"/>
                    <w:jc w:val="center"/>
                    <w:rPr>
                      <w:rFonts w:ascii="Times New Roman" w:hAnsi="Times New Roman" w:cs="Times New Roman"/>
                      <w:bCs/>
                      <w:szCs w:val="21"/>
                    </w:rPr>
                  </w:pPr>
                </w:p>
              </w:tc>
              <w:tc>
                <w:tcPr>
                  <w:tcW w:w="1442" w:type="pct"/>
                  <w:vMerge w:val="continue"/>
                  <w:tcBorders>
                    <w:tl2br w:val="nil"/>
                    <w:tr2bl w:val="nil"/>
                  </w:tcBorders>
                  <w:vAlign w:val="center"/>
                </w:tcPr>
                <w:p w14:paraId="3398849A">
                  <w:pPr>
                    <w:autoSpaceDE w:val="0"/>
                    <w:autoSpaceDN w:val="0"/>
                    <w:adjustRightInd w:val="0"/>
                    <w:snapToGrid w:val="0"/>
                    <w:jc w:val="center"/>
                    <w:rPr>
                      <w:rFonts w:ascii="Times New Roman" w:hAnsi="Times New Roman" w:cs="Times New Roman"/>
                      <w:bCs/>
                      <w:szCs w:val="21"/>
                    </w:rPr>
                  </w:pPr>
                </w:p>
              </w:tc>
            </w:tr>
            <w:tr w14:paraId="252FF0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57" w:type="pct"/>
                  <w:vMerge w:val="continue"/>
                  <w:tcBorders>
                    <w:tl2br w:val="nil"/>
                    <w:tr2bl w:val="nil"/>
                  </w:tcBorders>
                  <w:vAlign w:val="center"/>
                </w:tcPr>
                <w:p w14:paraId="4BCFBF5F">
                  <w:pPr>
                    <w:autoSpaceDE w:val="0"/>
                    <w:autoSpaceDN w:val="0"/>
                    <w:adjustRightInd w:val="0"/>
                    <w:snapToGrid w:val="0"/>
                    <w:jc w:val="center"/>
                    <w:rPr>
                      <w:rFonts w:ascii="Times New Roman" w:hAnsi="Times New Roman" w:cs="Times New Roman"/>
                      <w:bCs/>
                      <w:szCs w:val="21"/>
                    </w:rPr>
                  </w:pPr>
                </w:p>
              </w:tc>
              <w:tc>
                <w:tcPr>
                  <w:tcW w:w="745" w:type="pct"/>
                  <w:vMerge w:val="continue"/>
                  <w:tcBorders>
                    <w:tl2br w:val="nil"/>
                    <w:tr2bl w:val="nil"/>
                  </w:tcBorders>
                  <w:vAlign w:val="center"/>
                </w:tcPr>
                <w:p w14:paraId="3FB1BB38">
                  <w:pPr>
                    <w:autoSpaceDE w:val="0"/>
                    <w:autoSpaceDN w:val="0"/>
                    <w:adjustRightInd w:val="0"/>
                    <w:snapToGrid w:val="0"/>
                    <w:jc w:val="center"/>
                    <w:rPr>
                      <w:rFonts w:ascii="Times New Roman" w:hAnsi="Times New Roman" w:cs="Times New Roman"/>
                      <w:bCs/>
                      <w:szCs w:val="21"/>
                    </w:rPr>
                  </w:pPr>
                </w:p>
              </w:tc>
              <w:tc>
                <w:tcPr>
                  <w:tcW w:w="754" w:type="pct"/>
                  <w:tcBorders>
                    <w:tl2br w:val="nil"/>
                    <w:tr2bl w:val="nil"/>
                  </w:tcBorders>
                  <w:shd w:val="clear" w:color="auto" w:fill="auto"/>
                  <w:vAlign w:val="center"/>
                </w:tcPr>
                <w:p w14:paraId="5A74946F">
                  <w:pPr>
                    <w:widowControl/>
                    <w:adjustRightInd w:val="0"/>
                    <w:snapToGrid w:val="0"/>
                    <w:jc w:val="center"/>
                    <w:rPr>
                      <w:rFonts w:ascii="Times New Roman" w:hAnsi="Times New Roman" w:eastAsia="宋体" w:cs="Times New Roman"/>
                      <w:szCs w:val="21"/>
                    </w:rPr>
                  </w:pPr>
                  <w:r>
                    <w:rPr>
                      <w:rFonts w:ascii="Times New Roman" w:hAnsi="Times New Roman" w:cs="Times New Roman"/>
                      <w:szCs w:val="21"/>
                    </w:rPr>
                    <w:t>总磷</w:t>
                  </w:r>
                </w:p>
              </w:tc>
              <w:tc>
                <w:tcPr>
                  <w:tcW w:w="880" w:type="pct"/>
                  <w:tcBorders>
                    <w:tl2br w:val="nil"/>
                    <w:tr2bl w:val="nil"/>
                  </w:tcBorders>
                  <w:shd w:val="clear" w:color="auto" w:fill="auto"/>
                  <w:vAlign w:val="center"/>
                </w:tcPr>
                <w:p w14:paraId="189C1869">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bCs/>
                      <w:szCs w:val="21"/>
                    </w:rPr>
                    <w:t>0.</w:t>
                  </w:r>
                  <w:r>
                    <w:rPr>
                      <w:rFonts w:hint="eastAsia" w:ascii="Times New Roman" w:hAnsi="Times New Roman" w:eastAsia="宋体" w:cs="Times New Roman"/>
                      <w:bCs/>
                      <w:szCs w:val="21"/>
                    </w:rPr>
                    <w:t>001</w:t>
                  </w:r>
                  <w:r>
                    <w:rPr>
                      <w:rFonts w:ascii="Times New Roman" w:hAnsi="Times New Roman" w:cs="Times New Roman"/>
                      <w:bCs/>
                      <w:szCs w:val="21"/>
                    </w:rPr>
                    <w:t>t/a</w:t>
                  </w:r>
                </w:p>
              </w:tc>
              <w:tc>
                <w:tcPr>
                  <w:tcW w:w="920" w:type="pct"/>
                  <w:vMerge w:val="continue"/>
                  <w:tcBorders>
                    <w:tl2br w:val="nil"/>
                    <w:tr2bl w:val="nil"/>
                  </w:tcBorders>
                  <w:vAlign w:val="center"/>
                </w:tcPr>
                <w:p w14:paraId="0AD2C70D">
                  <w:pPr>
                    <w:autoSpaceDE w:val="0"/>
                    <w:autoSpaceDN w:val="0"/>
                    <w:adjustRightInd w:val="0"/>
                    <w:snapToGrid w:val="0"/>
                    <w:jc w:val="center"/>
                    <w:rPr>
                      <w:rFonts w:ascii="Times New Roman" w:hAnsi="Times New Roman" w:cs="Times New Roman"/>
                      <w:bCs/>
                      <w:szCs w:val="21"/>
                    </w:rPr>
                  </w:pPr>
                </w:p>
              </w:tc>
              <w:tc>
                <w:tcPr>
                  <w:tcW w:w="1442" w:type="pct"/>
                  <w:vMerge w:val="continue"/>
                  <w:tcBorders>
                    <w:tl2br w:val="nil"/>
                    <w:tr2bl w:val="nil"/>
                  </w:tcBorders>
                  <w:vAlign w:val="center"/>
                </w:tcPr>
                <w:p w14:paraId="7942D935">
                  <w:pPr>
                    <w:autoSpaceDE w:val="0"/>
                    <w:autoSpaceDN w:val="0"/>
                    <w:adjustRightInd w:val="0"/>
                    <w:snapToGrid w:val="0"/>
                    <w:jc w:val="center"/>
                    <w:rPr>
                      <w:rFonts w:ascii="Times New Roman" w:hAnsi="Times New Roman" w:cs="Times New Roman"/>
                      <w:bCs/>
                      <w:szCs w:val="21"/>
                    </w:rPr>
                  </w:pPr>
                </w:p>
              </w:tc>
            </w:tr>
            <w:tr w14:paraId="1CDC72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57" w:type="pct"/>
                  <w:tcBorders>
                    <w:tl2br w:val="nil"/>
                    <w:tr2bl w:val="nil"/>
                  </w:tcBorders>
                  <w:vAlign w:val="center"/>
                </w:tcPr>
                <w:p w14:paraId="5A6E7D84">
                  <w:pPr>
                    <w:autoSpaceDE w:val="0"/>
                    <w:autoSpaceDN w:val="0"/>
                    <w:adjustRightInd w:val="0"/>
                    <w:snapToGrid w:val="0"/>
                    <w:jc w:val="center"/>
                    <w:rPr>
                      <w:rFonts w:ascii="Times New Roman" w:hAnsi="Times New Roman" w:cs="Times New Roman"/>
                      <w:bCs/>
                      <w:szCs w:val="21"/>
                    </w:rPr>
                  </w:pPr>
                  <w:r>
                    <w:rPr>
                      <w:rFonts w:ascii="Times New Roman" w:hAnsi="Times New Roman" w:cs="Times New Roman"/>
                      <w:bCs/>
                      <w:szCs w:val="21"/>
                    </w:rPr>
                    <w:t>噪声</w:t>
                  </w:r>
                </w:p>
              </w:tc>
              <w:tc>
                <w:tcPr>
                  <w:tcW w:w="745" w:type="pct"/>
                  <w:tcBorders>
                    <w:tl2br w:val="nil"/>
                    <w:tr2bl w:val="nil"/>
                  </w:tcBorders>
                  <w:vAlign w:val="center"/>
                </w:tcPr>
                <w:p w14:paraId="2E8178A6">
                  <w:pPr>
                    <w:autoSpaceDE w:val="0"/>
                    <w:autoSpaceDN w:val="0"/>
                    <w:adjustRightInd w:val="0"/>
                    <w:snapToGrid w:val="0"/>
                    <w:jc w:val="center"/>
                    <w:rPr>
                      <w:rFonts w:ascii="Times New Roman" w:hAnsi="Times New Roman" w:cs="Times New Roman"/>
                      <w:bCs/>
                      <w:szCs w:val="21"/>
                    </w:rPr>
                  </w:pPr>
                  <w:r>
                    <w:rPr>
                      <w:rFonts w:ascii="Times New Roman" w:hAnsi="Times New Roman" w:cs="Times New Roman"/>
                      <w:bCs/>
                      <w:szCs w:val="21"/>
                    </w:rPr>
                    <w:t>机械设备</w:t>
                  </w:r>
                </w:p>
              </w:tc>
              <w:tc>
                <w:tcPr>
                  <w:tcW w:w="754" w:type="pct"/>
                  <w:tcBorders>
                    <w:tl2br w:val="nil"/>
                    <w:tr2bl w:val="nil"/>
                  </w:tcBorders>
                  <w:vAlign w:val="center"/>
                </w:tcPr>
                <w:p w14:paraId="50455C4B">
                  <w:pPr>
                    <w:autoSpaceDE w:val="0"/>
                    <w:autoSpaceDN w:val="0"/>
                    <w:adjustRightInd w:val="0"/>
                    <w:snapToGrid w:val="0"/>
                    <w:jc w:val="center"/>
                    <w:rPr>
                      <w:rFonts w:ascii="Times New Roman" w:hAnsi="Times New Roman" w:cs="Times New Roman"/>
                      <w:bCs/>
                      <w:szCs w:val="21"/>
                    </w:rPr>
                  </w:pPr>
                  <w:r>
                    <w:rPr>
                      <w:rFonts w:ascii="Times New Roman" w:hAnsi="Times New Roman" w:cs="Times New Roman"/>
                      <w:bCs/>
                      <w:szCs w:val="21"/>
                    </w:rPr>
                    <w:t>噪声</w:t>
                  </w:r>
                </w:p>
              </w:tc>
              <w:tc>
                <w:tcPr>
                  <w:tcW w:w="880" w:type="pct"/>
                  <w:tcBorders>
                    <w:tl2br w:val="nil"/>
                    <w:tr2bl w:val="nil"/>
                  </w:tcBorders>
                  <w:vAlign w:val="center"/>
                </w:tcPr>
                <w:p w14:paraId="0FAB8872">
                  <w:pPr>
                    <w:autoSpaceDE w:val="0"/>
                    <w:autoSpaceDN w:val="0"/>
                    <w:adjustRightInd w:val="0"/>
                    <w:snapToGrid w:val="0"/>
                    <w:jc w:val="center"/>
                    <w:rPr>
                      <w:rFonts w:ascii="Times New Roman" w:hAnsi="Times New Roman" w:cs="Times New Roman"/>
                      <w:bCs/>
                      <w:szCs w:val="21"/>
                    </w:rPr>
                  </w:pPr>
                  <w:r>
                    <w:rPr>
                      <w:rFonts w:ascii="Times New Roman" w:hAnsi="Times New Roman" w:cs="Times New Roman"/>
                      <w:bCs/>
                      <w:szCs w:val="21"/>
                    </w:rPr>
                    <w:t>/</w:t>
                  </w:r>
                </w:p>
              </w:tc>
              <w:tc>
                <w:tcPr>
                  <w:tcW w:w="920" w:type="pct"/>
                  <w:tcBorders>
                    <w:tl2br w:val="nil"/>
                    <w:tr2bl w:val="nil"/>
                  </w:tcBorders>
                  <w:vAlign w:val="center"/>
                </w:tcPr>
                <w:p w14:paraId="00E88BF7">
                  <w:pPr>
                    <w:autoSpaceDE w:val="0"/>
                    <w:autoSpaceDN w:val="0"/>
                    <w:adjustRightInd w:val="0"/>
                    <w:snapToGrid w:val="0"/>
                    <w:jc w:val="center"/>
                    <w:rPr>
                      <w:rFonts w:ascii="Times New Roman" w:hAnsi="Times New Roman" w:cs="Times New Roman"/>
                      <w:szCs w:val="21"/>
                      <w:lang w:bidi="ar"/>
                    </w:rPr>
                  </w:pPr>
                  <w:r>
                    <w:rPr>
                      <w:rFonts w:ascii="Times New Roman" w:hAnsi="Times New Roman" w:cs="Times New Roman"/>
                      <w:szCs w:val="21"/>
                      <w:lang w:bidi="ar"/>
                    </w:rPr>
                    <w:t>高噪声设备布置在车间内，</w:t>
                  </w:r>
                </w:p>
                <w:p w14:paraId="48712AE4">
                  <w:pPr>
                    <w:autoSpaceDE w:val="0"/>
                    <w:autoSpaceDN w:val="0"/>
                    <w:adjustRightInd w:val="0"/>
                    <w:snapToGrid w:val="0"/>
                    <w:jc w:val="center"/>
                    <w:rPr>
                      <w:rFonts w:ascii="Times New Roman" w:hAnsi="Times New Roman" w:cs="Times New Roman"/>
                      <w:szCs w:val="21"/>
                      <w:lang w:bidi="ar"/>
                    </w:rPr>
                  </w:pPr>
                  <w:r>
                    <w:rPr>
                      <w:rFonts w:ascii="Times New Roman" w:hAnsi="Times New Roman" w:cs="Times New Roman"/>
                      <w:szCs w:val="21"/>
                      <w:lang w:bidi="ar"/>
                    </w:rPr>
                    <w:t>基础减振、</w:t>
                  </w:r>
                </w:p>
                <w:p w14:paraId="275CF397">
                  <w:pPr>
                    <w:autoSpaceDE w:val="0"/>
                    <w:autoSpaceDN w:val="0"/>
                    <w:adjustRightInd w:val="0"/>
                    <w:snapToGrid w:val="0"/>
                    <w:jc w:val="center"/>
                    <w:rPr>
                      <w:rFonts w:ascii="Times New Roman" w:hAnsi="Times New Roman" w:cs="Times New Roman"/>
                      <w:bCs/>
                      <w:szCs w:val="21"/>
                    </w:rPr>
                  </w:pPr>
                  <w:r>
                    <w:rPr>
                      <w:rFonts w:ascii="Times New Roman" w:hAnsi="Times New Roman" w:cs="Times New Roman"/>
                      <w:szCs w:val="21"/>
                      <w:lang w:bidi="ar"/>
                    </w:rPr>
                    <w:t>加装减振弹簧和橡皮垫、隔声等减振降噪措施</w:t>
                  </w:r>
                </w:p>
              </w:tc>
              <w:tc>
                <w:tcPr>
                  <w:tcW w:w="1442" w:type="pct"/>
                  <w:tcBorders>
                    <w:tl2br w:val="nil"/>
                    <w:tr2bl w:val="nil"/>
                  </w:tcBorders>
                  <w:vAlign w:val="center"/>
                </w:tcPr>
                <w:p w14:paraId="77C2AB23">
                  <w:pPr>
                    <w:autoSpaceDE w:val="0"/>
                    <w:autoSpaceDN w:val="0"/>
                    <w:adjustRightInd w:val="0"/>
                    <w:snapToGrid w:val="0"/>
                    <w:jc w:val="center"/>
                    <w:rPr>
                      <w:rFonts w:ascii="Times New Roman" w:hAnsi="Times New Roman" w:eastAsia="宋体" w:cs="Times New Roman"/>
                      <w:snapToGrid w:val="0"/>
                      <w:kern w:val="0"/>
                      <w:szCs w:val="21"/>
                    </w:rPr>
                  </w:pPr>
                  <w:r>
                    <w:rPr>
                      <w:rFonts w:ascii="Times New Roman" w:hAnsi="Times New Roman" w:cs="Times New Roman"/>
                      <w:szCs w:val="21"/>
                    </w:rPr>
                    <w:t>厂界四周昼间、夜间噪声贡献值</w:t>
                  </w:r>
                  <w:r>
                    <w:rPr>
                      <w:rFonts w:hint="eastAsia" w:ascii="Times New Roman" w:hAnsi="Times New Roman" w:eastAsia="宋体" w:cs="Times New Roman"/>
                      <w:snapToGrid w:val="0"/>
                      <w:kern w:val="0"/>
                      <w:szCs w:val="21"/>
                    </w:rPr>
                    <w:t>：</w:t>
                  </w:r>
                  <w:r>
                    <w:rPr>
                      <w:rFonts w:ascii="Times New Roman" w:hAnsi="Times New Roman" w:eastAsia="宋体" w:cs="Times New Roman"/>
                      <w:snapToGrid w:val="0"/>
                      <w:kern w:val="0"/>
                      <w:szCs w:val="21"/>
                    </w:rPr>
                    <w:t>《工业企业厂界环境噪声排放标准》（GB12348-2008）中3类昼间标准限值要求</w:t>
                  </w:r>
                  <w:r>
                    <w:rPr>
                      <w:rFonts w:hint="eastAsia" w:ascii="Times New Roman" w:hAnsi="Times New Roman" w:eastAsia="宋体" w:cs="Times New Roman"/>
                      <w:snapToGrid w:val="0"/>
                      <w:kern w:val="0"/>
                      <w:szCs w:val="21"/>
                    </w:rPr>
                    <w:t>；</w:t>
                  </w:r>
                </w:p>
                <w:p w14:paraId="13A3C9DA">
                  <w:pPr>
                    <w:autoSpaceDE w:val="0"/>
                    <w:autoSpaceDN w:val="0"/>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snapToGrid w:val="0"/>
                      <w:kern w:val="0"/>
                      <w:szCs w:val="21"/>
                    </w:rPr>
                    <w:t>巨家村</w:t>
                  </w:r>
                  <w:r>
                    <w:rPr>
                      <w:rFonts w:ascii="Times New Roman" w:hAnsi="Times New Roman" w:eastAsia="宋体" w:cs="Times New Roman"/>
                      <w:snapToGrid w:val="0"/>
                      <w:kern w:val="0"/>
                      <w:szCs w:val="21"/>
                    </w:rPr>
                    <w:t>昼间、夜间噪声贡献值均满足《声环境质量标准》（GB3096-2008）中</w:t>
                  </w:r>
                  <w:r>
                    <w:rPr>
                      <w:rFonts w:hint="eastAsia" w:ascii="Times New Roman" w:hAnsi="Times New Roman" w:eastAsia="宋体" w:cs="Times New Roman"/>
                      <w:snapToGrid w:val="0"/>
                      <w:kern w:val="0"/>
                      <w:szCs w:val="21"/>
                    </w:rPr>
                    <w:t>2</w:t>
                  </w:r>
                  <w:r>
                    <w:rPr>
                      <w:rFonts w:ascii="Times New Roman" w:hAnsi="Times New Roman" w:eastAsia="宋体" w:cs="Times New Roman"/>
                      <w:snapToGrid w:val="0"/>
                      <w:kern w:val="0"/>
                      <w:szCs w:val="21"/>
                    </w:rPr>
                    <w:t>类标准限值要求</w:t>
                  </w:r>
                </w:p>
              </w:tc>
            </w:tr>
            <w:tr w14:paraId="6C7F4D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57" w:type="pct"/>
                  <w:vMerge w:val="restart"/>
                  <w:tcBorders>
                    <w:tl2br w:val="nil"/>
                    <w:tr2bl w:val="nil"/>
                  </w:tcBorders>
                  <w:vAlign w:val="center"/>
                </w:tcPr>
                <w:p w14:paraId="641497C8">
                  <w:pPr>
                    <w:autoSpaceDE w:val="0"/>
                    <w:autoSpaceDN w:val="0"/>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固废</w:t>
                  </w:r>
                </w:p>
              </w:tc>
              <w:tc>
                <w:tcPr>
                  <w:tcW w:w="745" w:type="pct"/>
                  <w:vMerge w:val="restart"/>
                  <w:tcBorders>
                    <w:tl2br w:val="nil"/>
                    <w:tr2bl w:val="nil"/>
                  </w:tcBorders>
                  <w:vAlign w:val="center"/>
                </w:tcPr>
                <w:p w14:paraId="164DFFB0">
                  <w:pPr>
                    <w:autoSpaceDE w:val="0"/>
                    <w:autoSpaceDN w:val="0"/>
                    <w:adjustRightInd w:val="0"/>
                    <w:snapToGrid w:val="0"/>
                    <w:jc w:val="center"/>
                    <w:rPr>
                      <w:rFonts w:ascii="Times New Roman" w:hAnsi="Times New Roman" w:cs="Times New Roman"/>
                      <w:bCs/>
                      <w:szCs w:val="21"/>
                    </w:rPr>
                  </w:pPr>
                  <w:r>
                    <w:rPr>
                      <w:rFonts w:ascii="Times New Roman" w:hAnsi="Times New Roman" w:cs="Times New Roman"/>
                      <w:bCs/>
                      <w:szCs w:val="21"/>
                    </w:rPr>
                    <w:t>生产</w:t>
                  </w:r>
                </w:p>
              </w:tc>
              <w:tc>
                <w:tcPr>
                  <w:tcW w:w="754" w:type="pct"/>
                  <w:tcBorders>
                    <w:tl2br w:val="nil"/>
                    <w:tr2bl w:val="nil"/>
                  </w:tcBorders>
                  <w:shd w:val="clear" w:color="auto" w:fill="auto"/>
                  <w:vAlign w:val="center"/>
                </w:tcPr>
                <w:p w14:paraId="6F1E74B2">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废钢丸</w:t>
                  </w:r>
                </w:p>
              </w:tc>
              <w:tc>
                <w:tcPr>
                  <w:tcW w:w="880" w:type="pct"/>
                  <w:tcBorders>
                    <w:tl2br w:val="nil"/>
                    <w:tr2bl w:val="nil"/>
                  </w:tcBorders>
                  <w:shd w:val="clear" w:color="auto" w:fill="auto"/>
                  <w:vAlign w:val="center"/>
                </w:tcPr>
                <w:p w14:paraId="21506749">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2</w:t>
                  </w:r>
                </w:p>
              </w:tc>
              <w:tc>
                <w:tcPr>
                  <w:tcW w:w="920" w:type="pct"/>
                  <w:vMerge w:val="restart"/>
                  <w:tcBorders>
                    <w:tl2br w:val="nil"/>
                    <w:tr2bl w:val="nil"/>
                  </w:tcBorders>
                  <w:vAlign w:val="center"/>
                </w:tcPr>
                <w:p w14:paraId="2F6CE836">
                  <w:pPr>
                    <w:autoSpaceDE w:val="0"/>
                    <w:autoSpaceDN w:val="0"/>
                    <w:adjustRightInd w:val="0"/>
                    <w:snapToGrid w:val="0"/>
                    <w:jc w:val="center"/>
                    <w:rPr>
                      <w:rFonts w:ascii="Times New Roman" w:hAnsi="Times New Roman" w:cs="Times New Roman"/>
                      <w:bCs/>
                      <w:szCs w:val="21"/>
                    </w:rPr>
                  </w:pPr>
                  <w:r>
                    <w:rPr>
                      <w:rFonts w:ascii="Times New Roman" w:hAnsi="Times New Roman" w:eastAsia="宋体" w:cs="Times New Roman"/>
                      <w:szCs w:val="21"/>
                    </w:rPr>
                    <w:t>收集后，暂存于一般固废暂存处，</w:t>
                  </w:r>
                  <w:r>
                    <w:rPr>
                      <w:rFonts w:ascii="Times New Roman" w:hAnsi="Times New Roman" w:cs="Times New Roman"/>
                      <w:szCs w:val="21"/>
                    </w:rPr>
                    <w:t>外售综合利用</w:t>
                  </w:r>
                </w:p>
              </w:tc>
              <w:tc>
                <w:tcPr>
                  <w:tcW w:w="1442" w:type="pct"/>
                  <w:vMerge w:val="restart"/>
                  <w:tcBorders>
                    <w:tl2br w:val="nil"/>
                    <w:tr2bl w:val="nil"/>
                  </w:tcBorders>
                  <w:vAlign w:val="center"/>
                </w:tcPr>
                <w:p w14:paraId="71F4FB23">
                  <w:pPr>
                    <w:autoSpaceDE w:val="0"/>
                    <w:autoSpaceDN w:val="0"/>
                    <w:adjustRightInd w:val="0"/>
                    <w:snapToGrid w:val="0"/>
                    <w:jc w:val="center"/>
                    <w:rPr>
                      <w:rFonts w:ascii="Times New Roman" w:hAnsi="Times New Roman" w:cs="Times New Roman"/>
                      <w:bCs/>
                      <w:szCs w:val="21"/>
                    </w:rPr>
                  </w:pPr>
                  <w:r>
                    <w:rPr>
                      <w:rFonts w:ascii="Times New Roman" w:hAnsi="Times New Roman" w:cs="Times New Roman"/>
                      <w:bCs/>
                      <w:szCs w:val="21"/>
                    </w:rPr>
                    <w:t>《一般工业固体废物贮存、处置场污染控制标准》（GB18599-2022）</w:t>
                  </w:r>
                </w:p>
              </w:tc>
            </w:tr>
            <w:tr w14:paraId="094F3B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57" w:type="pct"/>
                  <w:vMerge w:val="continue"/>
                  <w:tcBorders>
                    <w:tl2br w:val="nil"/>
                    <w:tr2bl w:val="nil"/>
                  </w:tcBorders>
                  <w:vAlign w:val="center"/>
                </w:tcPr>
                <w:p w14:paraId="3F4812EB">
                  <w:pPr>
                    <w:autoSpaceDE w:val="0"/>
                    <w:autoSpaceDN w:val="0"/>
                    <w:adjustRightInd w:val="0"/>
                    <w:snapToGrid w:val="0"/>
                    <w:jc w:val="center"/>
                    <w:rPr>
                      <w:rFonts w:ascii="Times New Roman" w:hAnsi="Times New Roman" w:cs="Times New Roman"/>
                      <w:bCs/>
                      <w:szCs w:val="21"/>
                    </w:rPr>
                  </w:pPr>
                </w:p>
              </w:tc>
              <w:tc>
                <w:tcPr>
                  <w:tcW w:w="745" w:type="pct"/>
                  <w:vMerge w:val="continue"/>
                  <w:tcBorders>
                    <w:tl2br w:val="nil"/>
                    <w:tr2bl w:val="nil"/>
                  </w:tcBorders>
                  <w:vAlign w:val="center"/>
                </w:tcPr>
                <w:p w14:paraId="7806A585">
                  <w:pPr>
                    <w:autoSpaceDE w:val="0"/>
                    <w:autoSpaceDN w:val="0"/>
                    <w:adjustRightInd w:val="0"/>
                    <w:snapToGrid w:val="0"/>
                    <w:jc w:val="center"/>
                    <w:rPr>
                      <w:rFonts w:ascii="Times New Roman" w:hAnsi="Times New Roman" w:cs="Times New Roman"/>
                      <w:bCs/>
                      <w:szCs w:val="21"/>
                    </w:rPr>
                  </w:pPr>
                </w:p>
              </w:tc>
              <w:tc>
                <w:tcPr>
                  <w:tcW w:w="754" w:type="pct"/>
                  <w:tcBorders>
                    <w:tl2br w:val="nil"/>
                    <w:tr2bl w:val="nil"/>
                  </w:tcBorders>
                  <w:shd w:val="clear" w:color="auto" w:fill="auto"/>
                  <w:vAlign w:val="center"/>
                </w:tcPr>
                <w:p w14:paraId="596278B8">
                  <w:pPr>
                    <w:adjustRightInd w:val="0"/>
                    <w:snapToGrid w:val="0"/>
                    <w:jc w:val="center"/>
                    <w:rPr>
                      <w:rFonts w:ascii="Times New Roman" w:hAnsi="Times New Roman" w:cs="Times New Roman"/>
                      <w:szCs w:val="21"/>
                    </w:rPr>
                  </w:pPr>
                  <w:r>
                    <w:rPr>
                      <w:rFonts w:hint="eastAsia" w:ascii="Times New Roman" w:hAnsi="Times New Roman" w:cs="Times New Roman"/>
                      <w:szCs w:val="21"/>
                    </w:rPr>
                    <w:t>废包装材料</w:t>
                  </w:r>
                </w:p>
              </w:tc>
              <w:tc>
                <w:tcPr>
                  <w:tcW w:w="880" w:type="pct"/>
                  <w:tcBorders>
                    <w:tl2br w:val="nil"/>
                    <w:tr2bl w:val="nil"/>
                  </w:tcBorders>
                  <w:shd w:val="clear" w:color="auto" w:fill="auto"/>
                  <w:vAlign w:val="center"/>
                </w:tcPr>
                <w:p w14:paraId="19653125">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0.1</w:t>
                  </w:r>
                </w:p>
              </w:tc>
              <w:tc>
                <w:tcPr>
                  <w:tcW w:w="920" w:type="pct"/>
                  <w:vMerge w:val="continue"/>
                  <w:tcBorders>
                    <w:tl2br w:val="nil"/>
                    <w:tr2bl w:val="nil"/>
                  </w:tcBorders>
                  <w:vAlign w:val="center"/>
                </w:tcPr>
                <w:p w14:paraId="3A314D45">
                  <w:pPr>
                    <w:autoSpaceDE w:val="0"/>
                    <w:autoSpaceDN w:val="0"/>
                    <w:adjustRightInd w:val="0"/>
                    <w:snapToGrid w:val="0"/>
                    <w:jc w:val="center"/>
                    <w:rPr>
                      <w:rFonts w:ascii="Times New Roman" w:hAnsi="Times New Roman" w:cs="Times New Roman"/>
                      <w:szCs w:val="21"/>
                    </w:rPr>
                  </w:pPr>
                </w:p>
              </w:tc>
              <w:tc>
                <w:tcPr>
                  <w:tcW w:w="1442" w:type="pct"/>
                  <w:vMerge w:val="continue"/>
                  <w:tcBorders>
                    <w:tl2br w:val="nil"/>
                    <w:tr2bl w:val="nil"/>
                  </w:tcBorders>
                  <w:vAlign w:val="center"/>
                </w:tcPr>
                <w:p w14:paraId="1A0829E3">
                  <w:pPr>
                    <w:autoSpaceDE w:val="0"/>
                    <w:autoSpaceDN w:val="0"/>
                    <w:adjustRightInd w:val="0"/>
                    <w:snapToGrid w:val="0"/>
                    <w:jc w:val="center"/>
                    <w:rPr>
                      <w:rFonts w:ascii="Times New Roman" w:hAnsi="Times New Roman" w:cs="Times New Roman"/>
                      <w:bCs/>
                      <w:szCs w:val="21"/>
                    </w:rPr>
                  </w:pPr>
                </w:p>
              </w:tc>
            </w:tr>
            <w:tr w14:paraId="73F825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57" w:type="pct"/>
                  <w:vMerge w:val="continue"/>
                  <w:tcBorders>
                    <w:tl2br w:val="nil"/>
                    <w:tr2bl w:val="nil"/>
                  </w:tcBorders>
                  <w:vAlign w:val="center"/>
                </w:tcPr>
                <w:p w14:paraId="45E8B883">
                  <w:pPr>
                    <w:autoSpaceDE w:val="0"/>
                    <w:autoSpaceDN w:val="0"/>
                    <w:adjustRightInd w:val="0"/>
                    <w:snapToGrid w:val="0"/>
                    <w:jc w:val="center"/>
                    <w:rPr>
                      <w:rFonts w:ascii="Times New Roman" w:hAnsi="Times New Roman" w:eastAsia="宋体" w:cs="Times New Roman"/>
                      <w:bCs/>
                      <w:szCs w:val="21"/>
                    </w:rPr>
                  </w:pPr>
                </w:p>
              </w:tc>
              <w:tc>
                <w:tcPr>
                  <w:tcW w:w="745" w:type="pct"/>
                  <w:vMerge w:val="continue"/>
                  <w:tcBorders>
                    <w:tl2br w:val="nil"/>
                    <w:tr2bl w:val="nil"/>
                  </w:tcBorders>
                  <w:vAlign w:val="center"/>
                </w:tcPr>
                <w:p w14:paraId="208FD8E0">
                  <w:pPr>
                    <w:autoSpaceDE w:val="0"/>
                    <w:autoSpaceDN w:val="0"/>
                    <w:adjustRightInd w:val="0"/>
                    <w:snapToGrid w:val="0"/>
                    <w:jc w:val="center"/>
                    <w:rPr>
                      <w:rFonts w:ascii="Times New Roman" w:hAnsi="Times New Roman" w:cs="Times New Roman"/>
                      <w:bCs/>
                      <w:szCs w:val="21"/>
                    </w:rPr>
                  </w:pPr>
                </w:p>
              </w:tc>
              <w:tc>
                <w:tcPr>
                  <w:tcW w:w="754" w:type="pct"/>
                  <w:tcBorders>
                    <w:tl2br w:val="nil"/>
                    <w:tr2bl w:val="nil"/>
                  </w:tcBorders>
                  <w:shd w:val="clear" w:color="auto" w:fill="auto"/>
                  <w:vAlign w:val="center"/>
                </w:tcPr>
                <w:p w14:paraId="6A2B20D6">
                  <w:pPr>
                    <w:pStyle w:val="11"/>
                    <w:adjustRightInd w:val="0"/>
                    <w:snapToGrid w:val="0"/>
                    <w:spacing w:before="0" w:line="240" w:lineRule="auto"/>
                    <w:ind w:firstLine="0"/>
                    <w:jc w:val="center"/>
                    <w:rPr>
                      <w:rFonts w:ascii="Times New Roman" w:hAnsi="Times New Roman" w:eastAsia="宋体" w:cs="Times New Roman"/>
                      <w:sz w:val="21"/>
                      <w:szCs w:val="21"/>
                    </w:rPr>
                  </w:pPr>
                  <w:r>
                    <w:rPr>
                      <w:rFonts w:ascii="Times New Roman" w:hAnsi="Times New Roman" w:cs="Times New Roman"/>
                      <w:sz w:val="21"/>
                      <w:szCs w:val="21"/>
                    </w:rPr>
                    <w:t>废活性炭</w:t>
                  </w:r>
                </w:p>
              </w:tc>
              <w:tc>
                <w:tcPr>
                  <w:tcW w:w="880" w:type="pct"/>
                  <w:tcBorders>
                    <w:tl2br w:val="nil"/>
                    <w:tr2bl w:val="nil"/>
                  </w:tcBorders>
                  <w:shd w:val="clear" w:color="auto" w:fill="auto"/>
                  <w:vAlign w:val="center"/>
                </w:tcPr>
                <w:p w14:paraId="60760E17">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0.816</w:t>
                  </w:r>
                </w:p>
              </w:tc>
              <w:tc>
                <w:tcPr>
                  <w:tcW w:w="920" w:type="pct"/>
                  <w:vMerge w:val="restart"/>
                  <w:tcBorders>
                    <w:tl2br w:val="nil"/>
                    <w:tr2bl w:val="nil"/>
                  </w:tcBorders>
                  <w:vAlign w:val="center"/>
                </w:tcPr>
                <w:p w14:paraId="11E0FE62">
                  <w:pPr>
                    <w:autoSpaceDE w:val="0"/>
                    <w:autoSpaceDN w:val="0"/>
                    <w:adjustRightInd w:val="0"/>
                    <w:snapToGrid w:val="0"/>
                    <w:jc w:val="center"/>
                    <w:rPr>
                      <w:rFonts w:ascii="Times New Roman" w:hAnsi="Times New Roman" w:cs="Times New Roman"/>
                      <w:bCs/>
                      <w:szCs w:val="21"/>
                    </w:rPr>
                  </w:pPr>
                  <w:r>
                    <w:rPr>
                      <w:rFonts w:ascii="Times New Roman" w:hAnsi="Times New Roman" w:cs="Times New Roman"/>
                      <w:bCs/>
                      <w:szCs w:val="21"/>
                    </w:rPr>
                    <w:t>暂存于危险废物贮存库，专用容器收集，定期交由</w:t>
                  </w:r>
                  <w:r>
                    <w:rPr>
                      <w:rFonts w:ascii="Times New Roman" w:hAnsi="Times New Roman" w:cs="Times New Roman"/>
                      <w:spacing w:val="-3"/>
                      <w:szCs w:val="21"/>
                    </w:rPr>
                    <w:t>有资质单位</w:t>
                  </w:r>
                  <w:r>
                    <w:rPr>
                      <w:rFonts w:ascii="Times New Roman" w:hAnsi="Times New Roman" w:cs="Times New Roman"/>
                      <w:bCs/>
                      <w:szCs w:val="21"/>
                    </w:rPr>
                    <w:t>处理</w:t>
                  </w:r>
                </w:p>
              </w:tc>
              <w:tc>
                <w:tcPr>
                  <w:tcW w:w="1442" w:type="pct"/>
                  <w:vMerge w:val="restart"/>
                  <w:tcBorders>
                    <w:tl2br w:val="nil"/>
                    <w:tr2bl w:val="nil"/>
                  </w:tcBorders>
                  <w:vAlign w:val="center"/>
                </w:tcPr>
                <w:p w14:paraId="39D51DBD">
                  <w:pPr>
                    <w:autoSpaceDE w:val="0"/>
                    <w:autoSpaceDN w:val="0"/>
                    <w:adjustRightInd w:val="0"/>
                    <w:snapToGrid w:val="0"/>
                    <w:jc w:val="center"/>
                    <w:rPr>
                      <w:rFonts w:ascii="Times New Roman" w:hAnsi="Times New Roman" w:cs="Times New Roman"/>
                      <w:bCs/>
                      <w:szCs w:val="21"/>
                    </w:rPr>
                  </w:pPr>
                  <w:r>
                    <w:rPr>
                      <w:rFonts w:ascii="Times New Roman" w:hAnsi="Times New Roman" w:cs="Times New Roman"/>
                      <w:bCs/>
                      <w:szCs w:val="21"/>
                    </w:rPr>
                    <w:t>《危险废物贮存污染控制标准》（GB18597-2023）</w:t>
                  </w:r>
                </w:p>
              </w:tc>
            </w:tr>
            <w:tr w14:paraId="584902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57" w:type="pct"/>
                  <w:vMerge w:val="continue"/>
                  <w:tcBorders>
                    <w:tl2br w:val="nil"/>
                    <w:tr2bl w:val="nil"/>
                  </w:tcBorders>
                  <w:vAlign w:val="center"/>
                </w:tcPr>
                <w:p w14:paraId="325ED5D5">
                  <w:pPr>
                    <w:autoSpaceDE w:val="0"/>
                    <w:autoSpaceDN w:val="0"/>
                    <w:adjustRightInd w:val="0"/>
                    <w:snapToGrid w:val="0"/>
                    <w:jc w:val="center"/>
                    <w:rPr>
                      <w:rFonts w:ascii="Times New Roman" w:hAnsi="Times New Roman" w:cs="Times New Roman"/>
                      <w:bCs/>
                      <w:szCs w:val="21"/>
                    </w:rPr>
                  </w:pPr>
                </w:p>
              </w:tc>
              <w:tc>
                <w:tcPr>
                  <w:tcW w:w="745" w:type="pct"/>
                  <w:vMerge w:val="continue"/>
                  <w:tcBorders>
                    <w:tl2br w:val="nil"/>
                    <w:tr2bl w:val="nil"/>
                  </w:tcBorders>
                  <w:vAlign w:val="center"/>
                </w:tcPr>
                <w:p w14:paraId="740F575E">
                  <w:pPr>
                    <w:autoSpaceDE w:val="0"/>
                    <w:autoSpaceDN w:val="0"/>
                    <w:adjustRightInd w:val="0"/>
                    <w:snapToGrid w:val="0"/>
                    <w:jc w:val="center"/>
                    <w:rPr>
                      <w:rFonts w:ascii="Times New Roman" w:hAnsi="Times New Roman" w:cs="Times New Roman"/>
                      <w:bCs/>
                      <w:szCs w:val="21"/>
                    </w:rPr>
                  </w:pPr>
                </w:p>
              </w:tc>
              <w:tc>
                <w:tcPr>
                  <w:tcW w:w="754" w:type="pct"/>
                  <w:tcBorders>
                    <w:tl2br w:val="nil"/>
                    <w:tr2bl w:val="nil"/>
                  </w:tcBorders>
                  <w:shd w:val="clear" w:color="auto" w:fill="auto"/>
                  <w:vAlign w:val="center"/>
                </w:tcPr>
                <w:p w14:paraId="4F5DA6E0">
                  <w:pPr>
                    <w:pStyle w:val="11"/>
                    <w:adjustRightInd w:val="0"/>
                    <w:snapToGrid w:val="0"/>
                    <w:spacing w:before="0" w:line="240" w:lineRule="auto"/>
                    <w:ind w:firstLine="0"/>
                    <w:jc w:val="center"/>
                    <w:rPr>
                      <w:rFonts w:ascii="Times New Roman" w:hAnsi="Times New Roman" w:eastAsia="宋体" w:cs="Times New Roman"/>
                      <w:sz w:val="21"/>
                      <w:szCs w:val="21"/>
                    </w:rPr>
                  </w:pPr>
                  <w:r>
                    <w:rPr>
                      <w:rFonts w:hint="eastAsia" w:ascii="Times New Roman" w:hAnsi="Times New Roman" w:cs="Times New Roman"/>
                      <w:sz w:val="21"/>
                      <w:szCs w:val="21"/>
                    </w:rPr>
                    <w:t>废过滤棉</w:t>
                  </w:r>
                </w:p>
              </w:tc>
              <w:tc>
                <w:tcPr>
                  <w:tcW w:w="880" w:type="pct"/>
                  <w:tcBorders>
                    <w:tl2br w:val="nil"/>
                    <w:tr2bl w:val="nil"/>
                  </w:tcBorders>
                  <w:shd w:val="clear" w:color="auto" w:fill="auto"/>
                  <w:vAlign w:val="center"/>
                </w:tcPr>
                <w:p w14:paraId="199B413A">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0.001</w:t>
                  </w:r>
                </w:p>
              </w:tc>
              <w:tc>
                <w:tcPr>
                  <w:tcW w:w="920" w:type="pct"/>
                  <w:vMerge w:val="continue"/>
                  <w:tcBorders>
                    <w:tl2br w:val="nil"/>
                    <w:tr2bl w:val="nil"/>
                  </w:tcBorders>
                  <w:vAlign w:val="center"/>
                </w:tcPr>
                <w:p w14:paraId="0BCCD942">
                  <w:pPr>
                    <w:autoSpaceDE w:val="0"/>
                    <w:autoSpaceDN w:val="0"/>
                    <w:adjustRightInd w:val="0"/>
                    <w:snapToGrid w:val="0"/>
                    <w:jc w:val="center"/>
                    <w:rPr>
                      <w:rFonts w:ascii="Times New Roman" w:hAnsi="Times New Roman" w:cs="Times New Roman"/>
                      <w:bCs/>
                      <w:szCs w:val="21"/>
                    </w:rPr>
                  </w:pPr>
                </w:p>
              </w:tc>
              <w:tc>
                <w:tcPr>
                  <w:tcW w:w="1442" w:type="pct"/>
                  <w:vMerge w:val="continue"/>
                  <w:tcBorders>
                    <w:tl2br w:val="nil"/>
                    <w:tr2bl w:val="nil"/>
                  </w:tcBorders>
                  <w:vAlign w:val="center"/>
                </w:tcPr>
                <w:p w14:paraId="6BE08A66">
                  <w:pPr>
                    <w:autoSpaceDE w:val="0"/>
                    <w:autoSpaceDN w:val="0"/>
                    <w:adjustRightInd w:val="0"/>
                    <w:snapToGrid w:val="0"/>
                    <w:jc w:val="center"/>
                    <w:rPr>
                      <w:rFonts w:ascii="Times New Roman" w:hAnsi="Times New Roman" w:cs="Times New Roman"/>
                      <w:bCs/>
                      <w:szCs w:val="21"/>
                    </w:rPr>
                  </w:pPr>
                </w:p>
              </w:tc>
            </w:tr>
            <w:tr w14:paraId="0C6B8C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57" w:type="pct"/>
                  <w:vMerge w:val="continue"/>
                  <w:tcBorders>
                    <w:tl2br w:val="nil"/>
                    <w:tr2bl w:val="nil"/>
                  </w:tcBorders>
                  <w:vAlign w:val="center"/>
                </w:tcPr>
                <w:p w14:paraId="4AC5EF64">
                  <w:pPr>
                    <w:autoSpaceDE w:val="0"/>
                    <w:autoSpaceDN w:val="0"/>
                    <w:adjustRightInd w:val="0"/>
                    <w:snapToGrid w:val="0"/>
                    <w:jc w:val="center"/>
                    <w:rPr>
                      <w:rFonts w:ascii="Times New Roman" w:hAnsi="Times New Roman" w:cs="Times New Roman"/>
                      <w:bCs/>
                      <w:szCs w:val="21"/>
                    </w:rPr>
                  </w:pPr>
                </w:p>
              </w:tc>
              <w:tc>
                <w:tcPr>
                  <w:tcW w:w="745" w:type="pct"/>
                  <w:vMerge w:val="continue"/>
                  <w:tcBorders>
                    <w:tl2br w:val="nil"/>
                    <w:tr2bl w:val="nil"/>
                  </w:tcBorders>
                  <w:vAlign w:val="center"/>
                </w:tcPr>
                <w:p w14:paraId="77650D2D">
                  <w:pPr>
                    <w:autoSpaceDE w:val="0"/>
                    <w:autoSpaceDN w:val="0"/>
                    <w:adjustRightInd w:val="0"/>
                    <w:snapToGrid w:val="0"/>
                    <w:jc w:val="center"/>
                    <w:rPr>
                      <w:rFonts w:ascii="Times New Roman" w:hAnsi="Times New Roman" w:cs="Times New Roman"/>
                      <w:bCs/>
                      <w:szCs w:val="21"/>
                    </w:rPr>
                  </w:pPr>
                </w:p>
              </w:tc>
              <w:tc>
                <w:tcPr>
                  <w:tcW w:w="754" w:type="pct"/>
                  <w:tcBorders>
                    <w:tl2br w:val="nil"/>
                    <w:tr2bl w:val="nil"/>
                  </w:tcBorders>
                  <w:shd w:val="clear" w:color="auto" w:fill="auto"/>
                  <w:vAlign w:val="center"/>
                </w:tcPr>
                <w:p w14:paraId="28C4A08C">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除尘灰</w:t>
                  </w:r>
                </w:p>
              </w:tc>
              <w:tc>
                <w:tcPr>
                  <w:tcW w:w="880" w:type="pct"/>
                  <w:tcBorders>
                    <w:tl2br w:val="nil"/>
                    <w:tr2bl w:val="nil"/>
                  </w:tcBorders>
                  <w:shd w:val="clear" w:color="auto" w:fill="auto"/>
                  <w:vAlign w:val="center"/>
                </w:tcPr>
                <w:p w14:paraId="23D320A0">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3.2236</w:t>
                  </w:r>
                </w:p>
              </w:tc>
              <w:tc>
                <w:tcPr>
                  <w:tcW w:w="920" w:type="pct"/>
                  <w:vMerge w:val="continue"/>
                  <w:tcBorders>
                    <w:tl2br w:val="nil"/>
                    <w:tr2bl w:val="nil"/>
                  </w:tcBorders>
                  <w:vAlign w:val="center"/>
                </w:tcPr>
                <w:p w14:paraId="24A1C128">
                  <w:pPr>
                    <w:autoSpaceDE w:val="0"/>
                    <w:autoSpaceDN w:val="0"/>
                    <w:adjustRightInd w:val="0"/>
                    <w:snapToGrid w:val="0"/>
                    <w:jc w:val="center"/>
                    <w:rPr>
                      <w:rFonts w:ascii="Times New Roman" w:hAnsi="Times New Roman" w:cs="Times New Roman"/>
                      <w:bCs/>
                      <w:szCs w:val="21"/>
                    </w:rPr>
                  </w:pPr>
                </w:p>
              </w:tc>
              <w:tc>
                <w:tcPr>
                  <w:tcW w:w="1442" w:type="pct"/>
                  <w:vMerge w:val="continue"/>
                  <w:tcBorders>
                    <w:tl2br w:val="nil"/>
                    <w:tr2bl w:val="nil"/>
                  </w:tcBorders>
                  <w:vAlign w:val="center"/>
                </w:tcPr>
                <w:p w14:paraId="18E4078C">
                  <w:pPr>
                    <w:autoSpaceDE w:val="0"/>
                    <w:autoSpaceDN w:val="0"/>
                    <w:adjustRightInd w:val="0"/>
                    <w:snapToGrid w:val="0"/>
                    <w:jc w:val="center"/>
                    <w:rPr>
                      <w:rFonts w:ascii="Times New Roman" w:hAnsi="Times New Roman" w:cs="Times New Roman"/>
                      <w:bCs/>
                      <w:szCs w:val="21"/>
                    </w:rPr>
                  </w:pPr>
                </w:p>
              </w:tc>
            </w:tr>
            <w:tr w14:paraId="66C02B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57" w:type="pct"/>
                  <w:vMerge w:val="continue"/>
                  <w:tcBorders>
                    <w:tl2br w:val="nil"/>
                    <w:tr2bl w:val="nil"/>
                  </w:tcBorders>
                  <w:vAlign w:val="center"/>
                </w:tcPr>
                <w:p w14:paraId="5DDD069E">
                  <w:pPr>
                    <w:autoSpaceDE w:val="0"/>
                    <w:autoSpaceDN w:val="0"/>
                    <w:adjustRightInd w:val="0"/>
                    <w:snapToGrid w:val="0"/>
                    <w:jc w:val="center"/>
                    <w:rPr>
                      <w:rFonts w:ascii="Times New Roman" w:hAnsi="Times New Roman" w:cs="Times New Roman"/>
                      <w:bCs/>
                      <w:szCs w:val="21"/>
                    </w:rPr>
                  </w:pPr>
                </w:p>
              </w:tc>
              <w:tc>
                <w:tcPr>
                  <w:tcW w:w="745" w:type="pct"/>
                  <w:vMerge w:val="continue"/>
                  <w:tcBorders>
                    <w:tl2br w:val="nil"/>
                    <w:tr2bl w:val="nil"/>
                  </w:tcBorders>
                  <w:vAlign w:val="center"/>
                </w:tcPr>
                <w:p w14:paraId="3DA92701">
                  <w:pPr>
                    <w:autoSpaceDE w:val="0"/>
                    <w:autoSpaceDN w:val="0"/>
                    <w:adjustRightInd w:val="0"/>
                    <w:snapToGrid w:val="0"/>
                    <w:jc w:val="center"/>
                    <w:rPr>
                      <w:rFonts w:ascii="Times New Roman" w:hAnsi="Times New Roman" w:cs="Times New Roman"/>
                      <w:bCs/>
                      <w:szCs w:val="21"/>
                    </w:rPr>
                  </w:pPr>
                </w:p>
              </w:tc>
              <w:tc>
                <w:tcPr>
                  <w:tcW w:w="754" w:type="pct"/>
                  <w:tcBorders>
                    <w:tl2br w:val="nil"/>
                    <w:tr2bl w:val="nil"/>
                  </w:tcBorders>
                  <w:shd w:val="clear" w:color="auto" w:fill="auto"/>
                  <w:vAlign w:val="center"/>
                </w:tcPr>
                <w:p w14:paraId="049B03F8">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废机油</w:t>
                  </w:r>
                </w:p>
              </w:tc>
              <w:tc>
                <w:tcPr>
                  <w:tcW w:w="880" w:type="pct"/>
                  <w:tcBorders>
                    <w:bottom w:val="single" w:color="auto" w:sz="4" w:space="0"/>
                    <w:tl2br w:val="nil"/>
                    <w:tr2bl w:val="nil"/>
                  </w:tcBorders>
                  <w:shd w:val="clear" w:color="auto" w:fill="auto"/>
                  <w:vAlign w:val="center"/>
                </w:tcPr>
                <w:p w14:paraId="70FD9B93">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0.02</w:t>
                  </w:r>
                </w:p>
              </w:tc>
              <w:tc>
                <w:tcPr>
                  <w:tcW w:w="920" w:type="pct"/>
                  <w:vMerge w:val="continue"/>
                  <w:tcBorders>
                    <w:tl2br w:val="nil"/>
                    <w:tr2bl w:val="nil"/>
                  </w:tcBorders>
                  <w:vAlign w:val="center"/>
                </w:tcPr>
                <w:p w14:paraId="7E1CB6ED">
                  <w:pPr>
                    <w:autoSpaceDE w:val="0"/>
                    <w:autoSpaceDN w:val="0"/>
                    <w:adjustRightInd w:val="0"/>
                    <w:snapToGrid w:val="0"/>
                    <w:jc w:val="center"/>
                    <w:rPr>
                      <w:rFonts w:ascii="Times New Roman" w:hAnsi="Times New Roman" w:cs="Times New Roman"/>
                      <w:bCs/>
                      <w:szCs w:val="21"/>
                    </w:rPr>
                  </w:pPr>
                </w:p>
              </w:tc>
              <w:tc>
                <w:tcPr>
                  <w:tcW w:w="1442" w:type="pct"/>
                  <w:vMerge w:val="continue"/>
                  <w:tcBorders>
                    <w:tl2br w:val="nil"/>
                    <w:tr2bl w:val="nil"/>
                  </w:tcBorders>
                  <w:vAlign w:val="center"/>
                </w:tcPr>
                <w:p w14:paraId="059C8EC9">
                  <w:pPr>
                    <w:autoSpaceDE w:val="0"/>
                    <w:autoSpaceDN w:val="0"/>
                    <w:adjustRightInd w:val="0"/>
                    <w:snapToGrid w:val="0"/>
                    <w:jc w:val="center"/>
                    <w:rPr>
                      <w:rFonts w:ascii="Times New Roman" w:hAnsi="Times New Roman" w:cs="Times New Roman"/>
                      <w:bCs/>
                      <w:szCs w:val="21"/>
                    </w:rPr>
                  </w:pPr>
                </w:p>
              </w:tc>
            </w:tr>
            <w:tr w14:paraId="07E54B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57" w:type="pct"/>
                  <w:vMerge w:val="continue"/>
                  <w:tcBorders>
                    <w:tl2br w:val="nil"/>
                    <w:tr2bl w:val="nil"/>
                  </w:tcBorders>
                  <w:vAlign w:val="center"/>
                </w:tcPr>
                <w:p w14:paraId="72B928F4">
                  <w:pPr>
                    <w:autoSpaceDE w:val="0"/>
                    <w:autoSpaceDN w:val="0"/>
                    <w:adjustRightInd w:val="0"/>
                    <w:snapToGrid w:val="0"/>
                    <w:jc w:val="center"/>
                    <w:rPr>
                      <w:rFonts w:ascii="Times New Roman" w:hAnsi="Times New Roman" w:cs="Times New Roman"/>
                      <w:bCs/>
                      <w:szCs w:val="21"/>
                    </w:rPr>
                  </w:pPr>
                </w:p>
              </w:tc>
              <w:tc>
                <w:tcPr>
                  <w:tcW w:w="745" w:type="pct"/>
                  <w:vMerge w:val="continue"/>
                  <w:tcBorders>
                    <w:tl2br w:val="nil"/>
                    <w:tr2bl w:val="nil"/>
                  </w:tcBorders>
                  <w:vAlign w:val="center"/>
                </w:tcPr>
                <w:p w14:paraId="264B6318">
                  <w:pPr>
                    <w:autoSpaceDE w:val="0"/>
                    <w:autoSpaceDN w:val="0"/>
                    <w:adjustRightInd w:val="0"/>
                    <w:snapToGrid w:val="0"/>
                    <w:jc w:val="center"/>
                    <w:rPr>
                      <w:rFonts w:ascii="Times New Roman" w:hAnsi="Times New Roman" w:cs="Times New Roman"/>
                      <w:bCs/>
                      <w:szCs w:val="21"/>
                    </w:rPr>
                  </w:pPr>
                </w:p>
              </w:tc>
              <w:tc>
                <w:tcPr>
                  <w:tcW w:w="754" w:type="pct"/>
                  <w:tcBorders>
                    <w:tl2br w:val="nil"/>
                    <w:tr2bl w:val="nil"/>
                  </w:tcBorders>
                  <w:shd w:val="clear" w:color="auto" w:fill="auto"/>
                  <w:vAlign w:val="center"/>
                </w:tcPr>
                <w:p w14:paraId="619AA35F">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废油桶</w:t>
                  </w:r>
                </w:p>
              </w:tc>
              <w:tc>
                <w:tcPr>
                  <w:tcW w:w="880" w:type="pct"/>
                  <w:tcBorders>
                    <w:tl2br w:val="nil"/>
                    <w:tr2bl w:val="nil"/>
                  </w:tcBorders>
                  <w:shd w:val="clear" w:color="auto" w:fill="auto"/>
                  <w:vAlign w:val="center"/>
                </w:tcPr>
                <w:p w14:paraId="01C4DDA2">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0.05</w:t>
                  </w:r>
                </w:p>
              </w:tc>
              <w:tc>
                <w:tcPr>
                  <w:tcW w:w="920" w:type="pct"/>
                  <w:vMerge w:val="continue"/>
                  <w:tcBorders>
                    <w:tl2br w:val="nil"/>
                    <w:tr2bl w:val="nil"/>
                  </w:tcBorders>
                  <w:vAlign w:val="center"/>
                </w:tcPr>
                <w:p w14:paraId="136894C0">
                  <w:pPr>
                    <w:autoSpaceDE w:val="0"/>
                    <w:autoSpaceDN w:val="0"/>
                    <w:adjustRightInd w:val="0"/>
                    <w:snapToGrid w:val="0"/>
                    <w:jc w:val="center"/>
                    <w:rPr>
                      <w:rFonts w:ascii="Times New Roman" w:hAnsi="Times New Roman" w:eastAsia="宋体" w:cs="Times New Roman"/>
                      <w:bCs/>
                      <w:szCs w:val="21"/>
                    </w:rPr>
                  </w:pPr>
                </w:p>
              </w:tc>
              <w:tc>
                <w:tcPr>
                  <w:tcW w:w="1442" w:type="pct"/>
                  <w:vMerge w:val="continue"/>
                  <w:tcBorders>
                    <w:tl2br w:val="nil"/>
                    <w:tr2bl w:val="nil"/>
                  </w:tcBorders>
                  <w:vAlign w:val="center"/>
                </w:tcPr>
                <w:p w14:paraId="68574FDC">
                  <w:pPr>
                    <w:autoSpaceDE w:val="0"/>
                    <w:autoSpaceDN w:val="0"/>
                    <w:adjustRightInd w:val="0"/>
                    <w:snapToGrid w:val="0"/>
                    <w:jc w:val="center"/>
                    <w:rPr>
                      <w:rFonts w:ascii="Times New Roman" w:hAnsi="Times New Roman" w:cs="Times New Roman"/>
                      <w:bCs/>
                      <w:szCs w:val="21"/>
                    </w:rPr>
                  </w:pPr>
                </w:p>
              </w:tc>
            </w:tr>
            <w:tr w14:paraId="4DB37E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57" w:type="pct"/>
                  <w:vMerge w:val="continue"/>
                  <w:tcBorders>
                    <w:tl2br w:val="nil"/>
                    <w:tr2bl w:val="nil"/>
                  </w:tcBorders>
                  <w:vAlign w:val="center"/>
                </w:tcPr>
                <w:p w14:paraId="4C4BE9BD">
                  <w:pPr>
                    <w:autoSpaceDE w:val="0"/>
                    <w:autoSpaceDN w:val="0"/>
                    <w:adjustRightInd w:val="0"/>
                    <w:snapToGrid w:val="0"/>
                    <w:jc w:val="center"/>
                    <w:rPr>
                      <w:rFonts w:ascii="Times New Roman" w:hAnsi="Times New Roman" w:cs="Times New Roman"/>
                      <w:bCs/>
                      <w:szCs w:val="21"/>
                    </w:rPr>
                  </w:pPr>
                  <w:bookmarkStart w:id="11" w:name="_Toc24866"/>
                  <w:bookmarkStart w:id="12" w:name="_Toc24358"/>
                  <w:bookmarkStart w:id="13" w:name="_Toc9421"/>
                  <w:bookmarkStart w:id="14" w:name="_Toc2166"/>
                  <w:bookmarkStart w:id="15" w:name="_Toc24994"/>
                  <w:bookmarkStart w:id="16" w:name="_Toc31169"/>
                </w:p>
              </w:tc>
              <w:tc>
                <w:tcPr>
                  <w:tcW w:w="745" w:type="pct"/>
                  <w:vMerge w:val="continue"/>
                  <w:tcBorders>
                    <w:tl2br w:val="nil"/>
                    <w:tr2bl w:val="nil"/>
                  </w:tcBorders>
                  <w:vAlign w:val="center"/>
                </w:tcPr>
                <w:p w14:paraId="35EF602D">
                  <w:pPr>
                    <w:autoSpaceDE w:val="0"/>
                    <w:autoSpaceDN w:val="0"/>
                    <w:adjustRightInd w:val="0"/>
                    <w:snapToGrid w:val="0"/>
                    <w:jc w:val="center"/>
                    <w:rPr>
                      <w:rFonts w:ascii="Times New Roman" w:hAnsi="Times New Roman" w:cs="Times New Roman"/>
                      <w:bCs/>
                      <w:szCs w:val="21"/>
                    </w:rPr>
                  </w:pPr>
                </w:p>
              </w:tc>
              <w:tc>
                <w:tcPr>
                  <w:tcW w:w="754" w:type="pct"/>
                  <w:tcBorders>
                    <w:tl2br w:val="nil"/>
                    <w:tr2bl w:val="nil"/>
                  </w:tcBorders>
                  <w:shd w:val="clear" w:color="auto" w:fill="auto"/>
                  <w:vAlign w:val="center"/>
                </w:tcPr>
                <w:p w14:paraId="2C9BDCE0">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废含油抹布手套</w:t>
                  </w:r>
                </w:p>
              </w:tc>
              <w:tc>
                <w:tcPr>
                  <w:tcW w:w="880" w:type="pct"/>
                  <w:tcBorders>
                    <w:tl2br w:val="nil"/>
                    <w:tr2bl w:val="nil"/>
                  </w:tcBorders>
                  <w:shd w:val="clear" w:color="auto" w:fill="auto"/>
                  <w:vAlign w:val="center"/>
                </w:tcPr>
                <w:p w14:paraId="378496E8">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0.01</w:t>
                  </w:r>
                </w:p>
              </w:tc>
              <w:tc>
                <w:tcPr>
                  <w:tcW w:w="920" w:type="pct"/>
                  <w:vMerge w:val="continue"/>
                  <w:tcBorders>
                    <w:tl2br w:val="nil"/>
                    <w:tr2bl w:val="nil"/>
                  </w:tcBorders>
                  <w:vAlign w:val="center"/>
                </w:tcPr>
                <w:p w14:paraId="4B8229D4">
                  <w:pPr>
                    <w:autoSpaceDE w:val="0"/>
                    <w:autoSpaceDN w:val="0"/>
                    <w:adjustRightInd w:val="0"/>
                    <w:snapToGrid w:val="0"/>
                    <w:jc w:val="center"/>
                    <w:rPr>
                      <w:rFonts w:ascii="Times New Roman" w:hAnsi="Times New Roman" w:cs="Times New Roman"/>
                      <w:bCs/>
                      <w:szCs w:val="21"/>
                    </w:rPr>
                  </w:pPr>
                </w:p>
              </w:tc>
              <w:tc>
                <w:tcPr>
                  <w:tcW w:w="1442" w:type="pct"/>
                  <w:vMerge w:val="continue"/>
                  <w:tcBorders>
                    <w:tl2br w:val="nil"/>
                    <w:tr2bl w:val="nil"/>
                  </w:tcBorders>
                  <w:vAlign w:val="center"/>
                </w:tcPr>
                <w:p w14:paraId="3FD68207">
                  <w:pPr>
                    <w:autoSpaceDE w:val="0"/>
                    <w:autoSpaceDN w:val="0"/>
                    <w:adjustRightInd w:val="0"/>
                    <w:snapToGrid w:val="0"/>
                    <w:jc w:val="center"/>
                    <w:rPr>
                      <w:rFonts w:ascii="Times New Roman" w:hAnsi="Times New Roman" w:cs="Times New Roman"/>
                      <w:bCs/>
                      <w:szCs w:val="21"/>
                    </w:rPr>
                  </w:pPr>
                </w:p>
              </w:tc>
            </w:tr>
            <w:tr w14:paraId="6A1984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57" w:type="pct"/>
                  <w:vMerge w:val="continue"/>
                  <w:tcBorders>
                    <w:tl2br w:val="nil"/>
                    <w:tr2bl w:val="nil"/>
                  </w:tcBorders>
                  <w:vAlign w:val="center"/>
                </w:tcPr>
                <w:p w14:paraId="5EA67475">
                  <w:pPr>
                    <w:autoSpaceDE w:val="0"/>
                    <w:autoSpaceDN w:val="0"/>
                    <w:adjustRightInd w:val="0"/>
                    <w:snapToGrid w:val="0"/>
                    <w:jc w:val="center"/>
                    <w:rPr>
                      <w:rFonts w:ascii="Times New Roman" w:hAnsi="Times New Roman" w:cs="Times New Roman"/>
                      <w:bCs/>
                      <w:szCs w:val="21"/>
                    </w:rPr>
                  </w:pPr>
                </w:p>
              </w:tc>
              <w:tc>
                <w:tcPr>
                  <w:tcW w:w="745" w:type="pct"/>
                  <w:vMerge w:val="continue"/>
                  <w:tcBorders>
                    <w:tl2br w:val="nil"/>
                    <w:tr2bl w:val="nil"/>
                  </w:tcBorders>
                  <w:vAlign w:val="center"/>
                </w:tcPr>
                <w:p w14:paraId="7D64211F">
                  <w:pPr>
                    <w:autoSpaceDE w:val="0"/>
                    <w:autoSpaceDN w:val="0"/>
                    <w:adjustRightInd w:val="0"/>
                    <w:snapToGrid w:val="0"/>
                    <w:jc w:val="center"/>
                    <w:rPr>
                      <w:rFonts w:ascii="Times New Roman" w:hAnsi="Times New Roman" w:cs="Times New Roman"/>
                      <w:bCs/>
                      <w:szCs w:val="21"/>
                    </w:rPr>
                  </w:pPr>
                </w:p>
              </w:tc>
              <w:tc>
                <w:tcPr>
                  <w:tcW w:w="754" w:type="pct"/>
                  <w:tcBorders>
                    <w:tl2br w:val="nil"/>
                    <w:tr2bl w:val="nil"/>
                  </w:tcBorders>
                  <w:shd w:val="clear" w:color="auto" w:fill="auto"/>
                  <w:vAlign w:val="center"/>
                </w:tcPr>
                <w:p w14:paraId="0B7ABA85">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污泥</w:t>
                  </w:r>
                </w:p>
              </w:tc>
              <w:tc>
                <w:tcPr>
                  <w:tcW w:w="880" w:type="pct"/>
                  <w:tcBorders>
                    <w:tl2br w:val="nil"/>
                    <w:tr2bl w:val="nil"/>
                  </w:tcBorders>
                  <w:shd w:val="clear" w:color="auto" w:fill="auto"/>
                  <w:vAlign w:val="center"/>
                </w:tcPr>
                <w:p w14:paraId="12AD0A90">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7.2</w:t>
                  </w:r>
                </w:p>
              </w:tc>
              <w:tc>
                <w:tcPr>
                  <w:tcW w:w="920" w:type="pct"/>
                  <w:vMerge w:val="continue"/>
                  <w:tcBorders>
                    <w:tl2br w:val="nil"/>
                    <w:tr2bl w:val="nil"/>
                  </w:tcBorders>
                  <w:vAlign w:val="center"/>
                </w:tcPr>
                <w:p w14:paraId="5E1CA0B6">
                  <w:pPr>
                    <w:autoSpaceDE w:val="0"/>
                    <w:autoSpaceDN w:val="0"/>
                    <w:adjustRightInd w:val="0"/>
                    <w:snapToGrid w:val="0"/>
                    <w:jc w:val="center"/>
                    <w:rPr>
                      <w:rFonts w:ascii="Times New Roman" w:hAnsi="Times New Roman" w:cs="Times New Roman"/>
                      <w:bCs/>
                      <w:szCs w:val="21"/>
                    </w:rPr>
                  </w:pPr>
                </w:p>
              </w:tc>
              <w:tc>
                <w:tcPr>
                  <w:tcW w:w="1442" w:type="pct"/>
                  <w:vMerge w:val="continue"/>
                  <w:tcBorders>
                    <w:tl2br w:val="nil"/>
                    <w:tr2bl w:val="nil"/>
                  </w:tcBorders>
                  <w:vAlign w:val="center"/>
                </w:tcPr>
                <w:p w14:paraId="5561FFF3">
                  <w:pPr>
                    <w:autoSpaceDE w:val="0"/>
                    <w:autoSpaceDN w:val="0"/>
                    <w:adjustRightInd w:val="0"/>
                    <w:snapToGrid w:val="0"/>
                    <w:jc w:val="center"/>
                    <w:rPr>
                      <w:rFonts w:ascii="Times New Roman" w:hAnsi="Times New Roman" w:cs="Times New Roman"/>
                      <w:bCs/>
                      <w:szCs w:val="21"/>
                    </w:rPr>
                  </w:pPr>
                </w:p>
              </w:tc>
            </w:tr>
            <w:tr w14:paraId="37BEFD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57" w:type="pct"/>
                  <w:vMerge w:val="continue"/>
                  <w:tcBorders>
                    <w:tl2br w:val="nil"/>
                    <w:tr2bl w:val="nil"/>
                  </w:tcBorders>
                  <w:vAlign w:val="center"/>
                </w:tcPr>
                <w:p w14:paraId="4F99C123">
                  <w:pPr>
                    <w:autoSpaceDE w:val="0"/>
                    <w:autoSpaceDN w:val="0"/>
                    <w:adjustRightInd w:val="0"/>
                    <w:snapToGrid w:val="0"/>
                    <w:jc w:val="center"/>
                    <w:rPr>
                      <w:rFonts w:ascii="Times New Roman" w:hAnsi="Times New Roman" w:cs="Times New Roman"/>
                      <w:bCs/>
                      <w:szCs w:val="21"/>
                    </w:rPr>
                  </w:pPr>
                </w:p>
              </w:tc>
              <w:tc>
                <w:tcPr>
                  <w:tcW w:w="745" w:type="pct"/>
                  <w:vMerge w:val="continue"/>
                  <w:tcBorders>
                    <w:tl2br w:val="nil"/>
                    <w:tr2bl w:val="nil"/>
                  </w:tcBorders>
                  <w:vAlign w:val="center"/>
                </w:tcPr>
                <w:p w14:paraId="1B0039F1">
                  <w:pPr>
                    <w:autoSpaceDE w:val="0"/>
                    <w:autoSpaceDN w:val="0"/>
                    <w:adjustRightInd w:val="0"/>
                    <w:snapToGrid w:val="0"/>
                    <w:jc w:val="center"/>
                    <w:rPr>
                      <w:rFonts w:ascii="Times New Roman" w:hAnsi="Times New Roman" w:cs="Times New Roman"/>
                      <w:bCs/>
                      <w:szCs w:val="21"/>
                    </w:rPr>
                  </w:pPr>
                </w:p>
              </w:tc>
              <w:tc>
                <w:tcPr>
                  <w:tcW w:w="754" w:type="pct"/>
                  <w:tcBorders>
                    <w:tl2br w:val="nil"/>
                    <w:tr2bl w:val="nil"/>
                  </w:tcBorders>
                  <w:shd w:val="clear" w:color="auto" w:fill="auto"/>
                  <w:vAlign w:val="center"/>
                </w:tcPr>
                <w:p w14:paraId="73FDB4DB">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废锌粉包装袋</w:t>
                  </w:r>
                </w:p>
              </w:tc>
              <w:tc>
                <w:tcPr>
                  <w:tcW w:w="880" w:type="pct"/>
                  <w:tcBorders>
                    <w:tl2br w:val="nil"/>
                    <w:tr2bl w:val="nil"/>
                  </w:tcBorders>
                  <w:shd w:val="clear" w:color="auto" w:fill="auto"/>
                  <w:vAlign w:val="center"/>
                </w:tcPr>
                <w:p w14:paraId="2430555D">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0.08</w:t>
                  </w:r>
                </w:p>
              </w:tc>
              <w:tc>
                <w:tcPr>
                  <w:tcW w:w="920" w:type="pct"/>
                  <w:vMerge w:val="continue"/>
                  <w:tcBorders>
                    <w:tl2br w:val="nil"/>
                    <w:tr2bl w:val="nil"/>
                  </w:tcBorders>
                  <w:vAlign w:val="center"/>
                </w:tcPr>
                <w:p w14:paraId="1684F27D">
                  <w:pPr>
                    <w:autoSpaceDE w:val="0"/>
                    <w:autoSpaceDN w:val="0"/>
                    <w:adjustRightInd w:val="0"/>
                    <w:snapToGrid w:val="0"/>
                    <w:jc w:val="center"/>
                    <w:rPr>
                      <w:rFonts w:ascii="Times New Roman" w:hAnsi="Times New Roman" w:cs="Times New Roman"/>
                      <w:bCs/>
                      <w:szCs w:val="21"/>
                    </w:rPr>
                  </w:pPr>
                </w:p>
              </w:tc>
              <w:tc>
                <w:tcPr>
                  <w:tcW w:w="1442" w:type="pct"/>
                  <w:vMerge w:val="continue"/>
                  <w:tcBorders>
                    <w:tl2br w:val="nil"/>
                    <w:tr2bl w:val="nil"/>
                  </w:tcBorders>
                  <w:vAlign w:val="center"/>
                </w:tcPr>
                <w:p w14:paraId="0CAE9658">
                  <w:pPr>
                    <w:autoSpaceDE w:val="0"/>
                    <w:autoSpaceDN w:val="0"/>
                    <w:adjustRightInd w:val="0"/>
                    <w:snapToGrid w:val="0"/>
                    <w:jc w:val="center"/>
                    <w:rPr>
                      <w:rFonts w:ascii="Times New Roman" w:hAnsi="Times New Roman" w:cs="Times New Roman"/>
                      <w:bCs/>
                      <w:szCs w:val="21"/>
                    </w:rPr>
                  </w:pPr>
                </w:p>
              </w:tc>
            </w:tr>
            <w:tr w14:paraId="4DEFBE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57" w:type="pct"/>
                  <w:vMerge w:val="continue"/>
                  <w:tcBorders>
                    <w:tl2br w:val="nil"/>
                    <w:tr2bl w:val="nil"/>
                  </w:tcBorders>
                  <w:vAlign w:val="center"/>
                </w:tcPr>
                <w:p w14:paraId="49660424">
                  <w:pPr>
                    <w:autoSpaceDE w:val="0"/>
                    <w:autoSpaceDN w:val="0"/>
                    <w:adjustRightInd w:val="0"/>
                    <w:snapToGrid w:val="0"/>
                    <w:jc w:val="center"/>
                    <w:rPr>
                      <w:rFonts w:ascii="Times New Roman" w:hAnsi="Times New Roman" w:cs="Times New Roman"/>
                      <w:bCs/>
                      <w:szCs w:val="21"/>
                    </w:rPr>
                  </w:pPr>
                </w:p>
              </w:tc>
              <w:tc>
                <w:tcPr>
                  <w:tcW w:w="745" w:type="pct"/>
                  <w:vMerge w:val="continue"/>
                  <w:tcBorders>
                    <w:tl2br w:val="nil"/>
                    <w:tr2bl w:val="nil"/>
                  </w:tcBorders>
                  <w:vAlign w:val="center"/>
                </w:tcPr>
                <w:p w14:paraId="218E5955">
                  <w:pPr>
                    <w:autoSpaceDE w:val="0"/>
                    <w:autoSpaceDN w:val="0"/>
                    <w:adjustRightInd w:val="0"/>
                    <w:snapToGrid w:val="0"/>
                    <w:jc w:val="center"/>
                    <w:rPr>
                      <w:rFonts w:ascii="Times New Roman" w:hAnsi="Times New Roman" w:cs="Times New Roman"/>
                      <w:bCs/>
                      <w:szCs w:val="21"/>
                    </w:rPr>
                  </w:pPr>
                </w:p>
              </w:tc>
              <w:tc>
                <w:tcPr>
                  <w:tcW w:w="754" w:type="pct"/>
                  <w:tcBorders>
                    <w:tl2br w:val="nil"/>
                    <w:tr2bl w:val="nil"/>
                  </w:tcBorders>
                  <w:shd w:val="clear" w:color="auto" w:fill="auto"/>
                  <w:vAlign w:val="center"/>
                </w:tcPr>
                <w:p w14:paraId="17011E05">
                  <w:pPr>
                    <w:pStyle w:val="11"/>
                    <w:adjustRightInd w:val="0"/>
                    <w:snapToGrid w:val="0"/>
                    <w:spacing w:before="0" w:line="240" w:lineRule="auto"/>
                    <w:ind w:firstLine="0" w:firstLineChars="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rPr>
                    <w:t>废水性漆桶</w:t>
                  </w:r>
                </w:p>
              </w:tc>
              <w:tc>
                <w:tcPr>
                  <w:tcW w:w="880" w:type="pct"/>
                  <w:tcBorders>
                    <w:tl2br w:val="nil"/>
                    <w:tr2bl w:val="nil"/>
                  </w:tcBorders>
                  <w:shd w:val="clear" w:color="auto" w:fill="auto"/>
                  <w:vAlign w:val="center"/>
                </w:tcPr>
                <w:p w14:paraId="34413981">
                  <w:pPr>
                    <w:pStyle w:val="11"/>
                    <w:adjustRightInd w:val="0"/>
                    <w:snapToGrid w:val="0"/>
                    <w:spacing w:before="0" w:line="240" w:lineRule="auto"/>
                    <w:ind w:firstLine="0" w:firstLineChars="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rPr>
                    <w:t>0.3</w:t>
                  </w:r>
                </w:p>
              </w:tc>
              <w:tc>
                <w:tcPr>
                  <w:tcW w:w="920" w:type="pct"/>
                  <w:vMerge w:val="continue"/>
                  <w:tcBorders>
                    <w:tl2br w:val="nil"/>
                    <w:tr2bl w:val="nil"/>
                  </w:tcBorders>
                  <w:vAlign w:val="center"/>
                </w:tcPr>
                <w:p w14:paraId="39D32D3C">
                  <w:pPr>
                    <w:autoSpaceDE w:val="0"/>
                    <w:autoSpaceDN w:val="0"/>
                    <w:adjustRightInd w:val="0"/>
                    <w:snapToGrid w:val="0"/>
                    <w:jc w:val="center"/>
                    <w:rPr>
                      <w:rFonts w:ascii="Times New Roman" w:hAnsi="Times New Roman" w:cs="Times New Roman"/>
                      <w:bCs/>
                      <w:szCs w:val="21"/>
                    </w:rPr>
                  </w:pPr>
                </w:p>
              </w:tc>
              <w:tc>
                <w:tcPr>
                  <w:tcW w:w="1442" w:type="pct"/>
                  <w:vMerge w:val="continue"/>
                  <w:tcBorders>
                    <w:tl2br w:val="nil"/>
                    <w:tr2bl w:val="nil"/>
                  </w:tcBorders>
                  <w:vAlign w:val="center"/>
                </w:tcPr>
                <w:p w14:paraId="0CF5AD63">
                  <w:pPr>
                    <w:autoSpaceDE w:val="0"/>
                    <w:autoSpaceDN w:val="0"/>
                    <w:adjustRightInd w:val="0"/>
                    <w:snapToGrid w:val="0"/>
                    <w:jc w:val="center"/>
                    <w:rPr>
                      <w:rFonts w:ascii="Times New Roman" w:hAnsi="Times New Roman" w:cs="Times New Roman"/>
                      <w:bCs/>
                      <w:szCs w:val="21"/>
                    </w:rPr>
                  </w:pPr>
                </w:p>
              </w:tc>
            </w:tr>
            <w:tr w14:paraId="262DA2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57" w:type="pct"/>
                  <w:vMerge w:val="continue"/>
                  <w:tcBorders>
                    <w:tl2br w:val="nil"/>
                    <w:tr2bl w:val="nil"/>
                  </w:tcBorders>
                  <w:vAlign w:val="center"/>
                </w:tcPr>
                <w:p w14:paraId="7FE0505E">
                  <w:pPr>
                    <w:autoSpaceDE w:val="0"/>
                    <w:autoSpaceDN w:val="0"/>
                    <w:adjustRightInd w:val="0"/>
                    <w:snapToGrid w:val="0"/>
                    <w:jc w:val="center"/>
                    <w:rPr>
                      <w:rFonts w:ascii="Times New Roman" w:hAnsi="Times New Roman" w:cs="Times New Roman"/>
                      <w:bCs/>
                      <w:szCs w:val="21"/>
                    </w:rPr>
                  </w:pPr>
                </w:p>
              </w:tc>
              <w:tc>
                <w:tcPr>
                  <w:tcW w:w="745" w:type="pct"/>
                  <w:vMerge w:val="continue"/>
                  <w:tcBorders>
                    <w:tl2br w:val="nil"/>
                    <w:tr2bl w:val="nil"/>
                  </w:tcBorders>
                  <w:vAlign w:val="center"/>
                </w:tcPr>
                <w:p w14:paraId="2DA3B090">
                  <w:pPr>
                    <w:autoSpaceDE w:val="0"/>
                    <w:autoSpaceDN w:val="0"/>
                    <w:adjustRightInd w:val="0"/>
                    <w:snapToGrid w:val="0"/>
                    <w:jc w:val="center"/>
                    <w:rPr>
                      <w:rFonts w:ascii="Times New Roman" w:hAnsi="Times New Roman" w:cs="Times New Roman"/>
                      <w:bCs/>
                      <w:szCs w:val="21"/>
                    </w:rPr>
                  </w:pPr>
                </w:p>
              </w:tc>
              <w:tc>
                <w:tcPr>
                  <w:tcW w:w="754" w:type="pct"/>
                  <w:tcBorders>
                    <w:tl2br w:val="nil"/>
                    <w:tr2bl w:val="nil"/>
                  </w:tcBorders>
                  <w:shd w:val="clear" w:color="auto" w:fill="auto"/>
                  <w:vAlign w:val="center"/>
                </w:tcPr>
                <w:p w14:paraId="3511B47C">
                  <w:pPr>
                    <w:pStyle w:val="11"/>
                    <w:adjustRightInd w:val="0"/>
                    <w:snapToGrid w:val="0"/>
                    <w:spacing w:before="0" w:line="240" w:lineRule="auto"/>
                    <w:ind w:firstLine="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漆渣</w:t>
                  </w:r>
                </w:p>
              </w:tc>
              <w:tc>
                <w:tcPr>
                  <w:tcW w:w="880" w:type="pct"/>
                  <w:tcBorders>
                    <w:tl2br w:val="nil"/>
                    <w:tr2bl w:val="nil"/>
                  </w:tcBorders>
                  <w:shd w:val="clear" w:color="auto" w:fill="auto"/>
                  <w:vAlign w:val="center"/>
                </w:tcPr>
                <w:p w14:paraId="78688280">
                  <w:pPr>
                    <w:pStyle w:val="11"/>
                    <w:adjustRightInd w:val="0"/>
                    <w:snapToGrid w:val="0"/>
                    <w:spacing w:before="0" w:line="240" w:lineRule="auto"/>
                    <w:ind w:firstLine="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0.367</w:t>
                  </w:r>
                </w:p>
              </w:tc>
              <w:tc>
                <w:tcPr>
                  <w:tcW w:w="920" w:type="pct"/>
                  <w:vMerge w:val="continue"/>
                  <w:tcBorders>
                    <w:bottom w:val="single" w:color="auto" w:sz="4" w:space="0"/>
                    <w:tl2br w:val="nil"/>
                    <w:tr2bl w:val="nil"/>
                  </w:tcBorders>
                  <w:vAlign w:val="center"/>
                </w:tcPr>
                <w:p w14:paraId="7CDF8F0E">
                  <w:pPr>
                    <w:autoSpaceDE w:val="0"/>
                    <w:autoSpaceDN w:val="0"/>
                    <w:adjustRightInd w:val="0"/>
                    <w:snapToGrid w:val="0"/>
                    <w:jc w:val="center"/>
                    <w:rPr>
                      <w:rFonts w:ascii="Times New Roman" w:hAnsi="Times New Roman" w:cs="Times New Roman"/>
                      <w:bCs/>
                      <w:szCs w:val="21"/>
                    </w:rPr>
                  </w:pPr>
                </w:p>
              </w:tc>
              <w:tc>
                <w:tcPr>
                  <w:tcW w:w="1442" w:type="pct"/>
                  <w:vMerge w:val="continue"/>
                  <w:tcBorders>
                    <w:bottom w:val="single" w:color="auto" w:sz="4" w:space="0"/>
                    <w:tl2br w:val="nil"/>
                    <w:tr2bl w:val="nil"/>
                  </w:tcBorders>
                  <w:vAlign w:val="center"/>
                </w:tcPr>
                <w:p w14:paraId="1508F0DA">
                  <w:pPr>
                    <w:autoSpaceDE w:val="0"/>
                    <w:autoSpaceDN w:val="0"/>
                    <w:adjustRightInd w:val="0"/>
                    <w:snapToGrid w:val="0"/>
                    <w:jc w:val="center"/>
                    <w:rPr>
                      <w:rFonts w:ascii="Times New Roman" w:hAnsi="Times New Roman" w:cs="Times New Roman"/>
                      <w:bCs/>
                      <w:szCs w:val="21"/>
                    </w:rPr>
                  </w:pPr>
                </w:p>
              </w:tc>
            </w:tr>
            <w:tr w14:paraId="36C5E5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57" w:type="pct"/>
                  <w:vMerge w:val="continue"/>
                  <w:tcBorders>
                    <w:tl2br w:val="nil"/>
                    <w:tr2bl w:val="nil"/>
                  </w:tcBorders>
                  <w:vAlign w:val="center"/>
                </w:tcPr>
                <w:p w14:paraId="115361DF">
                  <w:pPr>
                    <w:autoSpaceDE w:val="0"/>
                    <w:autoSpaceDN w:val="0"/>
                    <w:adjustRightInd w:val="0"/>
                    <w:snapToGrid w:val="0"/>
                    <w:jc w:val="center"/>
                    <w:rPr>
                      <w:rFonts w:ascii="Times New Roman" w:hAnsi="Times New Roman" w:cs="Times New Roman"/>
                      <w:bCs/>
                      <w:szCs w:val="21"/>
                    </w:rPr>
                  </w:pPr>
                </w:p>
              </w:tc>
              <w:tc>
                <w:tcPr>
                  <w:tcW w:w="745" w:type="pct"/>
                  <w:vMerge w:val="continue"/>
                  <w:tcBorders>
                    <w:tl2br w:val="nil"/>
                    <w:tr2bl w:val="nil"/>
                  </w:tcBorders>
                  <w:vAlign w:val="center"/>
                </w:tcPr>
                <w:p w14:paraId="736EDFF8">
                  <w:pPr>
                    <w:autoSpaceDE w:val="0"/>
                    <w:autoSpaceDN w:val="0"/>
                    <w:adjustRightInd w:val="0"/>
                    <w:snapToGrid w:val="0"/>
                    <w:jc w:val="center"/>
                    <w:rPr>
                      <w:rFonts w:ascii="Times New Roman" w:hAnsi="Times New Roman" w:cs="Times New Roman"/>
                      <w:bCs/>
                      <w:szCs w:val="21"/>
                    </w:rPr>
                  </w:pPr>
                </w:p>
              </w:tc>
              <w:tc>
                <w:tcPr>
                  <w:tcW w:w="754" w:type="pct"/>
                  <w:tcBorders>
                    <w:tl2br w:val="nil"/>
                    <w:tr2bl w:val="nil"/>
                  </w:tcBorders>
                  <w:shd w:val="clear" w:color="auto" w:fill="auto"/>
                  <w:vAlign w:val="center"/>
                </w:tcPr>
                <w:p w14:paraId="46FA0C16">
                  <w:pPr>
                    <w:pStyle w:val="11"/>
                    <w:adjustRightInd w:val="0"/>
                    <w:snapToGrid w:val="0"/>
                    <w:spacing w:before="0" w:line="240" w:lineRule="auto"/>
                    <w:ind w:firstLine="0"/>
                    <w:jc w:val="center"/>
                    <w:rPr>
                      <w:rFonts w:ascii="Times New Roman" w:hAnsi="Times New Roman" w:cs="Times New Roman"/>
                      <w:bCs/>
                      <w:sz w:val="21"/>
                      <w:szCs w:val="21"/>
                    </w:rPr>
                  </w:pPr>
                  <w:r>
                    <w:rPr>
                      <w:rFonts w:ascii="Times New Roman" w:hAnsi="Times New Roman" w:cs="Times New Roman"/>
                      <w:sz w:val="21"/>
                      <w:szCs w:val="21"/>
                    </w:rPr>
                    <w:t>生活垃圾</w:t>
                  </w:r>
                </w:p>
              </w:tc>
              <w:tc>
                <w:tcPr>
                  <w:tcW w:w="880" w:type="pct"/>
                  <w:tcBorders>
                    <w:tl2br w:val="nil"/>
                    <w:tr2bl w:val="nil"/>
                  </w:tcBorders>
                  <w:shd w:val="clear" w:color="auto" w:fill="auto"/>
                  <w:vAlign w:val="center"/>
                </w:tcPr>
                <w:p w14:paraId="79A3884C">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4.5</w:t>
                  </w:r>
                </w:p>
              </w:tc>
              <w:tc>
                <w:tcPr>
                  <w:tcW w:w="920" w:type="pct"/>
                  <w:tcBorders>
                    <w:top w:val="single" w:color="auto" w:sz="4" w:space="0"/>
                    <w:bottom w:val="single" w:color="auto" w:sz="4" w:space="0"/>
                    <w:tl2br w:val="nil"/>
                    <w:tr2bl w:val="nil"/>
                  </w:tcBorders>
                  <w:shd w:val="clear" w:color="auto" w:fill="auto"/>
                  <w:vAlign w:val="center"/>
                </w:tcPr>
                <w:p w14:paraId="122F01C2">
                  <w:pPr>
                    <w:autoSpaceDE w:val="0"/>
                    <w:autoSpaceDN w:val="0"/>
                    <w:adjustRightInd w:val="0"/>
                    <w:snapToGrid w:val="0"/>
                    <w:jc w:val="center"/>
                    <w:rPr>
                      <w:rFonts w:ascii="Times New Roman" w:hAnsi="Times New Roman" w:cs="Times New Roman"/>
                      <w:bCs/>
                      <w:szCs w:val="21"/>
                    </w:rPr>
                  </w:pPr>
                  <w:r>
                    <w:rPr>
                      <w:rFonts w:ascii="Times New Roman" w:hAnsi="Times New Roman" w:cs="Times New Roman"/>
                      <w:szCs w:val="21"/>
                    </w:rPr>
                    <w:t>垃圾桶</w:t>
                  </w:r>
                </w:p>
              </w:tc>
              <w:tc>
                <w:tcPr>
                  <w:tcW w:w="1442" w:type="pct"/>
                  <w:tcBorders>
                    <w:top w:val="single" w:color="auto" w:sz="4" w:space="0"/>
                    <w:bottom w:val="single" w:color="auto" w:sz="4" w:space="0"/>
                    <w:tl2br w:val="nil"/>
                    <w:tr2bl w:val="nil"/>
                  </w:tcBorders>
                  <w:shd w:val="clear" w:color="auto" w:fill="auto"/>
                  <w:vAlign w:val="center"/>
                </w:tcPr>
                <w:p w14:paraId="063275D8">
                  <w:pPr>
                    <w:autoSpaceDE w:val="0"/>
                    <w:autoSpaceDN w:val="0"/>
                    <w:adjustRightInd w:val="0"/>
                    <w:snapToGrid w:val="0"/>
                    <w:jc w:val="center"/>
                    <w:rPr>
                      <w:rFonts w:ascii="Times New Roman" w:hAnsi="Times New Roman" w:cs="Times New Roman"/>
                      <w:bCs/>
                      <w:szCs w:val="21"/>
                    </w:rPr>
                  </w:pPr>
                  <w:r>
                    <w:rPr>
                      <w:rFonts w:ascii="Times New Roman" w:hAnsi="Times New Roman" w:cs="Times New Roman"/>
                      <w:bCs/>
                      <w:szCs w:val="21"/>
                    </w:rPr>
                    <w:t>环卫部门处置</w:t>
                  </w:r>
                </w:p>
                <w:p w14:paraId="5545B1DD">
                  <w:pPr>
                    <w:autoSpaceDE w:val="0"/>
                    <w:autoSpaceDN w:val="0"/>
                    <w:adjustRightInd w:val="0"/>
                    <w:snapToGrid w:val="0"/>
                    <w:jc w:val="center"/>
                    <w:rPr>
                      <w:rFonts w:ascii="Times New Roman" w:hAnsi="Times New Roman" w:cs="Times New Roman"/>
                      <w:bCs/>
                      <w:szCs w:val="21"/>
                    </w:rPr>
                  </w:pPr>
                  <w:r>
                    <w:rPr>
                      <w:rFonts w:ascii="Times New Roman" w:hAnsi="Times New Roman" w:cs="Times New Roman"/>
                      <w:bCs/>
                      <w:szCs w:val="21"/>
                    </w:rPr>
                    <w:t>处置率100%</w:t>
                  </w:r>
                </w:p>
              </w:tc>
            </w:tr>
          </w:tbl>
          <w:p w14:paraId="7425824F">
            <w:pPr>
              <w:adjustRightInd w:val="0"/>
              <w:snapToGrid w:val="0"/>
              <w:spacing w:line="360" w:lineRule="auto"/>
              <w:ind w:firstLine="480" w:firstLineChars="200"/>
              <w:rPr>
                <w:rFonts w:ascii="Times New Roman" w:hAnsi="Times New Roman" w:cs="Times New Roman"/>
                <w:snapToGrid w:val="0"/>
                <w:kern w:val="0"/>
                <w:sz w:val="24"/>
              </w:rPr>
            </w:pPr>
            <w:r>
              <w:rPr>
                <w:rFonts w:hint="eastAsia" w:ascii="Times New Roman" w:hAnsi="Times New Roman" w:cs="Times New Roman"/>
                <w:snapToGrid w:val="0"/>
                <w:kern w:val="0"/>
                <w:sz w:val="24"/>
              </w:rPr>
              <w:t>3.</w:t>
            </w:r>
            <w:r>
              <w:rPr>
                <w:rFonts w:ascii="Times New Roman" w:hAnsi="Times New Roman" w:cs="Times New Roman"/>
                <w:snapToGrid w:val="0"/>
                <w:kern w:val="0"/>
                <w:sz w:val="24"/>
              </w:rPr>
              <w:t>存在环境问题及整改措施</w:t>
            </w:r>
            <w:bookmarkEnd w:id="11"/>
            <w:bookmarkEnd w:id="12"/>
            <w:bookmarkEnd w:id="13"/>
            <w:bookmarkEnd w:id="14"/>
            <w:bookmarkEnd w:id="15"/>
            <w:bookmarkEnd w:id="16"/>
          </w:p>
          <w:p w14:paraId="069C4DA5">
            <w:pPr>
              <w:adjustRightInd w:val="0"/>
              <w:snapToGrid w:val="0"/>
              <w:spacing w:line="360" w:lineRule="auto"/>
              <w:ind w:firstLine="480" w:firstLineChars="200"/>
              <w:rPr>
                <w:rFonts w:ascii="Times New Roman" w:hAnsi="Times New Roman" w:cs="Times New Roman"/>
                <w:snapToGrid w:val="0"/>
                <w:color w:val="auto"/>
                <w:kern w:val="0"/>
                <w:sz w:val="24"/>
              </w:rPr>
            </w:pPr>
            <w:bookmarkStart w:id="17" w:name="_bookmark52"/>
            <w:bookmarkEnd w:id="17"/>
            <w:r>
              <w:rPr>
                <w:rFonts w:ascii="Times New Roman" w:hAnsi="Times New Roman" w:cs="Times New Roman"/>
                <w:snapToGrid w:val="0"/>
                <w:color w:val="auto"/>
                <w:kern w:val="0"/>
                <w:sz w:val="24"/>
              </w:rPr>
              <w:t>在建工程目前正在建设施工中，建设过程中未收到相关环保方面的投诉</w:t>
            </w:r>
            <w:r>
              <w:rPr>
                <w:rFonts w:hint="eastAsia" w:ascii="Times New Roman" w:hAnsi="Times New Roman" w:cs="Times New Roman"/>
                <w:snapToGrid w:val="0"/>
                <w:color w:val="auto"/>
                <w:kern w:val="0"/>
                <w:sz w:val="24"/>
              </w:rPr>
              <w:t>。项目建设和运营管理中应重点做好以下工作：</w:t>
            </w:r>
          </w:p>
          <w:p w14:paraId="0EF15DFB">
            <w:pPr>
              <w:adjustRightInd w:val="0"/>
              <w:snapToGrid w:val="0"/>
              <w:spacing w:line="360" w:lineRule="auto"/>
              <w:ind w:firstLine="480" w:firstLineChars="200"/>
              <w:rPr>
                <w:rFonts w:ascii="Times New Roman" w:hAnsi="Times New Roman" w:cs="Times New Roman"/>
                <w:snapToGrid w:val="0"/>
                <w:color w:val="auto"/>
                <w:kern w:val="0"/>
                <w:sz w:val="24"/>
              </w:rPr>
            </w:pPr>
            <w:r>
              <w:rPr>
                <w:rFonts w:hint="eastAsia" w:ascii="Times New Roman" w:hAnsi="Times New Roman" w:cs="Times New Roman"/>
                <w:snapToGrid w:val="0"/>
                <w:color w:val="auto"/>
                <w:kern w:val="0"/>
                <w:sz w:val="24"/>
              </w:rPr>
              <w:t>认真贯彻“预防为主、保护优先”原则，在设计、建设和运行中，坚持循环经济、清洁生产、绿色有序发展理念，进一步优化工艺路线和设计方案，选用先进装备和原材料，强化各装置节能降耗措施，进一步减少污染物的产生量和排放量。</w:t>
            </w:r>
          </w:p>
          <w:p w14:paraId="5E4CB65F">
            <w:pPr>
              <w:adjustRightInd w:val="0"/>
              <w:snapToGrid w:val="0"/>
              <w:spacing w:line="360" w:lineRule="auto"/>
              <w:ind w:firstLine="480" w:firstLineChars="200"/>
              <w:rPr>
                <w:rFonts w:hint="eastAsia" w:ascii="Times New Roman" w:hAnsi="Times New Roman" w:cs="Times New Roman"/>
                <w:snapToGrid w:val="0"/>
                <w:color w:val="auto"/>
                <w:kern w:val="0"/>
                <w:sz w:val="24"/>
              </w:rPr>
            </w:pPr>
            <w:r>
              <w:rPr>
                <w:rFonts w:hint="eastAsia" w:ascii="Times New Roman" w:hAnsi="Times New Roman" w:cs="Times New Roman"/>
                <w:snapToGrid w:val="0"/>
                <w:color w:val="auto"/>
                <w:kern w:val="0"/>
                <w:sz w:val="24"/>
              </w:rPr>
              <w:t>严格落实大气污染防治措施；严格落实水污染防治措施；严格落实隔声降噪措施；按照“减量化、资源化、无害化”原则，分类收集、妥善处理和处置固体废物。健全企业内部环境监测管理制度。</w:t>
            </w:r>
          </w:p>
          <w:p w14:paraId="231F000F">
            <w:pPr>
              <w:adjustRightInd w:val="0"/>
              <w:snapToGrid w:val="0"/>
              <w:spacing w:line="360" w:lineRule="auto"/>
              <w:ind w:firstLine="480" w:firstLineChars="200"/>
              <w:rPr>
                <w:rFonts w:ascii="Times New Roman" w:hAnsi="Times New Roman" w:cs="Times New Roman"/>
                <w:snapToGrid w:val="0"/>
                <w:color w:val="auto"/>
                <w:kern w:val="0"/>
                <w:sz w:val="24"/>
              </w:rPr>
            </w:pPr>
            <w:r>
              <w:rPr>
                <w:rFonts w:hint="eastAsia" w:ascii="Times New Roman" w:hAnsi="Times New Roman" w:cs="Times New Roman"/>
                <w:snapToGrid w:val="0"/>
                <w:color w:val="auto"/>
                <w:kern w:val="0"/>
                <w:sz w:val="24"/>
              </w:rPr>
              <w:t>项目建设应严格执行环境保护设施与主体工程同时设计、同时施工、同时投产使用的环境保护“三同时”制度。项目建成后，须按规定程序实施竣工环境保护验收。</w:t>
            </w:r>
          </w:p>
          <w:p w14:paraId="471252CB">
            <w:pPr>
              <w:adjustRightInd w:val="0"/>
              <w:snapToGrid w:val="0"/>
              <w:spacing w:line="360" w:lineRule="auto"/>
              <w:ind w:firstLine="480" w:firstLineChars="200"/>
              <w:rPr>
                <w:rFonts w:ascii="Times New Roman" w:hAnsi="Times New Roman" w:cs="Times New Roman"/>
                <w:snapToGrid w:val="0"/>
                <w:color w:val="auto"/>
                <w:kern w:val="0"/>
                <w:sz w:val="24"/>
              </w:rPr>
            </w:pPr>
            <w:r>
              <w:rPr>
                <w:rFonts w:ascii="Times New Roman" w:hAnsi="Times New Roman" w:cs="Times New Roman"/>
                <w:snapToGrid w:val="0"/>
                <w:color w:val="auto"/>
                <w:kern w:val="0"/>
                <w:sz w:val="24"/>
              </w:rPr>
              <w:t>因此，不存在环境问题</w:t>
            </w:r>
            <w:r>
              <w:rPr>
                <w:rFonts w:hint="eastAsia" w:ascii="Times New Roman" w:hAnsi="Times New Roman" w:cs="Times New Roman"/>
                <w:snapToGrid w:val="0"/>
                <w:color w:val="auto"/>
                <w:kern w:val="0"/>
                <w:sz w:val="24"/>
              </w:rPr>
              <w:t>。</w:t>
            </w:r>
          </w:p>
          <w:p w14:paraId="363A0BB1">
            <w:pPr>
              <w:adjustRightInd w:val="0"/>
              <w:snapToGrid w:val="0"/>
              <w:spacing w:line="360" w:lineRule="auto"/>
              <w:ind w:firstLine="480" w:firstLineChars="200"/>
              <w:rPr>
                <w:rFonts w:ascii="Times New Roman" w:hAnsi="Times New Roman" w:cs="Times New Roman"/>
                <w:snapToGrid w:val="0"/>
                <w:kern w:val="0"/>
                <w:sz w:val="24"/>
              </w:rPr>
            </w:pPr>
          </w:p>
          <w:p w14:paraId="66D6D944">
            <w:pPr>
              <w:rPr>
                <w:rFonts w:ascii="Times New Roman" w:hAnsi="Times New Roman" w:cs="Times New Roman"/>
                <w:snapToGrid w:val="0"/>
                <w:kern w:val="0"/>
                <w:szCs w:val="21"/>
              </w:rPr>
            </w:pPr>
          </w:p>
          <w:p w14:paraId="438B8470">
            <w:pPr>
              <w:pStyle w:val="2"/>
              <w:ind w:left="840" w:hanging="420"/>
              <w:rPr>
                <w:rFonts w:ascii="Times New Roman" w:hAnsi="Times New Roman" w:cs="Times New Roman"/>
                <w:snapToGrid w:val="0"/>
                <w:kern w:val="0"/>
                <w:szCs w:val="21"/>
              </w:rPr>
            </w:pPr>
          </w:p>
          <w:p w14:paraId="7508256A">
            <w:pPr>
              <w:rPr>
                <w:rFonts w:ascii="Times New Roman" w:hAnsi="Times New Roman" w:cs="Times New Roman"/>
                <w:snapToGrid w:val="0"/>
                <w:kern w:val="0"/>
                <w:szCs w:val="21"/>
              </w:rPr>
            </w:pPr>
          </w:p>
          <w:p w14:paraId="14CDCD63">
            <w:pPr>
              <w:pStyle w:val="2"/>
              <w:ind w:left="840" w:hanging="420"/>
              <w:rPr>
                <w:rFonts w:ascii="Times New Roman" w:hAnsi="Times New Roman" w:cs="Times New Roman"/>
                <w:snapToGrid w:val="0"/>
                <w:kern w:val="0"/>
                <w:szCs w:val="21"/>
              </w:rPr>
            </w:pPr>
          </w:p>
          <w:p w14:paraId="71A1FDDA">
            <w:pPr>
              <w:rPr>
                <w:rFonts w:ascii="Times New Roman" w:hAnsi="Times New Roman" w:cs="Times New Roman"/>
                <w:snapToGrid w:val="0"/>
                <w:kern w:val="0"/>
                <w:szCs w:val="21"/>
              </w:rPr>
            </w:pPr>
          </w:p>
          <w:p w14:paraId="2D920790">
            <w:pPr>
              <w:pStyle w:val="2"/>
              <w:ind w:left="840" w:hanging="420"/>
              <w:rPr>
                <w:rFonts w:ascii="Times New Roman" w:hAnsi="Times New Roman" w:cs="Times New Roman"/>
                <w:snapToGrid w:val="0"/>
                <w:kern w:val="0"/>
                <w:szCs w:val="21"/>
              </w:rPr>
            </w:pPr>
          </w:p>
          <w:p w14:paraId="7D338014">
            <w:pPr>
              <w:rPr>
                <w:rFonts w:ascii="Times New Roman" w:hAnsi="Times New Roman" w:cs="Times New Roman"/>
                <w:snapToGrid w:val="0"/>
                <w:kern w:val="0"/>
                <w:szCs w:val="21"/>
              </w:rPr>
            </w:pPr>
          </w:p>
          <w:p w14:paraId="4CFEB209"/>
        </w:tc>
      </w:tr>
    </w:tbl>
    <w:p w14:paraId="0031A439">
      <w:pPr>
        <w:rPr>
          <w:rFonts w:ascii="Times New Roman" w:hAnsi="Times New Roman" w:eastAsia="黑体" w:cs="Times New Roman"/>
          <w:snapToGrid w:val="0"/>
          <w:sz w:val="36"/>
          <w:szCs w:val="36"/>
          <w:lang w:bidi="ar"/>
        </w:rPr>
        <w:sectPr>
          <w:pgSz w:w="11906" w:h="16838"/>
          <w:pgMar w:top="1417" w:right="1417" w:bottom="1417" w:left="1417" w:header="1134" w:footer="850" w:gutter="0"/>
          <w:cols w:space="425" w:num="1"/>
          <w:docGrid w:type="lines" w:linePitch="312" w:charSpace="0"/>
        </w:sectPr>
      </w:pPr>
    </w:p>
    <w:p w14:paraId="367F7BA0">
      <w:pPr>
        <w:pStyle w:val="21"/>
        <w:adjustRightInd w:val="0"/>
        <w:snapToGrid w:val="0"/>
        <w:spacing w:beforeAutospacing="0" w:afterAutospacing="0" w:line="12" w:lineRule="auto"/>
        <w:jc w:val="center"/>
        <w:outlineLvl w:val="0"/>
        <w:rPr>
          <w:rFonts w:hint="default" w:ascii="Times New Roman" w:hAnsi="Times New Roman" w:eastAsia="黑体"/>
          <w:snapToGrid w:val="0"/>
          <w:sz w:val="30"/>
          <w:szCs w:val="30"/>
        </w:rPr>
      </w:pPr>
    </w:p>
    <w:p w14:paraId="2D88C946">
      <w:pPr>
        <w:pStyle w:val="21"/>
        <w:jc w:val="center"/>
        <w:outlineLvl w:val="0"/>
        <w:rPr>
          <w:rFonts w:hint="default" w:ascii="Times New Roman" w:hAnsi="Times New Roman" w:eastAsia="黑体"/>
          <w:sz w:val="30"/>
          <w:szCs w:val="30"/>
        </w:rPr>
      </w:pPr>
      <w:r>
        <w:rPr>
          <w:rFonts w:hint="default" w:ascii="Times New Roman" w:hAnsi="Times New Roman" w:eastAsia="黑体"/>
          <w:snapToGrid w:val="0"/>
          <w:sz w:val="30"/>
          <w:szCs w:val="30"/>
        </w:rPr>
        <w:t>三、区域环境质量现状、环境保护目标及评价标准</w:t>
      </w:r>
    </w:p>
    <w:tbl>
      <w:tblPr>
        <w:tblStyle w:val="26"/>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8470"/>
      </w:tblGrid>
      <w:tr w14:paraId="54B338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3" w:type="pct"/>
            <w:tcBorders>
              <w:top w:val="single" w:color="auto" w:sz="8" w:space="0"/>
              <w:left w:val="single" w:color="auto" w:sz="8" w:space="0"/>
              <w:bottom w:val="single" w:color="auto" w:sz="4" w:space="0"/>
              <w:right w:val="single" w:color="auto" w:sz="4" w:space="0"/>
            </w:tcBorders>
            <w:shd w:val="clear" w:color="auto" w:fill="auto"/>
            <w:vAlign w:val="center"/>
          </w:tcPr>
          <w:p w14:paraId="7A728B97">
            <w:pPr>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lang w:bidi="ar"/>
              </w:rPr>
              <w:t>区域</w:t>
            </w:r>
          </w:p>
          <w:p w14:paraId="6A956968">
            <w:pPr>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lang w:bidi="ar"/>
              </w:rPr>
              <w:t>环境</w:t>
            </w:r>
          </w:p>
          <w:p w14:paraId="74463220">
            <w:pPr>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lang w:bidi="ar"/>
              </w:rPr>
              <w:t>质量</w:t>
            </w:r>
          </w:p>
          <w:p w14:paraId="6FBD19DD">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 w:val="24"/>
                <w:lang w:bidi="ar"/>
              </w:rPr>
              <w:t>现状</w:t>
            </w:r>
          </w:p>
        </w:tc>
        <w:tc>
          <w:tcPr>
            <w:tcW w:w="4556" w:type="pct"/>
            <w:tcBorders>
              <w:top w:val="single" w:color="auto" w:sz="8" w:space="0"/>
              <w:left w:val="single" w:color="auto" w:sz="4" w:space="0"/>
              <w:bottom w:val="single" w:color="auto" w:sz="4" w:space="0"/>
              <w:right w:val="single" w:color="auto" w:sz="8" w:space="0"/>
            </w:tcBorders>
            <w:shd w:val="clear" w:color="auto" w:fill="auto"/>
            <w:vAlign w:val="center"/>
          </w:tcPr>
          <w:p w14:paraId="0B55FC0F">
            <w:pPr>
              <w:adjustRightInd w:val="0"/>
              <w:snapToGrid w:val="0"/>
              <w:spacing w:line="360" w:lineRule="auto"/>
              <w:ind w:firstLine="482" w:firstLineChars="200"/>
              <w:rPr>
                <w:rFonts w:ascii="Times New Roman" w:hAnsi="Times New Roman" w:cs="Times New Roman"/>
                <w:b/>
                <w:sz w:val="24"/>
              </w:rPr>
            </w:pPr>
            <w:r>
              <w:rPr>
                <w:rFonts w:ascii="Times New Roman" w:hAnsi="Times New Roman" w:cs="Times New Roman"/>
                <w:b/>
                <w:sz w:val="24"/>
              </w:rPr>
              <w:t>一、环境空气质量现状</w:t>
            </w:r>
          </w:p>
          <w:p w14:paraId="69F8EAD6">
            <w:pPr>
              <w:adjustRightInd w:val="0"/>
              <w:snapToGrid w:val="0"/>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1、常规污染物</w:t>
            </w:r>
          </w:p>
          <w:p w14:paraId="071BE38F">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根据大气功能区划分，本项目所在地为二类功能区。评价区域环境空气常规监测因子引用宝鸡市生态环境局</w:t>
            </w:r>
            <w:r>
              <w:rPr>
                <w:rFonts w:hint="eastAsia" w:ascii="Times New Roman" w:hAnsi="Times New Roman" w:eastAsia="宋体" w:cs="Times New Roman"/>
                <w:sz w:val="24"/>
              </w:rPr>
              <w:t>公</w:t>
            </w:r>
            <w:r>
              <w:rPr>
                <w:rFonts w:ascii="Times New Roman" w:hAnsi="Times New Roman" w:eastAsia="宋体" w:cs="Times New Roman"/>
                <w:sz w:val="24"/>
              </w:rPr>
              <w:t>布的《</w:t>
            </w:r>
            <w:r>
              <w:rPr>
                <w:rFonts w:hint="eastAsia" w:ascii="Times New Roman" w:hAnsi="Times New Roman" w:eastAsia="宋体" w:cs="Times New Roman"/>
                <w:sz w:val="24"/>
              </w:rPr>
              <w:t>2024</w:t>
            </w:r>
            <w:r>
              <w:rPr>
                <w:rFonts w:ascii="Times New Roman" w:hAnsi="Times New Roman" w:eastAsia="宋体" w:cs="Times New Roman"/>
                <w:sz w:val="24"/>
              </w:rPr>
              <w:t>年</w:t>
            </w:r>
            <w:r>
              <w:rPr>
                <w:rFonts w:hint="eastAsia" w:ascii="Times New Roman" w:hAnsi="Times New Roman" w:eastAsia="宋体" w:cs="Times New Roman"/>
                <w:sz w:val="24"/>
              </w:rPr>
              <w:t>1-12月份各县（区）空气质量状况统计表</w:t>
            </w:r>
            <w:r>
              <w:rPr>
                <w:rFonts w:ascii="Times New Roman" w:hAnsi="Times New Roman" w:eastAsia="宋体" w:cs="Times New Roman"/>
                <w:sz w:val="24"/>
              </w:rPr>
              <w:t>》（</w:t>
            </w:r>
            <w:r>
              <w:rPr>
                <w:rFonts w:hint="eastAsia" w:ascii="Times New Roman" w:hAnsi="Times New Roman" w:eastAsia="宋体" w:cs="Times New Roman"/>
                <w:sz w:val="24"/>
              </w:rPr>
              <w:t>渭滨区</w:t>
            </w:r>
            <w:r>
              <w:rPr>
                <w:rFonts w:ascii="Times New Roman" w:hAnsi="Times New Roman" w:cs="Times New Roman"/>
                <w:sz w:val="24"/>
              </w:rPr>
              <w:t>）监测数据来分析项目所在地的大气环境质量现状。</w:t>
            </w:r>
          </w:p>
          <w:p w14:paraId="1589911D">
            <w:pPr>
              <w:adjustRightInd w:val="0"/>
              <w:snapToGrid w:val="0"/>
              <w:spacing w:line="360" w:lineRule="auto"/>
              <w:ind w:firstLine="480" w:firstLineChars="200"/>
              <w:rPr>
                <w:rFonts w:ascii="Times New Roman" w:hAnsi="Times New Roman" w:cs="Times New Roman"/>
                <w:szCs w:val="21"/>
              </w:rPr>
            </w:pPr>
            <w:r>
              <w:rPr>
                <w:rFonts w:ascii="Times New Roman" w:hAnsi="Times New Roman" w:cs="Times New Roman"/>
                <w:sz w:val="24"/>
              </w:rPr>
              <w:t>监测结果如下表3-1</w:t>
            </w:r>
            <w:r>
              <w:rPr>
                <w:rFonts w:ascii="Times New Roman" w:hAnsi="Times New Roman" w:cs="Times New Roman"/>
                <w:szCs w:val="21"/>
              </w:rPr>
              <w:t>。</w:t>
            </w:r>
          </w:p>
          <w:p w14:paraId="235691FA">
            <w:pPr>
              <w:adjustRightInd w:val="0"/>
              <w:snapToGrid w:val="0"/>
              <w:ind w:firstLine="422" w:firstLineChars="200"/>
              <w:jc w:val="center"/>
              <w:rPr>
                <w:rFonts w:ascii="Times New Roman" w:hAnsi="Times New Roman" w:cs="Times New Roman"/>
                <w:b/>
                <w:bCs/>
                <w:szCs w:val="21"/>
              </w:rPr>
            </w:pPr>
            <w:r>
              <w:rPr>
                <w:rFonts w:ascii="Times New Roman" w:hAnsi="Times New Roman" w:cs="Times New Roman"/>
                <w:b/>
                <w:bCs/>
                <w:szCs w:val="21"/>
              </w:rPr>
              <w:t>表3-1  环境空气监测结果统计表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3162"/>
              <w:gridCol w:w="1228"/>
              <w:gridCol w:w="1199"/>
              <w:gridCol w:w="1082"/>
              <w:gridCol w:w="822"/>
            </w:tblGrid>
            <w:tr w14:paraId="4874DC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59" w:type="pct"/>
                  <w:tcBorders>
                    <w:tl2br w:val="nil"/>
                    <w:tr2bl w:val="nil"/>
                  </w:tcBorders>
                  <w:vAlign w:val="center"/>
                </w:tcPr>
                <w:p w14:paraId="14386F66">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污染物</w:t>
                  </w:r>
                </w:p>
              </w:tc>
              <w:tc>
                <w:tcPr>
                  <w:tcW w:w="1915" w:type="pct"/>
                  <w:tcBorders>
                    <w:tl2br w:val="nil"/>
                    <w:tr2bl w:val="nil"/>
                  </w:tcBorders>
                  <w:vAlign w:val="center"/>
                </w:tcPr>
                <w:p w14:paraId="6A711873">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年评价指标</w:t>
                  </w:r>
                </w:p>
              </w:tc>
              <w:tc>
                <w:tcPr>
                  <w:tcW w:w="744" w:type="pct"/>
                  <w:tcBorders>
                    <w:tl2br w:val="nil"/>
                    <w:tr2bl w:val="nil"/>
                  </w:tcBorders>
                  <w:vAlign w:val="center"/>
                </w:tcPr>
                <w:p w14:paraId="40299387">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现状浓度/（µg/m</w:t>
                  </w:r>
                  <w:r>
                    <w:rPr>
                      <w:rFonts w:ascii="Times New Roman" w:hAnsi="Times New Roman" w:cs="Times New Roman"/>
                      <w:b/>
                      <w:bCs/>
                      <w:kern w:val="0"/>
                      <w:szCs w:val="21"/>
                      <w:vertAlign w:val="superscript"/>
                    </w:rPr>
                    <w:t>3</w:t>
                  </w:r>
                  <w:r>
                    <w:rPr>
                      <w:rFonts w:ascii="Times New Roman" w:hAnsi="Times New Roman" w:cs="Times New Roman"/>
                      <w:b/>
                      <w:bCs/>
                      <w:kern w:val="0"/>
                      <w:szCs w:val="21"/>
                    </w:rPr>
                    <w:t>）</w:t>
                  </w:r>
                </w:p>
              </w:tc>
              <w:tc>
                <w:tcPr>
                  <w:tcW w:w="726" w:type="pct"/>
                  <w:tcBorders>
                    <w:tl2br w:val="nil"/>
                    <w:tr2bl w:val="nil"/>
                  </w:tcBorders>
                  <w:vAlign w:val="center"/>
                </w:tcPr>
                <w:p w14:paraId="55F875CC">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标准值/（µg/m</w:t>
                  </w:r>
                  <w:r>
                    <w:rPr>
                      <w:rFonts w:ascii="Times New Roman" w:hAnsi="Times New Roman" w:cs="Times New Roman"/>
                      <w:b/>
                      <w:bCs/>
                      <w:kern w:val="0"/>
                      <w:szCs w:val="21"/>
                      <w:vertAlign w:val="superscript"/>
                    </w:rPr>
                    <w:t>3</w:t>
                  </w:r>
                  <w:r>
                    <w:rPr>
                      <w:rFonts w:ascii="Times New Roman" w:hAnsi="Times New Roman" w:cs="Times New Roman"/>
                      <w:b/>
                      <w:bCs/>
                      <w:kern w:val="0"/>
                      <w:szCs w:val="21"/>
                    </w:rPr>
                    <w:t>）</w:t>
                  </w:r>
                </w:p>
              </w:tc>
              <w:tc>
                <w:tcPr>
                  <w:tcW w:w="655" w:type="pct"/>
                  <w:tcBorders>
                    <w:tl2br w:val="nil"/>
                    <w:tr2bl w:val="nil"/>
                  </w:tcBorders>
                  <w:vAlign w:val="center"/>
                </w:tcPr>
                <w:p w14:paraId="156F6990">
                  <w:pPr>
                    <w:widowControl/>
                    <w:adjustRightInd w:val="0"/>
                    <w:snapToGrid w:val="0"/>
                    <w:jc w:val="center"/>
                    <w:rPr>
                      <w:rFonts w:ascii="Times New Roman" w:hAnsi="Times New Roman" w:eastAsia="宋体" w:cs="Times New Roman"/>
                      <w:b/>
                      <w:bCs/>
                      <w:kern w:val="0"/>
                      <w:szCs w:val="21"/>
                    </w:rPr>
                  </w:pPr>
                  <w:r>
                    <w:rPr>
                      <w:rFonts w:ascii="Times New Roman" w:hAnsi="Times New Roman" w:cs="Times New Roman"/>
                      <w:b/>
                      <w:bCs/>
                      <w:kern w:val="0"/>
                      <w:szCs w:val="21"/>
                    </w:rPr>
                    <w:t>占标率%</w:t>
                  </w:r>
                </w:p>
              </w:tc>
              <w:tc>
                <w:tcPr>
                  <w:tcW w:w="498" w:type="pct"/>
                  <w:tcBorders>
                    <w:tl2br w:val="nil"/>
                    <w:tr2bl w:val="nil"/>
                  </w:tcBorders>
                  <w:vAlign w:val="center"/>
                </w:tcPr>
                <w:p w14:paraId="5F8A257C">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达标</w:t>
                  </w:r>
                </w:p>
                <w:p w14:paraId="1FEF898D">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情况</w:t>
                  </w:r>
                </w:p>
              </w:tc>
            </w:tr>
            <w:tr w14:paraId="05BB90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59" w:type="pct"/>
                  <w:tcBorders>
                    <w:tl2br w:val="nil"/>
                    <w:tr2bl w:val="nil"/>
                  </w:tcBorders>
                  <w:vAlign w:val="center"/>
                </w:tcPr>
                <w:p w14:paraId="2D0BD195">
                  <w:pPr>
                    <w:widowControl/>
                    <w:adjustRightInd w:val="0"/>
                    <w:snapToGrid w:val="0"/>
                    <w:jc w:val="center"/>
                    <w:rPr>
                      <w:rFonts w:ascii="Times New Roman" w:hAnsi="Times New Roman" w:cs="Times New Roman"/>
                      <w:kern w:val="0"/>
                      <w:szCs w:val="21"/>
                    </w:rPr>
                  </w:pPr>
                  <w:r>
                    <w:rPr>
                      <w:rFonts w:ascii="Times New Roman" w:hAnsi="Times New Roman" w:cs="Times New Roman"/>
                      <w:iCs/>
                      <w:szCs w:val="21"/>
                    </w:rPr>
                    <w:t>PM</w:t>
                  </w:r>
                  <w:r>
                    <w:rPr>
                      <w:rFonts w:ascii="Times New Roman" w:hAnsi="Times New Roman" w:cs="Times New Roman"/>
                      <w:iCs/>
                      <w:szCs w:val="21"/>
                      <w:vertAlign w:val="subscript"/>
                    </w:rPr>
                    <w:t>2.5</w:t>
                  </w:r>
                </w:p>
              </w:tc>
              <w:tc>
                <w:tcPr>
                  <w:tcW w:w="1915" w:type="pct"/>
                  <w:tcBorders>
                    <w:tl2br w:val="nil"/>
                    <w:tr2bl w:val="nil"/>
                  </w:tcBorders>
                  <w:vAlign w:val="center"/>
                </w:tcPr>
                <w:p w14:paraId="1A35B30E">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年平均量浓度</w:t>
                  </w:r>
                </w:p>
              </w:tc>
              <w:tc>
                <w:tcPr>
                  <w:tcW w:w="744" w:type="pct"/>
                  <w:tcBorders>
                    <w:tl2br w:val="nil"/>
                    <w:tr2bl w:val="nil"/>
                  </w:tcBorders>
                  <w:vAlign w:val="center"/>
                </w:tcPr>
                <w:p w14:paraId="70E7D149">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47</w:t>
                  </w:r>
                </w:p>
              </w:tc>
              <w:tc>
                <w:tcPr>
                  <w:tcW w:w="726" w:type="pct"/>
                  <w:tcBorders>
                    <w:tl2br w:val="nil"/>
                    <w:tr2bl w:val="nil"/>
                  </w:tcBorders>
                  <w:vAlign w:val="center"/>
                </w:tcPr>
                <w:p w14:paraId="159E5EAF">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35</w:t>
                  </w:r>
                </w:p>
              </w:tc>
              <w:tc>
                <w:tcPr>
                  <w:tcW w:w="655" w:type="pct"/>
                  <w:tcBorders>
                    <w:tl2br w:val="nil"/>
                    <w:tr2bl w:val="nil"/>
                  </w:tcBorders>
                  <w:vAlign w:val="center"/>
                </w:tcPr>
                <w:p w14:paraId="48ABB126">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134</w:t>
                  </w:r>
                </w:p>
              </w:tc>
              <w:tc>
                <w:tcPr>
                  <w:tcW w:w="498" w:type="pct"/>
                  <w:tcBorders>
                    <w:tl2br w:val="nil"/>
                    <w:tr2bl w:val="nil"/>
                  </w:tcBorders>
                  <w:vAlign w:val="center"/>
                </w:tcPr>
                <w:p w14:paraId="1FBA5AA8">
                  <w:pPr>
                    <w:widowControl/>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超标</w:t>
                  </w:r>
                </w:p>
              </w:tc>
            </w:tr>
            <w:tr w14:paraId="2AE496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59" w:type="pct"/>
                  <w:tcBorders>
                    <w:tl2br w:val="nil"/>
                    <w:tr2bl w:val="nil"/>
                  </w:tcBorders>
                  <w:vAlign w:val="center"/>
                </w:tcPr>
                <w:p w14:paraId="30B84F0C">
                  <w:pPr>
                    <w:widowControl/>
                    <w:adjustRightInd w:val="0"/>
                    <w:snapToGrid w:val="0"/>
                    <w:jc w:val="center"/>
                    <w:rPr>
                      <w:rFonts w:ascii="Times New Roman" w:hAnsi="Times New Roman" w:cs="Times New Roman"/>
                      <w:kern w:val="0"/>
                      <w:szCs w:val="21"/>
                    </w:rPr>
                  </w:pPr>
                  <w:r>
                    <w:rPr>
                      <w:rFonts w:ascii="Times New Roman" w:hAnsi="Times New Roman" w:cs="Times New Roman"/>
                      <w:iCs/>
                      <w:szCs w:val="21"/>
                    </w:rPr>
                    <w:t>PM</w:t>
                  </w:r>
                  <w:r>
                    <w:rPr>
                      <w:rFonts w:ascii="Times New Roman" w:hAnsi="Times New Roman" w:cs="Times New Roman"/>
                      <w:iCs/>
                      <w:szCs w:val="21"/>
                      <w:vertAlign w:val="subscript"/>
                    </w:rPr>
                    <w:t>10</w:t>
                  </w:r>
                </w:p>
              </w:tc>
              <w:tc>
                <w:tcPr>
                  <w:tcW w:w="1915" w:type="pct"/>
                  <w:tcBorders>
                    <w:tl2br w:val="nil"/>
                    <w:tr2bl w:val="nil"/>
                  </w:tcBorders>
                  <w:vAlign w:val="center"/>
                </w:tcPr>
                <w:p w14:paraId="725CB936">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年均质量浓度</w:t>
                  </w:r>
                </w:p>
              </w:tc>
              <w:tc>
                <w:tcPr>
                  <w:tcW w:w="744" w:type="pct"/>
                  <w:tcBorders>
                    <w:tl2br w:val="nil"/>
                    <w:tr2bl w:val="nil"/>
                  </w:tcBorders>
                  <w:vAlign w:val="center"/>
                </w:tcPr>
                <w:p w14:paraId="698EE566">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64</w:t>
                  </w:r>
                </w:p>
              </w:tc>
              <w:tc>
                <w:tcPr>
                  <w:tcW w:w="726" w:type="pct"/>
                  <w:tcBorders>
                    <w:tl2br w:val="nil"/>
                    <w:tr2bl w:val="nil"/>
                  </w:tcBorders>
                  <w:vAlign w:val="center"/>
                </w:tcPr>
                <w:p w14:paraId="685BCECD">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70</w:t>
                  </w:r>
                </w:p>
              </w:tc>
              <w:tc>
                <w:tcPr>
                  <w:tcW w:w="655" w:type="pct"/>
                  <w:tcBorders>
                    <w:tl2br w:val="nil"/>
                    <w:tr2bl w:val="nil"/>
                  </w:tcBorders>
                  <w:vAlign w:val="center"/>
                </w:tcPr>
                <w:p w14:paraId="41E299EC">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84</w:t>
                  </w:r>
                </w:p>
              </w:tc>
              <w:tc>
                <w:tcPr>
                  <w:tcW w:w="498" w:type="pct"/>
                  <w:tcBorders>
                    <w:tl2br w:val="nil"/>
                    <w:tr2bl w:val="nil"/>
                  </w:tcBorders>
                  <w:vAlign w:val="center"/>
                </w:tcPr>
                <w:p w14:paraId="7330E603">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达标</w:t>
                  </w:r>
                </w:p>
              </w:tc>
            </w:tr>
            <w:tr w14:paraId="6ADBCE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59" w:type="pct"/>
                  <w:tcBorders>
                    <w:tl2br w:val="nil"/>
                    <w:tr2bl w:val="nil"/>
                  </w:tcBorders>
                  <w:vAlign w:val="center"/>
                </w:tcPr>
                <w:p w14:paraId="7A1C1D14">
                  <w:pPr>
                    <w:widowControl/>
                    <w:adjustRightInd w:val="0"/>
                    <w:snapToGrid w:val="0"/>
                    <w:jc w:val="center"/>
                    <w:rPr>
                      <w:rFonts w:ascii="Times New Roman" w:hAnsi="Times New Roman" w:cs="Times New Roman"/>
                      <w:kern w:val="0"/>
                      <w:szCs w:val="21"/>
                    </w:rPr>
                  </w:pPr>
                  <w:r>
                    <w:rPr>
                      <w:rFonts w:ascii="Times New Roman" w:hAnsi="Times New Roman" w:cs="Times New Roman"/>
                      <w:iCs/>
                      <w:szCs w:val="21"/>
                    </w:rPr>
                    <w:t>SO</w:t>
                  </w:r>
                  <w:r>
                    <w:rPr>
                      <w:rFonts w:ascii="Times New Roman" w:hAnsi="Times New Roman" w:cs="Times New Roman"/>
                      <w:iCs/>
                      <w:szCs w:val="21"/>
                      <w:vertAlign w:val="subscript"/>
                    </w:rPr>
                    <w:t>2</w:t>
                  </w:r>
                </w:p>
              </w:tc>
              <w:tc>
                <w:tcPr>
                  <w:tcW w:w="1915" w:type="pct"/>
                  <w:tcBorders>
                    <w:tl2br w:val="nil"/>
                    <w:tr2bl w:val="nil"/>
                  </w:tcBorders>
                  <w:vAlign w:val="center"/>
                </w:tcPr>
                <w:p w14:paraId="5F55E677">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年平均质量浓度</w:t>
                  </w:r>
                </w:p>
              </w:tc>
              <w:tc>
                <w:tcPr>
                  <w:tcW w:w="744" w:type="pct"/>
                  <w:tcBorders>
                    <w:tl2br w:val="nil"/>
                    <w:tr2bl w:val="nil"/>
                  </w:tcBorders>
                  <w:vAlign w:val="center"/>
                </w:tcPr>
                <w:p w14:paraId="0C292447">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w:t>
                  </w:r>
                </w:p>
              </w:tc>
              <w:tc>
                <w:tcPr>
                  <w:tcW w:w="726" w:type="pct"/>
                  <w:tcBorders>
                    <w:tl2br w:val="nil"/>
                    <w:tr2bl w:val="nil"/>
                  </w:tcBorders>
                  <w:vAlign w:val="center"/>
                </w:tcPr>
                <w:p w14:paraId="230C4ACE">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60</w:t>
                  </w:r>
                </w:p>
              </w:tc>
              <w:tc>
                <w:tcPr>
                  <w:tcW w:w="655" w:type="pct"/>
                  <w:tcBorders>
                    <w:tl2br w:val="nil"/>
                    <w:tr2bl w:val="nil"/>
                  </w:tcBorders>
                  <w:vAlign w:val="center"/>
                </w:tcPr>
                <w:p w14:paraId="03AB2056">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w:t>
                  </w:r>
                </w:p>
              </w:tc>
              <w:tc>
                <w:tcPr>
                  <w:tcW w:w="498" w:type="pct"/>
                  <w:tcBorders>
                    <w:tl2br w:val="nil"/>
                    <w:tr2bl w:val="nil"/>
                  </w:tcBorders>
                  <w:vAlign w:val="center"/>
                </w:tcPr>
                <w:p w14:paraId="0874E735">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达标</w:t>
                  </w:r>
                </w:p>
              </w:tc>
            </w:tr>
            <w:tr w14:paraId="59C19C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59" w:type="pct"/>
                  <w:tcBorders>
                    <w:tl2br w:val="nil"/>
                    <w:tr2bl w:val="nil"/>
                  </w:tcBorders>
                  <w:vAlign w:val="center"/>
                </w:tcPr>
                <w:p w14:paraId="6BD4E848">
                  <w:pPr>
                    <w:widowControl/>
                    <w:adjustRightInd w:val="0"/>
                    <w:snapToGrid w:val="0"/>
                    <w:jc w:val="center"/>
                    <w:rPr>
                      <w:rFonts w:ascii="Times New Roman" w:hAnsi="Times New Roman" w:cs="Times New Roman"/>
                      <w:kern w:val="0"/>
                      <w:szCs w:val="21"/>
                    </w:rPr>
                  </w:pPr>
                  <w:r>
                    <w:rPr>
                      <w:rFonts w:ascii="Times New Roman" w:hAnsi="Times New Roman" w:cs="Times New Roman"/>
                      <w:iCs/>
                      <w:szCs w:val="21"/>
                    </w:rPr>
                    <w:t>NO</w:t>
                  </w:r>
                  <w:r>
                    <w:rPr>
                      <w:rFonts w:ascii="Times New Roman" w:hAnsi="Times New Roman" w:cs="Times New Roman"/>
                      <w:iCs/>
                      <w:szCs w:val="21"/>
                      <w:vertAlign w:val="subscript"/>
                    </w:rPr>
                    <w:t>2</w:t>
                  </w:r>
                </w:p>
              </w:tc>
              <w:tc>
                <w:tcPr>
                  <w:tcW w:w="1915" w:type="pct"/>
                  <w:tcBorders>
                    <w:tl2br w:val="nil"/>
                    <w:tr2bl w:val="nil"/>
                  </w:tcBorders>
                  <w:vAlign w:val="center"/>
                </w:tcPr>
                <w:p w14:paraId="758287A2">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年平均质量浓度</w:t>
                  </w:r>
                </w:p>
              </w:tc>
              <w:tc>
                <w:tcPr>
                  <w:tcW w:w="744" w:type="pct"/>
                  <w:tcBorders>
                    <w:tl2br w:val="nil"/>
                    <w:tr2bl w:val="nil"/>
                  </w:tcBorders>
                  <w:vAlign w:val="center"/>
                </w:tcPr>
                <w:p w14:paraId="7A904D54">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30</w:t>
                  </w:r>
                </w:p>
              </w:tc>
              <w:tc>
                <w:tcPr>
                  <w:tcW w:w="726" w:type="pct"/>
                  <w:tcBorders>
                    <w:tl2br w:val="nil"/>
                    <w:tr2bl w:val="nil"/>
                  </w:tcBorders>
                  <w:vAlign w:val="center"/>
                </w:tcPr>
                <w:p w14:paraId="296EC965">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40</w:t>
                  </w:r>
                </w:p>
              </w:tc>
              <w:tc>
                <w:tcPr>
                  <w:tcW w:w="655" w:type="pct"/>
                  <w:tcBorders>
                    <w:tl2br w:val="nil"/>
                    <w:tr2bl w:val="nil"/>
                  </w:tcBorders>
                  <w:vAlign w:val="center"/>
                </w:tcPr>
                <w:p w14:paraId="291E9DC1">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55</w:t>
                  </w:r>
                </w:p>
              </w:tc>
              <w:tc>
                <w:tcPr>
                  <w:tcW w:w="498" w:type="pct"/>
                  <w:tcBorders>
                    <w:tl2br w:val="nil"/>
                    <w:tr2bl w:val="nil"/>
                  </w:tcBorders>
                  <w:vAlign w:val="center"/>
                </w:tcPr>
                <w:p w14:paraId="62653219">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达标</w:t>
                  </w:r>
                </w:p>
              </w:tc>
            </w:tr>
            <w:tr w14:paraId="0A972B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9" w:type="pct"/>
                  <w:tcBorders>
                    <w:tl2br w:val="nil"/>
                    <w:tr2bl w:val="nil"/>
                  </w:tcBorders>
                  <w:vAlign w:val="center"/>
                </w:tcPr>
                <w:p w14:paraId="099404B1">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CO</w:t>
                  </w:r>
                </w:p>
              </w:tc>
              <w:tc>
                <w:tcPr>
                  <w:tcW w:w="1915" w:type="pct"/>
                  <w:tcBorders>
                    <w:tl2br w:val="nil"/>
                    <w:tr2bl w:val="nil"/>
                  </w:tcBorders>
                  <w:vAlign w:val="center"/>
                </w:tcPr>
                <w:p w14:paraId="594C7E0C">
                  <w:pPr>
                    <w:widowControl/>
                    <w:adjustRightInd w:val="0"/>
                    <w:snapToGrid w:val="0"/>
                    <w:jc w:val="center"/>
                    <w:rPr>
                      <w:rFonts w:ascii="Times New Roman" w:hAnsi="Times New Roman" w:cs="Times New Roman"/>
                      <w:kern w:val="0"/>
                      <w:szCs w:val="21"/>
                    </w:rPr>
                  </w:pPr>
                  <w:r>
                    <w:rPr>
                      <w:rFonts w:ascii="Times New Roman" w:hAnsi="Times New Roman" w:cs="Times New Roman"/>
                      <w:szCs w:val="21"/>
                    </w:rPr>
                    <w:t>24小时平均浓度第95百分位数</w:t>
                  </w:r>
                </w:p>
              </w:tc>
              <w:tc>
                <w:tcPr>
                  <w:tcW w:w="744" w:type="pct"/>
                  <w:tcBorders>
                    <w:tl2br w:val="nil"/>
                    <w:tr2bl w:val="nil"/>
                  </w:tcBorders>
                  <w:vAlign w:val="center"/>
                </w:tcPr>
                <w:p w14:paraId="22550CBE">
                  <w:pPr>
                    <w:widowControl/>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800</w:t>
                  </w:r>
                </w:p>
              </w:tc>
              <w:tc>
                <w:tcPr>
                  <w:tcW w:w="726" w:type="pct"/>
                  <w:tcBorders>
                    <w:tl2br w:val="nil"/>
                    <w:tr2bl w:val="nil"/>
                  </w:tcBorders>
                  <w:vAlign w:val="center"/>
                </w:tcPr>
                <w:p w14:paraId="17296C35">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4000</w:t>
                  </w:r>
                </w:p>
              </w:tc>
              <w:tc>
                <w:tcPr>
                  <w:tcW w:w="655" w:type="pct"/>
                  <w:tcBorders>
                    <w:tl2br w:val="nil"/>
                    <w:tr2bl w:val="nil"/>
                  </w:tcBorders>
                  <w:vAlign w:val="center"/>
                </w:tcPr>
                <w:p w14:paraId="3412561B">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26</w:t>
                  </w:r>
                </w:p>
              </w:tc>
              <w:tc>
                <w:tcPr>
                  <w:tcW w:w="498" w:type="pct"/>
                  <w:tcBorders>
                    <w:tl2br w:val="nil"/>
                    <w:tr2bl w:val="nil"/>
                  </w:tcBorders>
                  <w:vAlign w:val="center"/>
                </w:tcPr>
                <w:p w14:paraId="6632AF3C">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达标</w:t>
                  </w:r>
                </w:p>
              </w:tc>
            </w:tr>
            <w:tr w14:paraId="369D52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459" w:type="pct"/>
                  <w:tcBorders>
                    <w:tl2br w:val="nil"/>
                    <w:tr2bl w:val="nil"/>
                  </w:tcBorders>
                  <w:vAlign w:val="center"/>
                </w:tcPr>
                <w:p w14:paraId="66A36680">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O</w:t>
                  </w:r>
                  <w:r>
                    <w:rPr>
                      <w:rFonts w:ascii="Times New Roman" w:hAnsi="Times New Roman" w:cs="Times New Roman"/>
                      <w:kern w:val="0"/>
                      <w:szCs w:val="21"/>
                      <w:vertAlign w:val="subscript"/>
                    </w:rPr>
                    <w:t>3</w:t>
                  </w:r>
                </w:p>
              </w:tc>
              <w:tc>
                <w:tcPr>
                  <w:tcW w:w="1915" w:type="pct"/>
                  <w:tcBorders>
                    <w:tl2br w:val="nil"/>
                    <w:tr2bl w:val="nil"/>
                  </w:tcBorders>
                  <w:vAlign w:val="center"/>
                </w:tcPr>
                <w:p w14:paraId="051FF589">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日最大8小时</w:t>
                  </w:r>
                </w:p>
                <w:p w14:paraId="2F960364">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平均浓度第90百分位数</w:t>
                  </w:r>
                </w:p>
              </w:tc>
              <w:tc>
                <w:tcPr>
                  <w:tcW w:w="744" w:type="pct"/>
                  <w:tcBorders>
                    <w:tl2br w:val="nil"/>
                    <w:tr2bl w:val="nil"/>
                  </w:tcBorders>
                  <w:vAlign w:val="center"/>
                </w:tcPr>
                <w:p w14:paraId="3F1C2E9B">
                  <w:pPr>
                    <w:widowControl/>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76</w:t>
                  </w:r>
                </w:p>
              </w:tc>
              <w:tc>
                <w:tcPr>
                  <w:tcW w:w="726" w:type="pct"/>
                  <w:tcBorders>
                    <w:tl2br w:val="nil"/>
                    <w:tr2bl w:val="nil"/>
                  </w:tcBorders>
                  <w:vAlign w:val="center"/>
                </w:tcPr>
                <w:p w14:paraId="06F56818">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160</w:t>
                  </w:r>
                </w:p>
              </w:tc>
              <w:tc>
                <w:tcPr>
                  <w:tcW w:w="655" w:type="pct"/>
                  <w:tcBorders>
                    <w:tl2br w:val="nil"/>
                    <w:tr2bl w:val="nil"/>
                  </w:tcBorders>
                  <w:vAlign w:val="center"/>
                </w:tcPr>
                <w:p w14:paraId="6E44B421">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93</w:t>
                  </w:r>
                </w:p>
              </w:tc>
              <w:tc>
                <w:tcPr>
                  <w:tcW w:w="498" w:type="pct"/>
                  <w:tcBorders>
                    <w:tl2br w:val="nil"/>
                    <w:tr2bl w:val="nil"/>
                  </w:tcBorders>
                  <w:vAlign w:val="center"/>
                </w:tcPr>
                <w:p w14:paraId="324F615A">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达标</w:t>
                  </w:r>
                </w:p>
              </w:tc>
            </w:tr>
          </w:tbl>
          <w:p w14:paraId="0648ADA0">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根据上述统计结果可知，</w:t>
            </w:r>
            <w:r>
              <w:rPr>
                <w:rFonts w:hint="eastAsia" w:ascii="Times New Roman" w:hAnsi="Times New Roman" w:cs="Times New Roman"/>
                <w:sz w:val="24"/>
              </w:rPr>
              <w:t>渭滨区</w:t>
            </w:r>
            <w:r>
              <w:rPr>
                <w:rFonts w:ascii="Times New Roman" w:hAnsi="Times New Roman" w:cs="Times New Roman"/>
                <w:sz w:val="24"/>
              </w:rPr>
              <w:t>环境空气基本污染物中S</w:t>
            </w:r>
            <w:r>
              <w:rPr>
                <w:rFonts w:hint="eastAsia" w:ascii="Times New Roman" w:hAnsi="Times New Roman" w:cs="Times New Roman"/>
                <w:sz w:val="24"/>
              </w:rPr>
              <w:t>O</w:t>
            </w:r>
            <w:r>
              <w:rPr>
                <w:rFonts w:ascii="Times New Roman" w:hAnsi="Times New Roman" w:cs="Times New Roman"/>
                <w:sz w:val="24"/>
                <w:vertAlign w:val="subscript"/>
              </w:rPr>
              <w:t>2</w:t>
            </w:r>
            <w:r>
              <w:rPr>
                <w:rFonts w:ascii="Times New Roman" w:hAnsi="Times New Roman" w:cs="Times New Roman"/>
                <w:sz w:val="24"/>
              </w:rPr>
              <w:t>年平均质量浓度、NO</w:t>
            </w:r>
            <w:r>
              <w:rPr>
                <w:rFonts w:ascii="Times New Roman" w:hAnsi="Times New Roman" w:cs="Times New Roman"/>
                <w:sz w:val="24"/>
                <w:vertAlign w:val="subscript"/>
              </w:rPr>
              <w:t>2</w:t>
            </w:r>
            <w:r>
              <w:rPr>
                <w:rFonts w:ascii="Times New Roman" w:hAnsi="Times New Roman" w:cs="Times New Roman"/>
                <w:sz w:val="24"/>
              </w:rPr>
              <w:t>年平均质量浓度、CO第95百分位数浓度</w:t>
            </w:r>
            <w:r>
              <w:rPr>
                <w:rFonts w:hint="eastAsia" w:ascii="Times New Roman" w:hAnsi="Times New Roman" w:cs="Times New Roman"/>
                <w:sz w:val="24"/>
              </w:rPr>
              <w:t>、</w:t>
            </w:r>
            <w:r>
              <w:rPr>
                <w:rFonts w:ascii="Times New Roman" w:hAnsi="Times New Roman" w:cs="Times New Roman"/>
                <w:sz w:val="24"/>
              </w:rPr>
              <w:t>PM</w:t>
            </w:r>
            <w:r>
              <w:rPr>
                <w:rFonts w:ascii="Times New Roman" w:hAnsi="Times New Roman" w:cs="Times New Roman"/>
                <w:sz w:val="24"/>
                <w:vertAlign w:val="subscript"/>
              </w:rPr>
              <w:t>10</w:t>
            </w:r>
            <w:r>
              <w:rPr>
                <w:rFonts w:ascii="Times New Roman" w:hAnsi="Times New Roman" w:cs="Times New Roman"/>
                <w:sz w:val="24"/>
              </w:rPr>
              <w:t>年平均质量浓度</w:t>
            </w:r>
            <w:r>
              <w:rPr>
                <w:rFonts w:hint="eastAsia" w:ascii="Times New Roman" w:hAnsi="Times New Roman" w:cs="Times New Roman"/>
                <w:sz w:val="24"/>
              </w:rPr>
              <w:t>、O</w:t>
            </w:r>
            <w:r>
              <w:rPr>
                <w:rFonts w:ascii="Times New Roman" w:hAnsi="Times New Roman" w:cs="Times New Roman"/>
                <w:sz w:val="24"/>
                <w:vertAlign w:val="subscript"/>
              </w:rPr>
              <w:t>3</w:t>
            </w:r>
            <w:r>
              <w:rPr>
                <w:rFonts w:ascii="Times New Roman" w:hAnsi="Times New Roman" w:cs="Times New Roman"/>
                <w:sz w:val="24"/>
              </w:rPr>
              <w:t>第90百分位数浓度</w:t>
            </w:r>
            <w:r>
              <w:rPr>
                <w:rFonts w:hint="eastAsia" w:ascii="Times New Roman" w:hAnsi="Times New Roman" w:cs="Times New Roman"/>
                <w:sz w:val="24"/>
              </w:rPr>
              <w:t>均</w:t>
            </w:r>
            <w:r>
              <w:rPr>
                <w:rFonts w:ascii="Times New Roman" w:hAnsi="Times New Roman" w:cs="Times New Roman"/>
                <w:sz w:val="24"/>
              </w:rPr>
              <w:t>达到《环境空气质量标准》（GB3095-2012）中二级标准，PM</w:t>
            </w:r>
            <w:r>
              <w:rPr>
                <w:rFonts w:ascii="Times New Roman" w:hAnsi="Times New Roman" w:cs="Times New Roman"/>
                <w:sz w:val="24"/>
                <w:vertAlign w:val="subscript"/>
              </w:rPr>
              <w:t>2.5</w:t>
            </w:r>
            <w:r>
              <w:rPr>
                <w:rFonts w:ascii="Times New Roman" w:hAnsi="Times New Roman" w:cs="Times New Roman"/>
                <w:sz w:val="24"/>
              </w:rPr>
              <w:t>年平均质量浓度超出《环境空气质量标准》（GB3095-2012）中二级标准</w:t>
            </w:r>
            <w:r>
              <w:rPr>
                <w:rFonts w:hint="eastAsia" w:ascii="Times New Roman" w:hAnsi="Times New Roman" w:cs="Times New Roman"/>
                <w:sz w:val="24"/>
              </w:rPr>
              <w:t>。</w:t>
            </w:r>
          </w:p>
          <w:p w14:paraId="4CED9BC6">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根据《环境影响评价技术导则大气环境》（HJ2.2-2018）判定项目所在区域为不达标区。</w:t>
            </w:r>
          </w:p>
          <w:p w14:paraId="6815C9A1">
            <w:pPr>
              <w:adjustRightInd w:val="0"/>
              <w:snapToGrid w:val="0"/>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2、特征</w:t>
            </w:r>
            <w:r>
              <w:rPr>
                <w:rFonts w:ascii="Times New Roman" w:hAnsi="Times New Roman" w:eastAsia="宋体" w:cs="Times New Roman"/>
                <w:b/>
                <w:bCs/>
                <w:sz w:val="24"/>
              </w:rPr>
              <w:t>污染物</w:t>
            </w:r>
          </w:p>
          <w:p w14:paraId="76A8BD43">
            <w:pPr>
              <w:adjustRightInd w:val="0"/>
              <w:snapToGrid w:val="0"/>
              <w:spacing w:line="360" w:lineRule="auto"/>
              <w:ind w:firstLine="480" w:firstLineChars="200"/>
              <w:rPr>
                <w:rFonts w:ascii="Times New Roman" w:hAnsi="Times New Roman" w:cs="Times New Roman"/>
                <w:color w:val="auto"/>
                <w:kern w:val="0"/>
                <w:sz w:val="24"/>
              </w:rPr>
            </w:pPr>
            <w:r>
              <w:rPr>
                <w:rFonts w:ascii="Times New Roman" w:hAnsi="Times New Roman" w:cs="Times New Roman"/>
                <w:kern w:val="0"/>
                <w:sz w:val="24"/>
              </w:rPr>
              <w:t>本项目</w:t>
            </w:r>
            <w:r>
              <w:rPr>
                <w:rFonts w:hint="eastAsia" w:ascii="Times New Roman" w:hAnsi="Times New Roman" w:cs="Times New Roman"/>
                <w:kern w:val="0"/>
                <w:sz w:val="24"/>
              </w:rPr>
              <w:t>其他</w:t>
            </w:r>
            <w:r>
              <w:rPr>
                <w:rFonts w:ascii="Times New Roman" w:hAnsi="Times New Roman" w:cs="Times New Roman"/>
                <w:kern w:val="0"/>
                <w:sz w:val="24"/>
              </w:rPr>
              <w:t>污染物TSP监测数据引用《</w:t>
            </w:r>
            <w:r>
              <w:rPr>
                <w:rFonts w:hint="eastAsia" w:ascii="Times New Roman" w:hAnsi="Times New Roman" w:eastAsia="宋体" w:cs="Times New Roman"/>
                <w:sz w:val="24"/>
              </w:rPr>
              <w:t>聚瑞芯光电有限公司化合物薄膜材料及光电子元器件和模块封装项目环境质量现状监测</w:t>
            </w:r>
            <w:r>
              <w:rPr>
                <w:rFonts w:hint="eastAsia" w:ascii="Times New Roman" w:hAnsi="Times New Roman" w:eastAsia="宋体" w:cs="Times New Roman"/>
                <w:bCs/>
                <w:sz w:val="24"/>
              </w:rPr>
              <w:t>报告</w:t>
            </w:r>
            <w:r>
              <w:rPr>
                <w:rFonts w:ascii="Times New Roman" w:hAnsi="Times New Roman" w:cs="Times New Roman"/>
                <w:kern w:val="0"/>
                <w:sz w:val="24"/>
              </w:rPr>
              <w:t>》</w:t>
            </w:r>
            <w:r>
              <w:rPr>
                <w:rFonts w:ascii="Times New Roman" w:hAnsi="Times New Roman" w:cs="Times New Roman"/>
                <w:sz w:val="24"/>
              </w:rPr>
              <w:t>（报告编号：</w:t>
            </w:r>
            <w:r>
              <w:rPr>
                <w:rFonts w:hint="eastAsia" w:ascii="Times New Roman" w:hAnsi="Times New Roman" w:cs="Times New Roman"/>
                <w:sz w:val="24"/>
              </w:rPr>
              <w:t>BRX2304019</w:t>
            </w:r>
            <w:r>
              <w:rPr>
                <w:rFonts w:ascii="Times New Roman" w:hAnsi="Times New Roman" w:cs="Times New Roman"/>
                <w:sz w:val="24"/>
              </w:rPr>
              <w:t>）</w:t>
            </w:r>
            <w:r>
              <w:rPr>
                <w:rFonts w:hint="eastAsia" w:ascii="Times New Roman" w:hAnsi="Times New Roman" w:cs="Times New Roman"/>
                <w:kern w:val="0"/>
                <w:sz w:val="24"/>
              </w:rPr>
              <w:t>中的数据</w:t>
            </w:r>
            <w:r>
              <w:rPr>
                <w:rFonts w:ascii="Times New Roman" w:hAnsi="Times New Roman" w:cs="Times New Roman"/>
                <w:kern w:val="0"/>
                <w:sz w:val="24"/>
              </w:rPr>
              <w:t>，</w:t>
            </w:r>
            <w:r>
              <w:rPr>
                <w:rFonts w:ascii="Times New Roman" w:hAnsi="Times New Roman" w:cs="Times New Roman"/>
                <w:sz w:val="24"/>
              </w:rPr>
              <w:t>202</w:t>
            </w:r>
            <w:r>
              <w:rPr>
                <w:rFonts w:hint="eastAsia" w:ascii="Times New Roman" w:hAnsi="Times New Roman" w:cs="Times New Roman"/>
                <w:sz w:val="24"/>
              </w:rPr>
              <w:t>3</w:t>
            </w:r>
            <w:r>
              <w:rPr>
                <w:rFonts w:ascii="Times New Roman" w:hAnsi="Times New Roman" w:cs="Times New Roman"/>
                <w:sz w:val="24"/>
              </w:rPr>
              <w:t>年</w:t>
            </w:r>
            <w:r>
              <w:rPr>
                <w:rFonts w:hint="eastAsia" w:ascii="Times New Roman" w:hAnsi="Times New Roman" w:cs="Times New Roman"/>
                <w:sz w:val="24"/>
              </w:rPr>
              <w:t>4</w:t>
            </w:r>
            <w:r>
              <w:rPr>
                <w:rFonts w:ascii="Times New Roman" w:hAnsi="Times New Roman" w:cs="Times New Roman"/>
                <w:sz w:val="24"/>
              </w:rPr>
              <w:t>月</w:t>
            </w:r>
            <w:r>
              <w:rPr>
                <w:rFonts w:hint="eastAsia" w:ascii="Times New Roman" w:hAnsi="Times New Roman" w:cs="Times New Roman"/>
                <w:sz w:val="24"/>
              </w:rPr>
              <w:t>27</w:t>
            </w:r>
            <w:r>
              <w:rPr>
                <w:rFonts w:ascii="Times New Roman" w:hAnsi="Times New Roman" w:cs="Times New Roman"/>
                <w:sz w:val="24"/>
              </w:rPr>
              <w:t>日至</w:t>
            </w:r>
            <w:r>
              <w:rPr>
                <w:rFonts w:hint="eastAsia" w:ascii="Times New Roman" w:hAnsi="Times New Roman" w:cs="Times New Roman"/>
                <w:sz w:val="24"/>
              </w:rPr>
              <w:t>5</w:t>
            </w:r>
            <w:r>
              <w:rPr>
                <w:rFonts w:ascii="Times New Roman" w:hAnsi="Times New Roman" w:cs="Times New Roman"/>
                <w:sz w:val="24"/>
              </w:rPr>
              <w:t>月</w:t>
            </w:r>
            <w:r>
              <w:rPr>
                <w:rFonts w:hint="eastAsia" w:ascii="Times New Roman" w:hAnsi="Times New Roman" w:cs="Times New Roman"/>
                <w:sz w:val="24"/>
              </w:rPr>
              <w:t>3</w:t>
            </w:r>
            <w:r>
              <w:rPr>
                <w:rFonts w:ascii="Times New Roman" w:hAnsi="Times New Roman" w:cs="Times New Roman"/>
                <w:sz w:val="24"/>
              </w:rPr>
              <w:t>日，连续监测7天</w:t>
            </w:r>
            <w:r>
              <w:rPr>
                <w:rFonts w:ascii="Times New Roman" w:hAnsi="Times New Roman" w:cs="Times New Roman"/>
                <w:kern w:val="0"/>
                <w:sz w:val="24"/>
              </w:rPr>
              <w:t>，监测点位为</w:t>
            </w:r>
            <w:r>
              <w:rPr>
                <w:rFonts w:hint="eastAsia" w:ascii="Times New Roman" w:hAnsi="Times New Roman" w:eastAsia="宋体" w:cs="Times New Roman"/>
                <w:sz w:val="24"/>
              </w:rPr>
              <w:t>聚瑞芯光电有限公司</w:t>
            </w:r>
            <w:r>
              <w:rPr>
                <w:rFonts w:hint="eastAsia" w:ascii="Times New Roman" w:hAnsi="Times New Roman" w:eastAsia="宋体" w:cs="Times New Roman"/>
                <w:bCs/>
                <w:sz w:val="24"/>
              </w:rPr>
              <w:t>厂区内</w:t>
            </w:r>
            <w:r>
              <w:rPr>
                <w:rFonts w:ascii="Times New Roman" w:hAnsi="Times New Roman" w:cs="Times New Roman"/>
                <w:kern w:val="0"/>
                <w:sz w:val="24"/>
              </w:rPr>
              <w:t>，</w:t>
            </w:r>
            <w:r>
              <w:rPr>
                <w:rFonts w:hint="eastAsia" w:ascii="Times New Roman" w:hAnsi="Times New Roman" w:cs="Times New Roman"/>
                <w:kern w:val="0"/>
                <w:sz w:val="24"/>
              </w:rPr>
              <w:t>且项目尚未投产，环境本底值未发生变化</w:t>
            </w:r>
            <w:r>
              <w:rPr>
                <w:rFonts w:ascii="Times New Roman" w:hAnsi="Times New Roman" w:cs="Times New Roman"/>
                <w:kern w:val="0"/>
                <w:sz w:val="24"/>
              </w:rPr>
              <w:t>，</w:t>
            </w:r>
            <w:r>
              <w:rPr>
                <w:rFonts w:hint="eastAsia" w:ascii="Times New Roman" w:hAnsi="Times New Roman" w:eastAsia="宋体" w:cs="Times New Roman"/>
                <w:sz w:val="24"/>
              </w:rPr>
              <w:t>聚瑞芯光电有限公司</w:t>
            </w:r>
            <w:r>
              <w:rPr>
                <w:rFonts w:hint="eastAsia" w:ascii="Times New Roman" w:hAnsi="Times New Roman" w:cs="Times New Roman"/>
                <w:kern w:val="0"/>
                <w:sz w:val="24"/>
              </w:rPr>
              <w:t>厂区位于本项目西侧1.3公里</w:t>
            </w:r>
            <w:r>
              <w:rPr>
                <w:rFonts w:hint="eastAsia" w:ascii="Times New Roman" w:hAnsi="Times New Roman" w:cs="Times New Roman"/>
                <w:color w:val="auto"/>
                <w:kern w:val="0"/>
                <w:sz w:val="24"/>
              </w:rPr>
              <w:t>，</w:t>
            </w:r>
            <w:r>
              <w:rPr>
                <w:rFonts w:hint="default" w:ascii="Times New Roman" w:hAnsi="Times New Roman" w:eastAsia="宋体" w:cs="Times New Roman"/>
                <w:color w:val="auto"/>
                <w:sz w:val="24"/>
                <w:szCs w:val="24"/>
                <w:lang w:eastAsia="zh-CN"/>
              </w:rPr>
              <w:t>满足编制指南中</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引用建设项目周边5千米范围内近3年的现有监测数据</w:t>
            </w:r>
            <w:r>
              <w:rPr>
                <w:rFonts w:hint="eastAsia" w:ascii="Times New Roman" w:hAnsi="Times New Roman" w:eastAsia="宋体" w:cs="Times New Roman"/>
                <w:color w:val="auto"/>
                <w:sz w:val="24"/>
                <w:szCs w:val="24"/>
                <w:lang w:eastAsia="zh-CN"/>
              </w:rPr>
              <w:t>”的</w:t>
            </w:r>
            <w:r>
              <w:rPr>
                <w:rFonts w:hint="default" w:ascii="Times New Roman" w:hAnsi="Times New Roman" w:eastAsia="宋体" w:cs="Times New Roman"/>
                <w:color w:val="auto"/>
                <w:sz w:val="24"/>
                <w:szCs w:val="24"/>
                <w:lang w:eastAsia="zh-CN"/>
              </w:rPr>
              <w:t>要求</w:t>
            </w:r>
            <w:r>
              <w:rPr>
                <w:rFonts w:hint="eastAsia"/>
                <w:color w:val="auto"/>
                <w:lang w:eastAsia="zh-CN"/>
              </w:rPr>
              <w:t>，</w:t>
            </w:r>
            <w:commentRangeStart w:id="30"/>
            <w:commentRangeStart w:id="31"/>
            <w:r>
              <w:rPr>
                <w:rFonts w:hint="eastAsia" w:ascii="Times New Roman" w:hAnsi="Times New Roman" w:cs="Times New Roman"/>
                <w:color w:val="auto"/>
                <w:kern w:val="0"/>
                <w:sz w:val="24"/>
              </w:rPr>
              <w:t>时间</w:t>
            </w:r>
            <w:r>
              <w:rPr>
                <w:rFonts w:ascii="Times New Roman" w:hAnsi="Times New Roman" w:eastAsia="宋体" w:cs="Times New Roman"/>
                <w:color w:val="auto"/>
                <w:sz w:val="24"/>
              </w:rPr>
              <w:t>均在有效期内，</w:t>
            </w:r>
            <w:commentRangeEnd w:id="30"/>
            <w:r>
              <w:rPr>
                <w:color w:val="auto"/>
              </w:rPr>
              <w:commentReference w:id="30"/>
            </w:r>
            <w:commentRangeEnd w:id="31"/>
            <w:r>
              <w:rPr>
                <w:color w:val="auto"/>
              </w:rPr>
              <w:commentReference w:id="31"/>
            </w:r>
            <w:r>
              <w:rPr>
                <w:rFonts w:ascii="Times New Roman" w:hAnsi="Times New Roman" w:eastAsia="宋体" w:cs="Times New Roman"/>
                <w:color w:val="auto"/>
                <w:sz w:val="24"/>
              </w:rPr>
              <w:t>符合引用条件</w:t>
            </w:r>
            <w:r>
              <w:rPr>
                <w:rFonts w:hint="eastAsia" w:cs="Times New Roman"/>
                <w:color w:val="auto"/>
                <w:sz w:val="24"/>
              </w:rPr>
              <w:t>，具体位置关系如附图3所示。</w:t>
            </w:r>
          </w:p>
          <w:p w14:paraId="4555FCF7">
            <w:pPr>
              <w:adjustRightInd w:val="0"/>
              <w:snapToGrid w:val="0"/>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监测结果见表3-2。</w:t>
            </w:r>
          </w:p>
          <w:p w14:paraId="0BAFFB1C">
            <w:pPr>
              <w:adjustRightInd w:val="0"/>
              <w:snapToGrid w:val="0"/>
              <w:jc w:val="center"/>
              <w:rPr>
                <w:rFonts w:ascii="Times New Roman" w:hAnsi="Times New Roman" w:eastAsia="宋体" w:cs="Times New Roman"/>
                <w:b/>
                <w:bCs/>
                <w:spacing w:val="-3"/>
                <w:szCs w:val="21"/>
                <w:lang w:val="zh-CN" w:bidi="zh-CN"/>
              </w:rPr>
            </w:pPr>
            <w:r>
              <w:rPr>
                <w:rFonts w:hint="eastAsia" w:ascii="Times New Roman" w:hAnsi="Times New Roman" w:cs="Times New Roman"/>
                <w:b/>
                <w:bCs/>
                <w:szCs w:val="21"/>
              </w:rPr>
              <w:t>表</w:t>
            </w:r>
            <w:r>
              <w:rPr>
                <w:rFonts w:ascii="Times New Roman" w:hAnsi="Times New Roman" w:cs="Times New Roman"/>
                <w:b/>
                <w:bCs/>
                <w:szCs w:val="21"/>
              </w:rPr>
              <w:t xml:space="preserve">3-2   </w:t>
            </w:r>
            <w:r>
              <w:rPr>
                <w:rFonts w:hint="eastAsia" w:ascii="Times New Roman" w:hAnsi="Times New Roman" w:cs="Times New Roman"/>
                <w:b/>
                <w:bCs/>
                <w:szCs w:val="21"/>
              </w:rPr>
              <w:t>特征污染物监测结果一览表</w:t>
            </w:r>
          </w:p>
          <w:tbl>
            <w:tblPr>
              <w:tblStyle w:val="26"/>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41"/>
              <w:gridCol w:w="1007"/>
              <w:gridCol w:w="1078"/>
              <w:gridCol w:w="1391"/>
              <w:gridCol w:w="989"/>
              <w:gridCol w:w="1090"/>
              <w:gridCol w:w="1199"/>
              <w:gridCol w:w="856"/>
            </w:tblGrid>
            <w:tr w14:paraId="54C58B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8" w:type="pct"/>
                  <w:tcBorders>
                    <w:tl2br w:val="nil"/>
                    <w:tr2bl w:val="nil"/>
                  </w:tcBorders>
                  <w:vAlign w:val="center"/>
                </w:tcPr>
                <w:p w14:paraId="38BD981A">
                  <w:pPr>
                    <w:pStyle w:val="39"/>
                    <w:autoSpaceDE w:val="0"/>
                    <w:autoSpaceDN w:val="0"/>
                    <w:adjustRightInd w:val="0"/>
                    <w:snapToGrid w:val="0"/>
                    <w:jc w:val="center"/>
                    <w:rPr>
                      <w:rFonts w:ascii="Times New Roman" w:hAnsi="Times New Roman" w:eastAsia="宋体" w:cs="Times New Roman"/>
                      <w:b/>
                      <w:bCs/>
                      <w:kern w:val="0"/>
                      <w:szCs w:val="21"/>
                      <w:lang w:val="en-US" w:bidi="ar-SA"/>
                    </w:rPr>
                  </w:pPr>
                  <w:r>
                    <w:rPr>
                      <w:rFonts w:ascii="Times New Roman" w:hAnsi="Times New Roman" w:eastAsia="宋体" w:cs="Times New Roman"/>
                      <w:b/>
                      <w:bCs/>
                      <w:kern w:val="0"/>
                      <w:szCs w:val="21"/>
                      <w:lang w:val="en-US" w:bidi="ar-SA"/>
                    </w:rPr>
                    <w:t>监测</w:t>
                  </w:r>
                </w:p>
                <w:p w14:paraId="6403306B">
                  <w:pPr>
                    <w:pStyle w:val="39"/>
                    <w:autoSpaceDE w:val="0"/>
                    <w:autoSpaceDN w:val="0"/>
                    <w:adjustRightInd w:val="0"/>
                    <w:snapToGrid w:val="0"/>
                    <w:jc w:val="center"/>
                    <w:rPr>
                      <w:rFonts w:ascii="Times New Roman" w:hAnsi="Times New Roman" w:eastAsia="宋体" w:cs="Times New Roman"/>
                      <w:b/>
                      <w:bCs/>
                      <w:kern w:val="0"/>
                      <w:szCs w:val="21"/>
                      <w:lang w:val="en-US" w:bidi="ar-SA"/>
                    </w:rPr>
                  </w:pPr>
                  <w:r>
                    <w:rPr>
                      <w:rFonts w:hint="eastAsia" w:ascii="Times New Roman" w:hAnsi="Times New Roman" w:eastAsia="宋体" w:cs="Times New Roman"/>
                      <w:b/>
                      <w:bCs/>
                      <w:kern w:val="0"/>
                      <w:szCs w:val="21"/>
                      <w:lang w:val="en-US" w:bidi="ar-SA"/>
                    </w:rPr>
                    <w:t>项目</w:t>
                  </w:r>
                </w:p>
              </w:tc>
              <w:tc>
                <w:tcPr>
                  <w:tcW w:w="610" w:type="pct"/>
                  <w:tcBorders>
                    <w:tl2br w:val="nil"/>
                    <w:tr2bl w:val="nil"/>
                  </w:tcBorders>
                  <w:vAlign w:val="center"/>
                </w:tcPr>
                <w:p w14:paraId="0C28A19C">
                  <w:pPr>
                    <w:pStyle w:val="39"/>
                    <w:autoSpaceDE w:val="0"/>
                    <w:autoSpaceDN w:val="0"/>
                    <w:adjustRightInd w:val="0"/>
                    <w:snapToGrid w:val="0"/>
                    <w:jc w:val="center"/>
                    <w:rPr>
                      <w:rFonts w:ascii="Times New Roman" w:hAnsi="Times New Roman" w:eastAsia="宋体" w:cs="Times New Roman"/>
                      <w:b/>
                      <w:bCs/>
                      <w:kern w:val="0"/>
                      <w:szCs w:val="21"/>
                      <w:lang w:val="en-US" w:bidi="ar-SA"/>
                    </w:rPr>
                  </w:pPr>
                  <w:r>
                    <w:rPr>
                      <w:rFonts w:ascii="Times New Roman" w:hAnsi="Times New Roman" w:eastAsia="宋体" w:cs="Times New Roman"/>
                      <w:b/>
                      <w:bCs/>
                      <w:kern w:val="0"/>
                      <w:szCs w:val="21"/>
                      <w:lang w:val="en-US" w:bidi="ar-SA"/>
                    </w:rPr>
                    <w:t>监测日期</w:t>
                  </w:r>
                </w:p>
              </w:tc>
              <w:tc>
                <w:tcPr>
                  <w:tcW w:w="653" w:type="pct"/>
                  <w:tcBorders>
                    <w:tl2br w:val="nil"/>
                    <w:tr2bl w:val="nil"/>
                  </w:tcBorders>
                  <w:vAlign w:val="center"/>
                </w:tcPr>
                <w:p w14:paraId="39216868">
                  <w:pPr>
                    <w:pStyle w:val="39"/>
                    <w:autoSpaceDE w:val="0"/>
                    <w:autoSpaceDN w:val="0"/>
                    <w:adjustRightInd w:val="0"/>
                    <w:snapToGrid w:val="0"/>
                    <w:jc w:val="center"/>
                    <w:rPr>
                      <w:rFonts w:ascii="Times New Roman" w:hAnsi="Times New Roman" w:eastAsia="宋体" w:cs="Times New Roman"/>
                      <w:b/>
                      <w:bCs/>
                      <w:kern w:val="0"/>
                      <w:szCs w:val="21"/>
                      <w:lang w:val="en-US" w:bidi="ar-SA"/>
                    </w:rPr>
                  </w:pPr>
                  <w:r>
                    <w:rPr>
                      <w:rFonts w:ascii="Times New Roman" w:hAnsi="Times New Roman" w:eastAsia="宋体" w:cs="Times New Roman"/>
                      <w:b/>
                      <w:bCs/>
                      <w:kern w:val="0"/>
                      <w:szCs w:val="21"/>
                      <w:lang w:val="en-US" w:bidi="ar-SA"/>
                    </w:rPr>
                    <w:t>监测点位</w:t>
                  </w:r>
                </w:p>
              </w:tc>
              <w:tc>
                <w:tcPr>
                  <w:tcW w:w="842" w:type="pct"/>
                  <w:tcBorders>
                    <w:tl2br w:val="nil"/>
                    <w:tr2bl w:val="nil"/>
                  </w:tcBorders>
                  <w:vAlign w:val="center"/>
                </w:tcPr>
                <w:p w14:paraId="4BFE99D8">
                  <w:pPr>
                    <w:pStyle w:val="39"/>
                    <w:tabs>
                      <w:tab w:val="left" w:pos="1480"/>
                      <w:tab w:val="left" w:pos="2918"/>
                      <w:tab w:val="left" w:pos="4409"/>
                    </w:tabs>
                    <w:autoSpaceDE w:val="0"/>
                    <w:autoSpaceDN w:val="0"/>
                    <w:adjustRightInd w:val="0"/>
                    <w:snapToGrid w:val="0"/>
                    <w:jc w:val="center"/>
                    <w:rPr>
                      <w:rFonts w:ascii="Times New Roman Regular" w:hAnsi="Times New Roman Regular" w:eastAsia="宋体" w:cs="Times New Roman Regular"/>
                      <w:b/>
                      <w:bCs/>
                      <w:kern w:val="0"/>
                      <w:szCs w:val="21"/>
                      <w:lang w:val="en-US" w:bidi="ar-SA"/>
                    </w:rPr>
                  </w:pPr>
                  <w:r>
                    <w:rPr>
                      <w:rFonts w:hint="eastAsia" w:ascii="Times New Roman Regular" w:hAnsi="Times New Roman Regular" w:eastAsia="宋体" w:cs="Times New Roman Regular"/>
                      <w:b/>
                      <w:bCs/>
                      <w:kern w:val="0"/>
                      <w:szCs w:val="21"/>
                      <w:lang w:val="en-US" w:bidi="ar-SA"/>
                    </w:rPr>
                    <w:t>监测浓度（</w:t>
                  </w:r>
                  <w:r>
                    <w:rPr>
                      <w:rFonts w:ascii="Times New Roman Regular" w:hAnsi="Times New Roman Regular" w:eastAsia="宋体" w:cs="Times New Roman Regular"/>
                      <w:b/>
                      <w:bCs/>
                      <w:kern w:val="0"/>
                      <w:szCs w:val="21"/>
                      <w:lang w:val="en-US" w:bidi="ar-SA"/>
                    </w:rPr>
                    <w:t>μg/m</w:t>
                  </w:r>
                  <w:r>
                    <w:rPr>
                      <w:rFonts w:ascii="Times New Roman Regular" w:hAnsi="Times New Roman Regular" w:eastAsia="宋体" w:cs="Times New Roman Regular"/>
                      <w:b/>
                      <w:bCs/>
                      <w:kern w:val="0"/>
                      <w:szCs w:val="21"/>
                      <w:vertAlign w:val="superscript"/>
                      <w:lang w:val="en-US" w:bidi="ar-SA"/>
                    </w:rPr>
                    <w:t>3</w:t>
                  </w:r>
                  <w:r>
                    <w:rPr>
                      <w:rFonts w:ascii="Times New Roman Regular" w:hAnsi="Times New Roman Regular" w:cs="Times New Roman Regular"/>
                      <w:b/>
                      <w:bCs/>
                      <w:szCs w:val="21"/>
                    </w:rPr>
                    <w:t>）</w:t>
                  </w:r>
                </w:p>
              </w:tc>
              <w:tc>
                <w:tcPr>
                  <w:tcW w:w="599" w:type="pct"/>
                  <w:tcBorders>
                    <w:tl2br w:val="nil"/>
                    <w:tr2bl w:val="nil"/>
                  </w:tcBorders>
                  <w:vAlign w:val="center"/>
                </w:tcPr>
                <w:p w14:paraId="31EA2BBA">
                  <w:pPr>
                    <w:pStyle w:val="39"/>
                    <w:tabs>
                      <w:tab w:val="left" w:pos="1480"/>
                      <w:tab w:val="left" w:pos="2918"/>
                      <w:tab w:val="left" w:pos="4409"/>
                    </w:tabs>
                    <w:autoSpaceDE w:val="0"/>
                    <w:autoSpaceDN w:val="0"/>
                    <w:adjustRightInd w:val="0"/>
                    <w:snapToGrid w:val="0"/>
                    <w:jc w:val="center"/>
                    <w:rPr>
                      <w:rFonts w:ascii="Times New Roman Regular" w:hAnsi="Times New Roman Regular" w:eastAsia="宋体" w:cs="Times New Roman Regular"/>
                      <w:b/>
                      <w:bCs/>
                      <w:kern w:val="0"/>
                      <w:szCs w:val="21"/>
                      <w:lang w:val="en-US" w:bidi="ar-SA"/>
                    </w:rPr>
                  </w:pPr>
                  <w:r>
                    <w:rPr>
                      <w:rFonts w:ascii="Times New Roman Regular" w:hAnsi="Times New Roman Regular" w:eastAsia="宋体" w:cs="Times New Roman Regular"/>
                      <w:b/>
                      <w:bCs/>
                      <w:kern w:val="0"/>
                      <w:szCs w:val="21"/>
                      <w:lang w:val="en-US" w:bidi="ar-SA"/>
                    </w:rPr>
                    <w:t>标准值/（μg/m</w:t>
                  </w:r>
                  <w:r>
                    <w:rPr>
                      <w:rFonts w:ascii="Times New Roman Regular" w:hAnsi="Times New Roman Regular" w:eastAsia="宋体" w:cs="Times New Roman Regular"/>
                      <w:b/>
                      <w:bCs/>
                      <w:kern w:val="0"/>
                      <w:szCs w:val="21"/>
                      <w:vertAlign w:val="superscript"/>
                      <w:lang w:val="en-US" w:bidi="ar-SA"/>
                    </w:rPr>
                    <w:t>3</w:t>
                  </w:r>
                  <w:r>
                    <w:rPr>
                      <w:rFonts w:ascii="Times New Roman Regular" w:hAnsi="Times New Roman Regular" w:cs="Times New Roman Regular"/>
                      <w:b/>
                      <w:bCs/>
                      <w:szCs w:val="21"/>
                    </w:rPr>
                    <w:t>）</w:t>
                  </w:r>
                </w:p>
              </w:tc>
              <w:tc>
                <w:tcPr>
                  <w:tcW w:w="660" w:type="pct"/>
                  <w:tcBorders>
                    <w:tl2br w:val="nil"/>
                    <w:tr2bl w:val="nil"/>
                  </w:tcBorders>
                  <w:vAlign w:val="center"/>
                </w:tcPr>
                <w:p w14:paraId="5EBB5469">
                  <w:pPr>
                    <w:pStyle w:val="39"/>
                    <w:tabs>
                      <w:tab w:val="left" w:pos="1480"/>
                      <w:tab w:val="left" w:pos="2918"/>
                      <w:tab w:val="left" w:pos="4409"/>
                    </w:tabs>
                    <w:autoSpaceDE w:val="0"/>
                    <w:autoSpaceDN w:val="0"/>
                    <w:adjustRightInd w:val="0"/>
                    <w:snapToGrid w:val="0"/>
                    <w:jc w:val="center"/>
                    <w:rPr>
                      <w:rFonts w:ascii="Times New Roman" w:hAnsi="Times New Roman" w:eastAsia="宋体" w:cs="Times New Roman"/>
                      <w:b/>
                      <w:bCs/>
                      <w:kern w:val="0"/>
                      <w:szCs w:val="21"/>
                      <w:lang w:val="en-US" w:bidi="ar-SA"/>
                    </w:rPr>
                  </w:pPr>
                  <w:r>
                    <w:rPr>
                      <w:rFonts w:hint="eastAsia" w:ascii="Times New Roman" w:hAnsi="Times New Roman" w:eastAsia="宋体" w:cs="Times New Roman"/>
                      <w:b/>
                      <w:bCs/>
                      <w:kern w:val="0"/>
                      <w:szCs w:val="21"/>
                      <w:lang w:val="en-US" w:bidi="ar-SA"/>
                    </w:rPr>
                    <w:t>超标率</w:t>
                  </w:r>
                </w:p>
              </w:tc>
              <w:tc>
                <w:tcPr>
                  <w:tcW w:w="726" w:type="pct"/>
                  <w:tcBorders>
                    <w:tl2br w:val="nil"/>
                    <w:tr2bl w:val="nil"/>
                  </w:tcBorders>
                  <w:vAlign w:val="center"/>
                </w:tcPr>
                <w:p w14:paraId="75677B48">
                  <w:pPr>
                    <w:pStyle w:val="39"/>
                    <w:tabs>
                      <w:tab w:val="left" w:pos="1480"/>
                      <w:tab w:val="left" w:pos="2918"/>
                      <w:tab w:val="left" w:pos="4409"/>
                    </w:tabs>
                    <w:autoSpaceDE w:val="0"/>
                    <w:autoSpaceDN w:val="0"/>
                    <w:adjustRightInd w:val="0"/>
                    <w:snapToGrid w:val="0"/>
                    <w:jc w:val="center"/>
                    <w:rPr>
                      <w:rFonts w:ascii="Times New Roman" w:hAnsi="Times New Roman" w:eastAsia="宋体" w:cs="Times New Roman"/>
                      <w:b/>
                      <w:bCs/>
                      <w:kern w:val="0"/>
                      <w:szCs w:val="21"/>
                      <w:lang w:val="en-US" w:bidi="ar-SA"/>
                    </w:rPr>
                  </w:pPr>
                  <w:r>
                    <w:rPr>
                      <w:rFonts w:hint="eastAsia" w:ascii="Times New Roman" w:hAnsi="Times New Roman" w:eastAsia="宋体" w:cs="Times New Roman"/>
                      <w:b/>
                      <w:bCs/>
                      <w:kern w:val="0"/>
                      <w:szCs w:val="21"/>
                      <w:lang w:val="en-US" w:bidi="ar-SA"/>
                    </w:rPr>
                    <w:t>占标率%</w:t>
                  </w:r>
                </w:p>
              </w:tc>
              <w:tc>
                <w:tcPr>
                  <w:tcW w:w="518" w:type="pct"/>
                  <w:tcBorders>
                    <w:tl2br w:val="nil"/>
                    <w:tr2bl w:val="nil"/>
                  </w:tcBorders>
                  <w:vAlign w:val="center"/>
                </w:tcPr>
                <w:p w14:paraId="7C4678F2">
                  <w:pPr>
                    <w:pStyle w:val="39"/>
                    <w:tabs>
                      <w:tab w:val="left" w:pos="1480"/>
                      <w:tab w:val="left" w:pos="2918"/>
                      <w:tab w:val="left" w:pos="4409"/>
                    </w:tabs>
                    <w:autoSpaceDE w:val="0"/>
                    <w:autoSpaceDN w:val="0"/>
                    <w:adjustRightInd w:val="0"/>
                    <w:snapToGrid w:val="0"/>
                    <w:jc w:val="center"/>
                    <w:rPr>
                      <w:rFonts w:ascii="Times New Roman" w:hAnsi="Times New Roman" w:eastAsia="宋体" w:cs="Times New Roman"/>
                      <w:b/>
                      <w:bCs/>
                      <w:kern w:val="0"/>
                      <w:szCs w:val="21"/>
                      <w:lang w:val="en-US" w:bidi="ar-SA"/>
                    </w:rPr>
                  </w:pPr>
                  <w:r>
                    <w:rPr>
                      <w:rFonts w:hint="eastAsia" w:ascii="Times New Roman" w:hAnsi="Times New Roman" w:eastAsia="宋体" w:cs="Times New Roman"/>
                      <w:b/>
                      <w:bCs/>
                      <w:kern w:val="0"/>
                      <w:szCs w:val="21"/>
                      <w:lang w:val="en-US" w:bidi="ar-SA"/>
                    </w:rPr>
                    <w:t>达标</w:t>
                  </w:r>
                </w:p>
                <w:p w14:paraId="0AC070E5">
                  <w:pPr>
                    <w:pStyle w:val="39"/>
                    <w:tabs>
                      <w:tab w:val="left" w:pos="1480"/>
                      <w:tab w:val="left" w:pos="2918"/>
                      <w:tab w:val="left" w:pos="4409"/>
                    </w:tabs>
                    <w:autoSpaceDE w:val="0"/>
                    <w:autoSpaceDN w:val="0"/>
                    <w:adjustRightInd w:val="0"/>
                    <w:snapToGrid w:val="0"/>
                    <w:jc w:val="center"/>
                    <w:rPr>
                      <w:rFonts w:ascii="Times New Roman" w:hAnsi="Times New Roman" w:eastAsia="宋体" w:cs="Times New Roman"/>
                      <w:b/>
                      <w:bCs/>
                      <w:kern w:val="0"/>
                      <w:szCs w:val="21"/>
                      <w:lang w:val="en-US" w:bidi="ar-SA"/>
                    </w:rPr>
                  </w:pPr>
                  <w:r>
                    <w:rPr>
                      <w:rFonts w:hint="eastAsia" w:ascii="Times New Roman" w:hAnsi="Times New Roman" w:eastAsia="宋体" w:cs="Times New Roman"/>
                      <w:b/>
                      <w:bCs/>
                      <w:kern w:val="0"/>
                      <w:szCs w:val="21"/>
                      <w:lang w:val="en-US" w:bidi="ar-SA"/>
                    </w:rPr>
                    <w:t>情况</w:t>
                  </w:r>
                </w:p>
              </w:tc>
            </w:tr>
            <w:tr w14:paraId="188BC3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8" w:type="pct"/>
                  <w:vMerge w:val="restart"/>
                  <w:tcBorders>
                    <w:tl2br w:val="nil"/>
                    <w:tr2bl w:val="nil"/>
                  </w:tcBorders>
                  <w:vAlign w:val="center"/>
                </w:tcPr>
                <w:p w14:paraId="690A82B3">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TSP</w:t>
                  </w:r>
                </w:p>
              </w:tc>
              <w:tc>
                <w:tcPr>
                  <w:tcW w:w="610" w:type="pct"/>
                  <w:tcBorders>
                    <w:tl2br w:val="nil"/>
                    <w:tr2bl w:val="nil"/>
                  </w:tcBorders>
                  <w:vAlign w:val="center"/>
                </w:tcPr>
                <w:p w14:paraId="1C53DC13">
                  <w:pPr>
                    <w:pStyle w:val="39"/>
                    <w:autoSpaceDE w:val="0"/>
                    <w:autoSpaceDN w:val="0"/>
                    <w:adjustRightInd w:val="0"/>
                    <w:snapToGrid w:val="0"/>
                    <w:jc w:val="center"/>
                    <w:rPr>
                      <w:rFonts w:ascii="Times New Roman" w:hAnsi="Times New Roman" w:eastAsia="宋体" w:cs="Times New Roman"/>
                      <w:kern w:val="0"/>
                      <w:szCs w:val="21"/>
                      <w:lang w:val="en-US" w:bidi="ar-SA"/>
                    </w:rPr>
                  </w:pPr>
                  <w:r>
                    <w:rPr>
                      <w:rFonts w:hint="eastAsia" w:ascii="Times New Roman" w:hAnsi="Times New Roman" w:eastAsia="宋体" w:cs="Times New Roman"/>
                      <w:kern w:val="0"/>
                      <w:szCs w:val="21"/>
                      <w:lang w:val="en-US" w:bidi="ar-SA"/>
                    </w:rPr>
                    <w:t>4</w:t>
                  </w:r>
                  <w:r>
                    <w:rPr>
                      <w:rFonts w:ascii="Times New Roman" w:hAnsi="Times New Roman" w:eastAsia="宋体" w:cs="Times New Roman"/>
                      <w:kern w:val="0"/>
                      <w:szCs w:val="21"/>
                      <w:lang w:val="en-US" w:bidi="ar-SA"/>
                    </w:rPr>
                    <w:t>月</w:t>
                  </w:r>
                  <w:r>
                    <w:rPr>
                      <w:rFonts w:hint="eastAsia" w:ascii="Times New Roman" w:hAnsi="Times New Roman" w:eastAsia="宋体" w:cs="Times New Roman"/>
                      <w:kern w:val="0"/>
                      <w:szCs w:val="21"/>
                      <w:lang w:val="en-US" w:bidi="ar-SA"/>
                    </w:rPr>
                    <w:t>27</w:t>
                  </w:r>
                  <w:r>
                    <w:rPr>
                      <w:rFonts w:ascii="Times New Roman" w:hAnsi="Times New Roman" w:eastAsia="宋体" w:cs="Times New Roman"/>
                      <w:kern w:val="0"/>
                      <w:szCs w:val="21"/>
                      <w:lang w:val="en-US" w:bidi="ar-SA"/>
                    </w:rPr>
                    <w:t>日</w:t>
                  </w:r>
                </w:p>
              </w:tc>
              <w:tc>
                <w:tcPr>
                  <w:tcW w:w="653" w:type="pct"/>
                  <w:tcBorders>
                    <w:tl2br w:val="nil"/>
                    <w:tr2bl w:val="nil"/>
                  </w:tcBorders>
                  <w:vAlign w:val="center"/>
                </w:tcPr>
                <w:p w14:paraId="33B0AF4E">
                  <w:pPr>
                    <w:pStyle w:val="39"/>
                    <w:autoSpaceDE w:val="0"/>
                    <w:autoSpaceDN w:val="0"/>
                    <w:adjustRightInd w:val="0"/>
                    <w:snapToGrid w:val="0"/>
                    <w:jc w:val="center"/>
                    <w:rPr>
                      <w:rFonts w:ascii="Times New Roman" w:hAnsi="Times New Roman" w:eastAsia="宋体" w:cs="Times New Roman"/>
                      <w:kern w:val="0"/>
                      <w:szCs w:val="21"/>
                      <w:lang w:val="en-US" w:bidi="ar-SA"/>
                    </w:rPr>
                  </w:pPr>
                  <w:r>
                    <w:rPr>
                      <w:rFonts w:ascii="Times New Roman" w:hAnsi="Times New Roman" w:eastAsia="宋体" w:cs="Times New Roman"/>
                      <w:kern w:val="0"/>
                      <w:szCs w:val="21"/>
                      <w:lang w:val="en-US" w:bidi="ar-SA"/>
                    </w:rPr>
                    <w:t>厂</w:t>
                  </w:r>
                  <w:r>
                    <w:rPr>
                      <w:rFonts w:hint="eastAsia" w:ascii="Times New Roman" w:hAnsi="Times New Roman" w:eastAsia="宋体" w:cs="Times New Roman"/>
                      <w:kern w:val="0"/>
                      <w:szCs w:val="21"/>
                      <w:lang w:val="en-US" w:bidi="ar-SA"/>
                    </w:rPr>
                    <w:t>区内</w:t>
                  </w:r>
                </w:p>
              </w:tc>
              <w:tc>
                <w:tcPr>
                  <w:tcW w:w="842" w:type="pct"/>
                  <w:tcBorders>
                    <w:tl2br w:val="nil"/>
                    <w:tr2bl w:val="nil"/>
                  </w:tcBorders>
                  <w:vAlign w:val="center"/>
                </w:tcPr>
                <w:p w14:paraId="6D37336C">
                  <w:pPr>
                    <w:pStyle w:val="39"/>
                    <w:autoSpaceDE w:val="0"/>
                    <w:autoSpaceDN w:val="0"/>
                    <w:adjustRightInd w:val="0"/>
                    <w:snapToGrid w:val="0"/>
                    <w:jc w:val="center"/>
                    <w:rPr>
                      <w:rFonts w:ascii="Times New Roman" w:hAnsi="Times New Roman" w:eastAsia="宋体" w:cs="Times New Roman"/>
                      <w:kern w:val="0"/>
                      <w:szCs w:val="21"/>
                      <w:lang w:val="en-US" w:bidi="ar-SA"/>
                    </w:rPr>
                  </w:pPr>
                  <w:r>
                    <w:rPr>
                      <w:rFonts w:hint="eastAsia" w:ascii="Times New Roman" w:hAnsi="Times New Roman" w:eastAsia="宋体" w:cs="Times New Roman"/>
                      <w:kern w:val="0"/>
                      <w:szCs w:val="21"/>
                      <w:lang w:val="en-US" w:bidi="ar-SA"/>
                    </w:rPr>
                    <w:t>97</w:t>
                  </w:r>
                </w:p>
              </w:tc>
              <w:tc>
                <w:tcPr>
                  <w:tcW w:w="599" w:type="pct"/>
                  <w:vMerge w:val="restart"/>
                  <w:tcBorders>
                    <w:tl2br w:val="nil"/>
                    <w:tr2bl w:val="nil"/>
                  </w:tcBorders>
                  <w:vAlign w:val="center"/>
                </w:tcPr>
                <w:p w14:paraId="65EA5392">
                  <w:pPr>
                    <w:pStyle w:val="39"/>
                    <w:autoSpaceDE w:val="0"/>
                    <w:autoSpaceDN w:val="0"/>
                    <w:adjustRightInd w:val="0"/>
                    <w:snapToGrid w:val="0"/>
                    <w:jc w:val="center"/>
                    <w:rPr>
                      <w:rFonts w:ascii="Times New Roman" w:hAnsi="Times New Roman" w:eastAsia="宋体" w:cs="Times New Roman"/>
                      <w:kern w:val="0"/>
                      <w:szCs w:val="21"/>
                      <w:lang w:val="en-US" w:bidi="ar-SA"/>
                    </w:rPr>
                  </w:pPr>
                  <w:r>
                    <w:rPr>
                      <w:rFonts w:hint="eastAsia" w:ascii="Times New Roman" w:hAnsi="Times New Roman" w:eastAsia="宋体" w:cs="Times New Roman"/>
                      <w:kern w:val="0"/>
                      <w:szCs w:val="21"/>
                      <w:lang w:val="en-US" w:bidi="ar-SA"/>
                    </w:rPr>
                    <w:t>300</w:t>
                  </w:r>
                </w:p>
              </w:tc>
              <w:tc>
                <w:tcPr>
                  <w:tcW w:w="660" w:type="pct"/>
                  <w:tcBorders>
                    <w:tl2br w:val="nil"/>
                    <w:tr2bl w:val="nil"/>
                  </w:tcBorders>
                  <w:vAlign w:val="center"/>
                </w:tcPr>
                <w:p w14:paraId="3CB9AFD2">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726" w:type="pct"/>
                  <w:tcBorders>
                    <w:tl2br w:val="nil"/>
                    <w:tr2bl w:val="nil"/>
                  </w:tcBorders>
                  <w:vAlign w:val="center"/>
                </w:tcPr>
                <w:p w14:paraId="45CE2243">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32.3</w:t>
                  </w:r>
                </w:p>
              </w:tc>
              <w:tc>
                <w:tcPr>
                  <w:tcW w:w="518" w:type="pct"/>
                  <w:tcBorders>
                    <w:tl2br w:val="nil"/>
                    <w:tr2bl w:val="nil"/>
                  </w:tcBorders>
                  <w:vAlign w:val="center"/>
                </w:tcPr>
                <w:p w14:paraId="04CCAC13">
                  <w:pPr>
                    <w:pStyle w:val="39"/>
                    <w:autoSpaceDE w:val="0"/>
                    <w:autoSpaceDN w:val="0"/>
                    <w:adjustRightInd w:val="0"/>
                    <w:snapToGrid w:val="0"/>
                    <w:jc w:val="center"/>
                    <w:rPr>
                      <w:rFonts w:ascii="Times New Roman" w:hAnsi="Times New Roman" w:eastAsia="宋体" w:cs="Times New Roman"/>
                      <w:kern w:val="0"/>
                      <w:szCs w:val="21"/>
                      <w:lang w:val="en-US" w:bidi="ar-SA"/>
                    </w:rPr>
                  </w:pPr>
                  <w:r>
                    <w:rPr>
                      <w:rFonts w:hint="eastAsia" w:ascii="Times New Roman" w:hAnsi="Times New Roman" w:eastAsia="宋体" w:cs="Times New Roman"/>
                      <w:kern w:val="0"/>
                      <w:szCs w:val="21"/>
                      <w:lang w:val="en-US" w:bidi="ar-SA"/>
                    </w:rPr>
                    <w:t>达标</w:t>
                  </w:r>
                </w:p>
              </w:tc>
            </w:tr>
            <w:tr w14:paraId="2E9273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8" w:type="pct"/>
                  <w:vMerge w:val="continue"/>
                  <w:tcBorders>
                    <w:tl2br w:val="nil"/>
                    <w:tr2bl w:val="nil"/>
                  </w:tcBorders>
                  <w:vAlign w:val="center"/>
                </w:tcPr>
                <w:p w14:paraId="4ADC7C42">
                  <w:pPr>
                    <w:pStyle w:val="39"/>
                    <w:autoSpaceDE w:val="0"/>
                    <w:autoSpaceDN w:val="0"/>
                    <w:adjustRightInd w:val="0"/>
                    <w:snapToGrid w:val="0"/>
                    <w:jc w:val="center"/>
                    <w:rPr>
                      <w:rFonts w:ascii="Times New Roman" w:hAnsi="Times New Roman" w:eastAsia="宋体" w:cs="Times New Roman"/>
                      <w:kern w:val="0"/>
                      <w:szCs w:val="21"/>
                      <w:lang w:val="en-US" w:bidi="ar-SA"/>
                    </w:rPr>
                  </w:pPr>
                </w:p>
              </w:tc>
              <w:tc>
                <w:tcPr>
                  <w:tcW w:w="610" w:type="pct"/>
                  <w:tcBorders>
                    <w:tl2br w:val="nil"/>
                    <w:tr2bl w:val="nil"/>
                  </w:tcBorders>
                  <w:vAlign w:val="center"/>
                </w:tcPr>
                <w:p w14:paraId="2E357801">
                  <w:pPr>
                    <w:pStyle w:val="39"/>
                    <w:autoSpaceDE w:val="0"/>
                    <w:autoSpaceDN w:val="0"/>
                    <w:adjustRightInd w:val="0"/>
                    <w:snapToGrid w:val="0"/>
                    <w:jc w:val="center"/>
                    <w:rPr>
                      <w:rFonts w:ascii="Times New Roman" w:hAnsi="Times New Roman" w:eastAsia="宋体" w:cs="Times New Roman"/>
                      <w:kern w:val="0"/>
                      <w:szCs w:val="21"/>
                      <w:lang w:val="en-US" w:bidi="ar-SA"/>
                    </w:rPr>
                  </w:pPr>
                  <w:r>
                    <w:rPr>
                      <w:rFonts w:hint="eastAsia" w:ascii="Times New Roman" w:hAnsi="Times New Roman" w:eastAsia="宋体" w:cs="Times New Roman"/>
                      <w:kern w:val="0"/>
                      <w:szCs w:val="21"/>
                      <w:lang w:val="en-US" w:bidi="ar-SA"/>
                    </w:rPr>
                    <w:t>4</w:t>
                  </w:r>
                  <w:r>
                    <w:rPr>
                      <w:rFonts w:ascii="Times New Roman" w:hAnsi="Times New Roman" w:eastAsia="宋体" w:cs="Times New Roman"/>
                      <w:kern w:val="0"/>
                      <w:szCs w:val="21"/>
                      <w:lang w:val="en-US" w:bidi="ar-SA"/>
                    </w:rPr>
                    <w:t>月</w:t>
                  </w:r>
                  <w:r>
                    <w:rPr>
                      <w:rFonts w:hint="eastAsia" w:ascii="Times New Roman" w:hAnsi="Times New Roman" w:eastAsia="宋体" w:cs="Times New Roman"/>
                      <w:kern w:val="0"/>
                      <w:szCs w:val="21"/>
                      <w:lang w:val="en-US" w:bidi="ar-SA"/>
                    </w:rPr>
                    <w:t>28</w:t>
                  </w:r>
                  <w:r>
                    <w:rPr>
                      <w:rFonts w:ascii="Times New Roman" w:hAnsi="Times New Roman" w:eastAsia="宋体" w:cs="Times New Roman"/>
                      <w:kern w:val="0"/>
                      <w:szCs w:val="21"/>
                      <w:lang w:val="en-US" w:bidi="ar-SA"/>
                    </w:rPr>
                    <w:t>日</w:t>
                  </w:r>
                </w:p>
              </w:tc>
              <w:tc>
                <w:tcPr>
                  <w:tcW w:w="653" w:type="pct"/>
                  <w:tcBorders>
                    <w:tl2br w:val="nil"/>
                    <w:tr2bl w:val="nil"/>
                  </w:tcBorders>
                  <w:vAlign w:val="center"/>
                </w:tcPr>
                <w:p w14:paraId="7B7AF250">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厂</w:t>
                  </w:r>
                  <w:r>
                    <w:rPr>
                      <w:rFonts w:hint="eastAsia" w:ascii="Times New Roman" w:hAnsi="Times New Roman" w:eastAsia="宋体" w:cs="Times New Roman"/>
                      <w:kern w:val="0"/>
                      <w:szCs w:val="21"/>
                    </w:rPr>
                    <w:t>区内</w:t>
                  </w:r>
                </w:p>
              </w:tc>
              <w:tc>
                <w:tcPr>
                  <w:tcW w:w="842" w:type="pct"/>
                  <w:tcBorders>
                    <w:tl2br w:val="nil"/>
                    <w:tr2bl w:val="nil"/>
                  </w:tcBorders>
                  <w:vAlign w:val="center"/>
                </w:tcPr>
                <w:p w14:paraId="449E9FCD">
                  <w:pPr>
                    <w:pStyle w:val="39"/>
                    <w:autoSpaceDE w:val="0"/>
                    <w:autoSpaceDN w:val="0"/>
                    <w:adjustRightInd w:val="0"/>
                    <w:snapToGrid w:val="0"/>
                    <w:jc w:val="center"/>
                    <w:rPr>
                      <w:rFonts w:ascii="Times New Roman" w:hAnsi="Times New Roman" w:eastAsia="宋体" w:cs="Times New Roman"/>
                      <w:kern w:val="0"/>
                      <w:szCs w:val="21"/>
                      <w:lang w:val="en-US" w:bidi="ar-SA"/>
                    </w:rPr>
                  </w:pPr>
                  <w:r>
                    <w:rPr>
                      <w:rFonts w:hint="eastAsia" w:ascii="Times New Roman" w:hAnsi="Times New Roman" w:eastAsia="宋体" w:cs="Times New Roman"/>
                      <w:kern w:val="0"/>
                      <w:szCs w:val="21"/>
                      <w:lang w:val="en-US" w:bidi="ar-SA"/>
                    </w:rPr>
                    <w:t>225</w:t>
                  </w:r>
                </w:p>
              </w:tc>
              <w:tc>
                <w:tcPr>
                  <w:tcW w:w="599" w:type="pct"/>
                  <w:vMerge w:val="continue"/>
                  <w:tcBorders>
                    <w:tl2br w:val="nil"/>
                    <w:tr2bl w:val="nil"/>
                  </w:tcBorders>
                  <w:vAlign w:val="center"/>
                </w:tcPr>
                <w:p w14:paraId="6C0463F3">
                  <w:pPr>
                    <w:pStyle w:val="39"/>
                    <w:autoSpaceDE w:val="0"/>
                    <w:autoSpaceDN w:val="0"/>
                    <w:adjustRightInd w:val="0"/>
                    <w:snapToGrid w:val="0"/>
                    <w:jc w:val="center"/>
                    <w:rPr>
                      <w:rFonts w:ascii="Times New Roman" w:hAnsi="Times New Roman" w:eastAsia="宋体" w:cs="Times New Roman"/>
                      <w:kern w:val="0"/>
                      <w:szCs w:val="21"/>
                      <w:lang w:val="en-US" w:bidi="ar-SA"/>
                    </w:rPr>
                  </w:pPr>
                </w:p>
              </w:tc>
              <w:tc>
                <w:tcPr>
                  <w:tcW w:w="660" w:type="pct"/>
                  <w:tcBorders>
                    <w:tl2br w:val="nil"/>
                    <w:tr2bl w:val="nil"/>
                  </w:tcBorders>
                  <w:vAlign w:val="center"/>
                </w:tcPr>
                <w:p w14:paraId="01E0666D">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726" w:type="pct"/>
                  <w:tcBorders>
                    <w:tl2br w:val="nil"/>
                    <w:tr2bl w:val="nil"/>
                  </w:tcBorders>
                  <w:vAlign w:val="center"/>
                </w:tcPr>
                <w:p w14:paraId="0B740F95">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75</w:t>
                  </w:r>
                </w:p>
              </w:tc>
              <w:tc>
                <w:tcPr>
                  <w:tcW w:w="518" w:type="pct"/>
                  <w:tcBorders>
                    <w:tl2br w:val="nil"/>
                    <w:tr2bl w:val="nil"/>
                  </w:tcBorders>
                  <w:vAlign w:val="center"/>
                </w:tcPr>
                <w:p w14:paraId="277002F0">
                  <w:pPr>
                    <w:autoSpaceDE w:val="0"/>
                    <w:autoSpaceDN w:val="0"/>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达标</w:t>
                  </w:r>
                </w:p>
              </w:tc>
            </w:tr>
            <w:tr w14:paraId="1CF544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8" w:type="pct"/>
                  <w:vMerge w:val="continue"/>
                  <w:tcBorders>
                    <w:tl2br w:val="nil"/>
                    <w:tr2bl w:val="nil"/>
                  </w:tcBorders>
                  <w:vAlign w:val="center"/>
                </w:tcPr>
                <w:p w14:paraId="31E58A4C">
                  <w:pPr>
                    <w:pStyle w:val="39"/>
                    <w:autoSpaceDE w:val="0"/>
                    <w:autoSpaceDN w:val="0"/>
                    <w:adjustRightInd w:val="0"/>
                    <w:snapToGrid w:val="0"/>
                    <w:jc w:val="center"/>
                    <w:rPr>
                      <w:rFonts w:ascii="Times New Roman" w:hAnsi="Times New Roman" w:eastAsia="宋体" w:cs="Times New Roman"/>
                      <w:kern w:val="0"/>
                      <w:szCs w:val="21"/>
                      <w:lang w:val="en-US" w:bidi="ar-SA"/>
                    </w:rPr>
                  </w:pPr>
                </w:p>
              </w:tc>
              <w:tc>
                <w:tcPr>
                  <w:tcW w:w="610" w:type="pct"/>
                  <w:tcBorders>
                    <w:tl2br w:val="nil"/>
                    <w:tr2bl w:val="nil"/>
                  </w:tcBorders>
                  <w:vAlign w:val="center"/>
                </w:tcPr>
                <w:p w14:paraId="0D9375F7">
                  <w:pPr>
                    <w:pStyle w:val="39"/>
                    <w:autoSpaceDE w:val="0"/>
                    <w:autoSpaceDN w:val="0"/>
                    <w:adjustRightInd w:val="0"/>
                    <w:snapToGrid w:val="0"/>
                    <w:jc w:val="center"/>
                    <w:rPr>
                      <w:rFonts w:ascii="Times New Roman" w:hAnsi="Times New Roman" w:eastAsia="宋体" w:cs="Times New Roman"/>
                      <w:kern w:val="0"/>
                      <w:szCs w:val="21"/>
                      <w:lang w:val="en-US" w:bidi="ar-SA"/>
                    </w:rPr>
                  </w:pPr>
                  <w:r>
                    <w:rPr>
                      <w:rFonts w:hint="eastAsia" w:ascii="Times New Roman" w:hAnsi="Times New Roman" w:eastAsia="宋体" w:cs="Times New Roman"/>
                      <w:kern w:val="0"/>
                      <w:szCs w:val="21"/>
                      <w:lang w:val="en-US" w:bidi="ar-SA"/>
                    </w:rPr>
                    <w:t>4</w:t>
                  </w:r>
                  <w:r>
                    <w:rPr>
                      <w:rFonts w:ascii="Times New Roman" w:hAnsi="Times New Roman" w:eastAsia="宋体" w:cs="Times New Roman"/>
                      <w:kern w:val="0"/>
                      <w:szCs w:val="21"/>
                      <w:lang w:val="en-US" w:bidi="ar-SA"/>
                    </w:rPr>
                    <w:t>月</w:t>
                  </w:r>
                  <w:r>
                    <w:rPr>
                      <w:rFonts w:hint="eastAsia" w:ascii="Times New Roman" w:hAnsi="Times New Roman" w:eastAsia="宋体" w:cs="Times New Roman"/>
                      <w:kern w:val="0"/>
                      <w:szCs w:val="21"/>
                      <w:lang w:val="en-US" w:bidi="ar-SA"/>
                    </w:rPr>
                    <w:t>29</w:t>
                  </w:r>
                  <w:r>
                    <w:rPr>
                      <w:rFonts w:ascii="Times New Roman" w:hAnsi="Times New Roman" w:eastAsia="宋体" w:cs="Times New Roman"/>
                      <w:kern w:val="0"/>
                      <w:szCs w:val="21"/>
                      <w:lang w:val="en-US" w:bidi="ar-SA"/>
                    </w:rPr>
                    <w:t>日</w:t>
                  </w:r>
                </w:p>
              </w:tc>
              <w:tc>
                <w:tcPr>
                  <w:tcW w:w="653" w:type="pct"/>
                  <w:tcBorders>
                    <w:tl2br w:val="nil"/>
                    <w:tr2bl w:val="nil"/>
                  </w:tcBorders>
                  <w:vAlign w:val="center"/>
                </w:tcPr>
                <w:p w14:paraId="33B5A407">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厂</w:t>
                  </w:r>
                  <w:r>
                    <w:rPr>
                      <w:rFonts w:hint="eastAsia" w:ascii="Times New Roman" w:hAnsi="Times New Roman" w:eastAsia="宋体" w:cs="Times New Roman"/>
                      <w:kern w:val="0"/>
                      <w:szCs w:val="21"/>
                    </w:rPr>
                    <w:t>区内</w:t>
                  </w:r>
                </w:p>
              </w:tc>
              <w:tc>
                <w:tcPr>
                  <w:tcW w:w="842" w:type="pct"/>
                  <w:tcBorders>
                    <w:tl2br w:val="nil"/>
                    <w:tr2bl w:val="nil"/>
                  </w:tcBorders>
                  <w:vAlign w:val="center"/>
                </w:tcPr>
                <w:p w14:paraId="2118479A">
                  <w:pPr>
                    <w:pStyle w:val="39"/>
                    <w:autoSpaceDE w:val="0"/>
                    <w:autoSpaceDN w:val="0"/>
                    <w:adjustRightInd w:val="0"/>
                    <w:snapToGrid w:val="0"/>
                    <w:jc w:val="center"/>
                    <w:rPr>
                      <w:rFonts w:ascii="Times New Roman" w:hAnsi="Times New Roman" w:eastAsia="宋体" w:cs="Times New Roman"/>
                      <w:kern w:val="0"/>
                      <w:szCs w:val="21"/>
                      <w:lang w:val="en-US" w:bidi="ar-SA"/>
                    </w:rPr>
                  </w:pPr>
                  <w:r>
                    <w:rPr>
                      <w:rFonts w:hint="eastAsia" w:ascii="Times New Roman" w:hAnsi="Times New Roman" w:eastAsia="宋体" w:cs="Times New Roman"/>
                      <w:kern w:val="0"/>
                      <w:szCs w:val="21"/>
                      <w:lang w:val="en-US" w:bidi="ar-SA"/>
                    </w:rPr>
                    <w:t>155</w:t>
                  </w:r>
                </w:p>
              </w:tc>
              <w:tc>
                <w:tcPr>
                  <w:tcW w:w="599" w:type="pct"/>
                  <w:vMerge w:val="continue"/>
                  <w:tcBorders>
                    <w:tl2br w:val="nil"/>
                    <w:tr2bl w:val="nil"/>
                  </w:tcBorders>
                  <w:vAlign w:val="center"/>
                </w:tcPr>
                <w:p w14:paraId="0E023DBF">
                  <w:pPr>
                    <w:pStyle w:val="39"/>
                    <w:autoSpaceDE w:val="0"/>
                    <w:autoSpaceDN w:val="0"/>
                    <w:adjustRightInd w:val="0"/>
                    <w:snapToGrid w:val="0"/>
                    <w:jc w:val="center"/>
                    <w:rPr>
                      <w:rFonts w:ascii="Times New Roman" w:hAnsi="Times New Roman" w:eastAsia="宋体" w:cs="Times New Roman"/>
                      <w:kern w:val="0"/>
                      <w:szCs w:val="21"/>
                      <w:lang w:val="en-US" w:bidi="ar-SA"/>
                    </w:rPr>
                  </w:pPr>
                </w:p>
              </w:tc>
              <w:tc>
                <w:tcPr>
                  <w:tcW w:w="660" w:type="pct"/>
                  <w:tcBorders>
                    <w:tl2br w:val="nil"/>
                    <w:tr2bl w:val="nil"/>
                  </w:tcBorders>
                  <w:vAlign w:val="center"/>
                </w:tcPr>
                <w:p w14:paraId="2B2D21FE">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726" w:type="pct"/>
                  <w:tcBorders>
                    <w:tl2br w:val="nil"/>
                    <w:tr2bl w:val="nil"/>
                  </w:tcBorders>
                  <w:vAlign w:val="center"/>
                </w:tcPr>
                <w:p w14:paraId="3189D583">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51.7</w:t>
                  </w:r>
                </w:p>
              </w:tc>
              <w:tc>
                <w:tcPr>
                  <w:tcW w:w="518" w:type="pct"/>
                  <w:tcBorders>
                    <w:tl2br w:val="nil"/>
                    <w:tr2bl w:val="nil"/>
                  </w:tcBorders>
                  <w:vAlign w:val="center"/>
                </w:tcPr>
                <w:p w14:paraId="2042D002">
                  <w:pPr>
                    <w:autoSpaceDE w:val="0"/>
                    <w:autoSpaceDN w:val="0"/>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达标</w:t>
                  </w:r>
                </w:p>
              </w:tc>
            </w:tr>
            <w:tr w14:paraId="7A378F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8" w:type="pct"/>
                  <w:vMerge w:val="continue"/>
                  <w:tcBorders>
                    <w:tl2br w:val="nil"/>
                    <w:tr2bl w:val="nil"/>
                  </w:tcBorders>
                  <w:vAlign w:val="center"/>
                </w:tcPr>
                <w:p w14:paraId="41C5DC26">
                  <w:pPr>
                    <w:pStyle w:val="39"/>
                    <w:autoSpaceDE w:val="0"/>
                    <w:autoSpaceDN w:val="0"/>
                    <w:adjustRightInd w:val="0"/>
                    <w:snapToGrid w:val="0"/>
                    <w:jc w:val="center"/>
                    <w:rPr>
                      <w:rFonts w:ascii="Times New Roman" w:hAnsi="Times New Roman" w:eastAsia="宋体" w:cs="Times New Roman"/>
                      <w:kern w:val="0"/>
                      <w:szCs w:val="21"/>
                      <w:lang w:val="en-US" w:bidi="ar-SA"/>
                    </w:rPr>
                  </w:pPr>
                </w:p>
              </w:tc>
              <w:tc>
                <w:tcPr>
                  <w:tcW w:w="610" w:type="pct"/>
                  <w:tcBorders>
                    <w:tl2br w:val="nil"/>
                    <w:tr2bl w:val="nil"/>
                  </w:tcBorders>
                  <w:vAlign w:val="center"/>
                </w:tcPr>
                <w:p w14:paraId="15B5DCB9">
                  <w:pPr>
                    <w:pStyle w:val="39"/>
                    <w:autoSpaceDE w:val="0"/>
                    <w:autoSpaceDN w:val="0"/>
                    <w:adjustRightInd w:val="0"/>
                    <w:snapToGrid w:val="0"/>
                    <w:jc w:val="center"/>
                    <w:rPr>
                      <w:rFonts w:ascii="Times New Roman" w:hAnsi="Times New Roman" w:eastAsia="宋体" w:cs="Times New Roman"/>
                      <w:kern w:val="0"/>
                      <w:szCs w:val="21"/>
                      <w:lang w:val="en-US" w:bidi="ar-SA"/>
                    </w:rPr>
                  </w:pPr>
                  <w:r>
                    <w:rPr>
                      <w:rFonts w:hint="eastAsia" w:ascii="Times New Roman" w:hAnsi="Times New Roman" w:eastAsia="宋体" w:cs="Times New Roman"/>
                      <w:kern w:val="0"/>
                      <w:szCs w:val="21"/>
                      <w:lang w:val="en-US" w:bidi="ar-SA"/>
                    </w:rPr>
                    <w:t>4</w:t>
                  </w:r>
                  <w:r>
                    <w:rPr>
                      <w:rFonts w:ascii="Times New Roman" w:hAnsi="Times New Roman" w:eastAsia="宋体" w:cs="Times New Roman"/>
                      <w:kern w:val="0"/>
                      <w:szCs w:val="21"/>
                      <w:lang w:val="en-US" w:bidi="ar-SA"/>
                    </w:rPr>
                    <w:t>月</w:t>
                  </w:r>
                  <w:r>
                    <w:rPr>
                      <w:rFonts w:hint="eastAsia" w:ascii="Times New Roman" w:hAnsi="Times New Roman" w:eastAsia="宋体" w:cs="Times New Roman"/>
                      <w:kern w:val="0"/>
                      <w:szCs w:val="21"/>
                      <w:lang w:val="en-US" w:bidi="ar-SA"/>
                    </w:rPr>
                    <w:t>30</w:t>
                  </w:r>
                  <w:r>
                    <w:rPr>
                      <w:rFonts w:ascii="Times New Roman" w:hAnsi="Times New Roman" w:eastAsia="宋体" w:cs="Times New Roman"/>
                      <w:kern w:val="0"/>
                      <w:szCs w:val="21"/>
                      <w:lang w:val="en-US" w:bidi="ar-SA"/>
                    </w:rPr>
                    <w:t>日</w:t>
                  </w:r>
                </w:p>
              </w:tc>
              <w:tc>
                <w:tcPr>
                  <w:tcW w:w="653" w:type="pct"/>
                  <w:tcBorders>
                    <w:tl2br w:val="nil"/>
                    <w:tr2bl w:val="nil"/>
                  </w:tcBorders>
                  <w:vAlign w:val="center"/>
                </w:tcPr>
                <w:p w14:paraId="0BA2CCE7">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厂</w:t>
                  </w:r>
                  <w:r>
                    <w:rPr>
                      <w:rFonts w:hint="eastAsia" w:ascii="Times New Roman" w:hAnsi="Times New Roman" w:eastAsia="宋体" w:cs="Times New Roman"/>
                      <w:kern w:val="0"/>
                      <w:szCs w:val="21"/>
                    </w:rPr>
                    <w:t>区内</w:t>
                  </w:r>
                </w:p>
              </w:tc>
              <w:tc>
                <w:tcPr>
                  <w:tcW w:w="842" w:type="pct"/>
                  <w:tcBorders>
                    <w:tl2br w:val="nil"/>
                    <w:tr2bl w:val="nil"/>
                  </w:tcBorders>
                  <w:vAlign w:val="center"/>
                </w:tcPr>
                <w:p w14:paraId="73CA62B9">
                  <w:pPr>
                    <w:pStyle w:val="39"/>
                    <w:autoSpaceDE w:val="0"/>
                    <w:autoSpaceDN w:val="0"/>
                    <w:adjustRightInd w:val="0"/>
                    <w:snapToGrid w:val="0"/>
                    <w:jc w:val="center"/>
                    <w:rPr>
                      <w:rFonts w:ascii="Times New Roman" w:hAnsi="Times New Roman" w:eastAsia="宋体" w:cs="Times New Roman"/>
                      <w:kern w:val="0"/>
                      <w:szCs w:val="21"/>
                      <w:lang w:val="en-US" w:bidi="ar-SA"/>
                    </w:rPr>
                  </w:pPr>
                  <w:r>
                    <w:rPr>
                      <w:rFonts w:hint="eastAsia" w:ascii="Times New Roman" w:hAnsi="Times New Roman" w:eastAsia="宋体" w:cs="Times New Roman"/>
                      <w:kern w:val="0"/>
                      <w:szCs w:val="21"/>
                      <w:lang w:val="en-US" w:bidi="ar-SA"/>
                    </w:rPr>
                    <w:t>111</w:t>
                  </w:r>
                </w:p>
              </w:tc>
              <w:tc>
                <w:tcPr>
                  <w:tcW w:w="599" w:type="pct"/>
                  <w:vMerge w:val="continue"/>
                  <w:tcBorders>
                    <w:tl2br w:val="nil"/>
                    <w:tr2bl w:val="nil"/>
                  </w:tcBorders>
                  <w:vAlign w:val="center"/>
                </w:tcPr>
                <w:p w14:paraId="258DA841">
                  <w:pPr>
                    <w:pStyle w:val="39"/>
                    <w:autoSpaceDE w:val="0"/>
                    <w:autoSpaceDN w:val="0"/>
                    <w:adjustRightInd w:val="0"/>
                    <w:snapToGrid w:val="0"/>
                    <w:jc w:val="center"/>
                    <w:rPr>
                      <w:rFonts w:ascii="Times New Roman" w:hAnsi="Times New Roman" w:eastAsia="宋体" w:cs="Times New Roman"/>
                      <w:kern w:val="0"/>
                      <w:szCs w:val="21"/>
                      <w:lang w:val="en-US" w:bidi="ar-SA"/>
                    </w:rPr>
                  </w:pPr>
                </w:p>
              </w:tc>
              <w:tc>
                <w:tcPr>
                  <w:tcW w:w="660" w:type="pct"/>
                  <w:tcBorders>
                    <w:tl2br w:val="nil"/>
                    <w:tr2bl w:val="nil"/>
                  </w:tcBorders>
                  <w:vAlign w:val="center"/>
                </w:tcPr>
                <w:p w14:paraId="021FBF8E">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726" w:type="pct"/>
                  <w:tcBorders>
                    <w:tl2br w:val="nil"/>
                    <w:tr2bl w:val="nil"/>
                  </w:tcBorders>
                  <w:vAlign w:val="center"/>
                </w:tcPr>
                <w:p w14:paraId="62321204">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37</w:t>
                  </w:r>
                </w:p>
              </w:tc>
              <w:tc>
                <w:tcPr>
                  <w:tcW w:w="518" w:type="pct"/>
                  <w:tcBorders>
                    <w:tl2br w:val="nil"/>
                    <w:tr2bl w:val="nil"/>
                  </w:tcBorders>
                  <w:vAlign w:val="center"/>
                </w:tcPr>
                <w:p w14:paraId="280CD8CF">
                  <w:pPr>
                    <w:autoSpaceDE w:val="0"/>
                    <w:autoSpaceDN w:val="0"/>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达标</w:t>
                  </w:r>
                </w:p>
              </w:tc>
            </w:tr>
            <w:tr w14:paraId="5DDBB3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8" w:type="pct"/>
                  <w:vMerge w:val="continue"/>
                  <w:tcBorders>
                    <w:tl2br w:val="nil"/>
                    <w:tr2bl w:val="nil"/>
                  </w:tcBorders>
                  <w:vAlign w:val="center"/>
                </w:tcPr>
                <w:p w14:paraId="16A7D552">
                  <w:pPr>
                    <w:pStyle w:val="39"/>
                    <w:autoSpaceDE w:val="0"/>
                    <w:autoSpaceDN w:val="0"/>
                    <w:adjustRightInd w:val="0"/>
                    <w:snapToGrid w:val="0"/>
                    <w:jc w:val="center"/>
                    <w:rPr>
                      <w:rFonts w:ascii="Times New Roman" w:hAnsi="Times New Roman" w:eastAsia="宋体" w:cs="Times New Roman"/>
                      <w:kern w:val="0"/>
                      <w:szCs w:val="21"/>
                      <w:lang w:val="en-US" w:bidi="ar-SA"/>
                    </w:rPr>
                  </w:pPr>
                </w:p>
              </w:tc>
              <w:tc>
                <w:tcPr>
                  <w:tcW w:w="610" w:type="pct"/>
                  <w:tcBorders>
                    <w:tl2br w:val="nil"/>
                    <w:tr2bl w:val="nil"/>
                  </w:tcBorders>
                  <w:vAlign w:val="center"/>
                </w:tcPr>
                <w:p w14:paraId="4F35073D">
                  <w:pPr>
                    <w:pStyle w:val="39"/>
                    <w:autoSpaceDE w:val="0"/>
                    <w:autoSpaceDN w:val="0"/>
                    <w:adjustRightInd w:val="0"/>
                    <w:snapToGrid w:val="0"/>
                    <w:jc w:val="center"/>
                    <w:rPr>
                      <w:rFonts w:ascii="Times New Roman" w:hAnsi="Times New Roman" w:eastAsia="宋体" w:cs="Times New Roman"/>
                      <w:kern w:val="0"/>
                      <w:szCs w:val="21"/>
                      <w:lang w:val="en-US" w:bidi="ar-SA"/>
                    </w:rPr>
                  </w:pPr>
                  <w:r>
                    <w:rPr>
                      <w:rFonts w:hint="eastAsia" w:ascii="Times New Roman" w:hAnsi="Times New Roman" w:eastAsia="宋体" w:cs="Times New Roman"/>
                      <w:kern w:val="0"/>
                      <w:szCs w:val="21"/>
                      <w:lang w:val="en-US" w:bidi="ar-SA"/>
                    </w:rPr>
                    <w:t>5</w:t>
                  </w:r>
                  <w:r>
                    <w:rPr>
                      <w:rFonts w:ascii="Times New Roman" w:hAnsi="Times New Roman" w:eastAsia="宋体" w:cs="Times New Roman"/>
                      <w:kern w:val="0"/>
                      <w:szCs w:val="21"/>
                      <w:lang w:val="en-US" w:bidi="ar-SA"/>
                    </w:rPr>
                    <w:t>月</w:t>
                  </w:r>
                  <w:r>
                    <w:rPr>
                      <w:rFonts w:hint="eastAsia" w:ascii="Times New Roman" w:hAnsi="Times New Roman" w:eastAsia="宋体" w:cs="Times New Roman"/>
                      <w:kern w:val="0"/>
                      <w:szCs w:val="21"/>
                      <w:lang w:val="en-US" w:bidi="ar-SA"/>
                    </w:rPr>
                    <w:t>1</w:t>
                  </w:r>
                  <w:r>
                    <w:rPr>
                      <w:rFonts w:ascii="Times New Roman" w:hAnsi="Times New Roman" w:eastAsia="宋体" w:cs="Times New Roman"/>
                      <w:kern w:val="0"/>
                      <w:szCs w:val="21"/>
                      <w:lang w:val="en-US" w:bidi="ar-SA"/>
                    </w:rPr>
                    <w:t>日</w:t>
                  </w:r>
                </w:p>
              </w:tc>
              <w:tc>
                <w:tcPr>
                  <w:tcW w:w="653" w:type="pct"/>
                  <w:tcBorders>
                    <w:tl2br w:val="nil"/>
                    <w:tr2bl w:val="nil"/>
                  </w:tcBorders>
                  <w:vAlign w:val="center"/>
                </w:tcPr>
                <w:p w14:paraId="37B5B2BD">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厂</w:t>
                  </w:r>
                  <w:r>
                    <w:rPr>
                      <w:rFonts w:hint="eastAsia" w:ascii="Times New Roman" w:hAnsi="Times New Roman" w:eastAsia="宋体" w:cs="Times New Roman"/>
                      <w:kern w:val="0"/>
                      <w:szCs w:val="21"/>
                    </w:rPr>
                    <w:t>区内</w:t>
                  </w:r>
                </w:p>
              </w:tc>
              <w:tc>
                <w:tcPr>
                  <w:tcW w:w="842" w:type="pct"/>
                  <w:tcBorders>
                    <w:tl2br w:val="nil"/>
                    <w:tr2bl w:val="nil"/>
                  </w:tcBorders>
                  <w:vAlign w:val="center"/>
                </w:tcPr>
                <w:p w14:paraId="777F7031">
                  <w:pPr>
                    <w:pStyle w:val="39"/>
                    <w:autoSpaceDE w:val="0"/>
                    <w:autoSpaceDN w:val="0"/>
                    <w:adjustRightInd w:val="0"/>
                    <w:snapToGrid w:val="0"/>
                    <w:jc w:val="center"/>
                    <w:rPr>
                      <w:rFonts w:ascii="Times New Roman" w:hAnsi="Times New Roman" w:eastAsia="宋体" w:cs="Times New Roman"/>
                      <w:kern w:val="0"/>
                      <w:szCs w:val="21"/>
                      <w:lang w:val="en-US" w:bidi="ar-SA"/>
                    </w:rPr>
                  </w:pPr>
                  <w:r>
                    <w:rPr>
                      <w:rFonts w:hint="eastAsia" w:ascii="Times New Roman" w:hAnsi="Times New Roman" w:eastAsia="宋体" w:cs="Times New Roman"/>
                      <w:kern w:val="0"/>
                      <w:szCs w:val="21"/>
                      <w:lang w:val="en-US" w:bidi="ar-SA"/>
                    </w:rPr>
                    <w:t>85</w:t>
                  </w:r>
                </w:p>
              </w:tc>
              <w:tc>
                <w:tcPr>
                  <w:tcW w:w="599" w:type="pct"/>
                  <w:vMerge w:val="continue"/>
                  <w:tcBorders>
                    <w:tl2br w:val="nil"/>
                    <w:tr2bl w:val="nil"/>
                  </w:tcBorders>
                  <w:vAlign w:val="center"/>
                </w:tcPr>
                <w:p w14:paraId="096911C0">
                  <w:pPr>
                    <w:pStyle w:val="39"/>
                    <w:autoSpaceDE w:val="0"/>
                    <w:autoSpaceDN w:val="0"/>
                    <w:adjustRightInd w:val="0"/>
                    <w:snapToGrid w:val="0"/>
                    <w:jc w:val="center"/>
                    <w:rPr>
                      <w:rFonts w:ascii="Times New Roman" w:hAnsi="Times New Roman" w:eastAsia="宋体" w:cs="Times New Roman"/>
                      <w:kern w:val="0"/>
                      <w:szCs w:val="21"/>
                      <w:lang w:val="en-US" w:bidi="ar-SA"/>
                    </w:rPr>
                  </w:pPr>
                </w:p>
              </w:tc>
              <w:tc>
                <w:tcPr>
                  <w:tcW w:w="660" w:type="pct"/>
                  <w:tcBorders>
                    <w:tl2br w:val="nil"/>
                    <w:tr2bl w:val="nil"/>
                  </w:tcBorders>
                  <w:vAlign w:val="center"/>
                </w:tcPr>
                <w:p w14:paraId="2817E133">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726" w:type="pct"/>
                  <w:tcBorders>
                    <w:tl2br w:val="nil"/>
                    <w:tr2bl w:val="nil"/>
                  </w:tcBorders>
                  <w:vAlign w:val="center"/>
                </w:tcPr>
                <w:p w14:paraId="6C193C80">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28.3</w:t>
                  </w:r>
                </w:p>
              </w:tc>
              <w:tc>
                <w:tcPr>
                  <w:tcW w:w="518" w:type="pct"/>
                  <w:tcBorders>
                    <w:tl2br w:val="nil"/>
                    <w:tr2bl w:val="nil"/>
                  </w:tcBorders>
                  <w:vAlign w:val="center"/>
                </w:tcPr>
                <w:p w14:paraId="7F8D6F8E">
                  <w:pPr>
                    <w:autoSpaceDE w:val="0"/>
                    <w:autoSpaceDN w:val="0"/>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达标</w:t>
                  </w:r>
                </w:p>
              </w:tc>
            </w:tr>
            <w:tr w14:paraId="1D0460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8" w:type="pct"/>
                  <w:vMerge w:val="continue"/>
                  <w:tcBorders>
                    <w:tl2br w:val="nil"/>
                    <w:tr2bl w:val="nil"/>
                  </w:tcBorders>
                  <w:vAlign w:val="center"/>
                </w:tcPr>
                <w:p w14:paraId="639BABBB">
                  <w:pPr>
                    <w:widowControl/>
                    <w:adjustRightInd w:val="0"/>
                    <w:snapToGrid w:val="0"/>
                    <w:jc w:val="center"/>
                    <w:rPr>
                      <w:rFonts w:ascii="Times New Roman" w:hAnsi="Times New Roman" w:eastAsia="宋体" w:cs="Times New Roman"/>
                      <w:kern w:val="0"/>
                      <w:szCs w:val="21"/>
                    </w:rPr>
                  </w:pPr>
                </w:p>
              </w:tc>
              <w:tc>
                <w:tcPr>
                  <w:tcW w:w="610" w:type="pct"/>
                  <w:tcBorders>
                    <w:tl2br w:val="nil"/>
                    <w:tr2bl w:val="nil"/>
                  </w:tcBorders>
                  <w:vAlign w:val="center"/>
                </w:tcPr>
                <w:p w14:paraId="6360D379">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w:t>
                  </w:r>
                  <w:r>
                    <w:rPr>
                      <w:rFonts w:ascii="Times New Roman" w:hAnsi="Times New Roman" w:eastAsia="宋体" w:cs="Times New Roman"/>
                      <w:kern w:val="0"/>
                      <w:szCs w:val="21"/>
                    </w:rPr>
                    <w:t>月</w:t>
                  </w:r>
                  <w:r>
                    <w:rPr>
                      <w:rFonts w:hint="eastAsia" w:ascii="Times New Roman" w:hAnsi="Times New Roman" w:eastAsia="宋体" w:cs="Times New Roman"/>
                      <w:kern w:val="0"/>
                      <w:szCs w:val="21"/>
                    </w:rPr>
                    <w:t>2</w:t>
                  </w:r>
                  <w:r>
                    <w:rPr>
                      <w:rFonts w:ascii="Times New Roman" w:hAnsi="Times New Roman" w:eastAsia="宋体" w:cs="Times New Roman"/>
                      <w:kern w:val="0"/>
                      <w:szCs w:val="21"/>
                    </w:rPr>
                    <w:t>日</w:t>
                  </w:r>
                </w:p>
              </w:tc>
              <w:tc>
                <w:tcPr>
                  <w:tcW w:w="653" w:type="pct"/>
                  <w:tcBorders>
                    <w:tl2br w:val="nil"/>
                    <w:tr2bl w:val="nil"/>
                  </w:tcBorders>
                  <w:vAlign w:val="center"/>
                </w:tcPr>
                <w:p w14:paraId="631ADF2F">
                  <w:pPr>
                    <w:pStyle w:val="39"/>
                    <w:autoSpaceDE w:val="0"/>
                    <w:autoSpaceDN w:val="0"/>
                    <w:adjustRightInd w:val="0"/>
                    <w:snapToGrid w:val="0"/>
                    <w:jc w:val="center"/>
                    <w:rPr>
                      <w:rFonts w:ascii="Times New Roman" w:hAnsi="Times New Roman" w:eastAsia="宋体" w:cs="Times New Roman"/>
                      <w:kern w:val="0"/>
                      <w:szCs w:val="21"/>
                      <w:lang w:val="en-US" w:bidi="ar-SA"/>
                    </w:rPr>
                  </w:pPr>
                  <w:r>
                    <w:rPr>
                      <w:rFonts w:ascii="Times New Roman" w:hAnsi="Times New Roman" w:eastAsia="宋体" w:cs="Times New Roman"/>
                      <w:kern w:val="0"/>
                      <w:szCs w:val="21"/>
                      <w:lang w:val="en-US" w:bidi="ar-SA"/>
                    </w:rPr>
                    <w:t>厂</w:t>
                  </w:r>
                  <w:r>
                    <w:rPr>
                      <w:rFonts w:hint="eastAsia" w:ascii="Times New Roman" w:hAnsi="Times New Roman" w:eastAsia="宋体" w:cs="Times New Roman"/>
                      <w:kern w:val="0"/>
                      <w:szCs w:val="21"/>
                      <w:lang w:val="en-US" w:bidi="ar-SA"/>
                    </w:rPr>
                    <w:t>区内</w:t>
                  </w:r>
                </w:p>
              </w:tc>
              <w:tc>
                <w:tcPr>
                  <w:tcW w:w="842" w:type="pct"/>
                  <w:tcBorders>
                    <w:tl2br w:val="nil"/>
                    <w:tr2bl w:val="nil"/>
                  </w:tcBorders>
                  <w:vAlign w:val="center"/>
                </w:tcPr>
                <w:p w14:paraId="33919DB3">
                  <w:pPr>
                    <w:pStyle w:val="39"/>
                    <w:autoSpaceDE w:val="0"/>
                    <w:autoSpaceDN w:val="0"/>
                    <w:adjustRightInd w:val="0"/>
                    <w:snapToGrid w:val="0"/>
                    <w:jc w:val="center"/>
                    <w:rPr>
                      <w:rFonts w:ascii="Times New Roman" w:hAnsi="Times New Roman" w:eastAsia="宋体" w:cs="Times New Roman"/>
                      <w:kern w:val="0"/>
                      <w:szCs w:val="21"/>
                      <w:lang w:val="en-US" w:bidi="ar-SA"/>
                    </w:rPr>
                  </w:pPr>
                  <w:r>
                    <w:rPr>
                      <w:rFonts w:hint="eastAsia" w:ascii="Times New Roman" w:hAnsi="Times New Roman" w:eastAsia="宋体" w:cs="Times New Roman"/>
                      <w:kern w:val="0"/>
                      <w:szCs w:val="21"/>
                      <w:lang w:val="en-US" w:bidi="ar-SA"/>
                    </w:rPr>
                    <w:t>81</w:t>
                  </w:r>
                </w:p>
              </w:tc>
              <w:tc>
                <w:tcPr>
                  <w:tcW w:w="599" w:type="pct"/>
                  <w:vMerge w:val="continue"/>
                  <w:tcBorders>
                    <w:tl2br w:val="nil"/>
                    <w:tr2bl w:val="nil"/>
                  </w:tcBorders>
                  <w:vAlign w:val="center"/>
                </w:tcPr>
                <w:p w14:paraId="4EE8BCAC">
                  <w:pPr>
                    <w:pStyle w:val="39"/>
                    <w:autoSpaceDE w:val="0"/>
                    <w:autoSpaceDN w:val="0"/>
                    <w:adjustRightInd w:val="0"/>
                    <w:snapToGrid w:val="0"/>
                    <w:jc w:val="center"/>
                    <w:rPr>
                      <w:rFonts w:ascii="Times New Roman" w:hAnsi="Times New Roman" w:eastAsia="宋体" w:cs="Times New Roman"/>
                      <w:kern w:val="0"/>
                      <w:szCs w:val="21"/>
                      <w:lang w:val="en-US" w:bidi="ar-SA"/>
                    </w:rPr>
                  </w:pPr>
                </w:p>
              </w:tc>
              <w:tc>
                <w:tcPr>
                  <w:tcW w:w="660" w:type="pct"/>
                  <w:tcBorders>
                    <w:tl2br w:val="nil"/>
                    <w:tr2bl w:val="nil"/>
                  </w:tcBorders>
                  <w:vAlign w:val="center"/>
                </w:tcPr>
                <w:p w14:paraId="77B37717">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726" w:type="pct"/>
                  <w:tcBorders>
                    <w:tl2br w:val="nil"/>
                    <w:tr2bl w:val="nil"/>
                  </w:tcBorders>
                  <w:vAlign w:val="center"/>
                </w:tcPr>
                <w:p w14:paraId="5119F199">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27</w:t>
                  </w:r>
                </w:p>
              </w:tc>
              <w:tc>
                <w:tcPr>
                  <w:tcW w:w="518" w:type="pct"/>
                  <w:tcBorders>
                    <w:tl2br w:val="nil"/>
                    <w:tr2bl w:val="nil"/>
                  </w:tcBorders>
                  <w:vAlign w:val="center"/>
                </w:tcPr>
                <w:p w14:paraId="62524328">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达标</w:t>
                  </w:r>
                </w:p>
              </w:tc>
            </w:tr>
            <w:tr w14:paraId="3470F4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8" w:type="pct"/>
                  <w:vMerge w:val="continue"/>
                  <w:tcBorders>
                    <w:tl2br w:val="nil"/>
                    <w:tr2bl w:val="nil"/>
                  </w:tcBorders>
                  <w:vAlign w:val="center"/>
                </w:tcPr>
                <w:p w14:paraId="5EF500C3">
                  <w:pPr>
                    <w:widowControl/>
                    <w:adjustRightInd w:val="0"/>
                    <w:snapToGrid w:val="0"/>
                    <w:jc w:val="center"/>
                    <w:rPr>
                      <w:rFonts w:ascii="Times New Roman" w:hAnsi="Times New Roman" w:eastAsia="宋体" w:cs="Times New Roman"/>
                      <w:kern w:val="0"/>
                      <w:szCs w:val="21"/>
                    </w:rPr>
                  </w:pPr>
                </w:p>
              </w:tc>
              <w:tc>
                <w:tcPr>
                  <w:tcW w:w="610" w:type="pct"/>
                  <w:tcBorders>
                    <w:tl2br w:val="nil"/>
                    <w:tr2bl w:val="nil"/>
                  </w:tcBorders>
                  <w:vAlign w:val="center"/>
                </w:tcPr>
                <w:p w14:paraId="5AD75B2B">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w:t>
                  </w:r>
                  <w:r>
                    <w:rPr>
                      <w:rFonts w:ascii="Times New Roman" w:hAnsi="Times New Roman" w:eastAsia="宋体" w:cs="Times New Roman"/>
                      <w:kern w:val="0"/>
                      <w:szCs w:val="21"/>
                    </w:rPr>
                    <w:t>月</w:t>
                  </w:r>
                  <w:r>
                    <w:rPr>
                      <w:rFonts w:hint="eastAsia" w:ascii="Times New Roman" w:hAnsi="Times New Roman" w:eastAsia="宋体" w:cs="Times New Roman"/>
                      <w:kern w:val="0"/>
                      <w:szCs w:val="21"/>
                    </w:rPr>
                    <w:t>3</w:t>
                  </w:r>
                  <w:r>
                    <w:rPr>
                      <w:rFonts w:ascii="Times New Roman" w:hAnsi="Times New Roman" w:eastAsia="宋体" w:cs="Times New Roman"/>
                      <w:kern w:val="0"/>
                      <w:szCs w:val="21"/>
                    </w:rPr>
                    <w:t>日</w:t>
                  </w:r>
                </w:p>
              </w:tc>
              <w:tc>
                <w:tcPr>
                  <w:tcW w:w="653" w:type="pct"/>
                  <w:tcBorders>
                    <w:tl2br w:val="nil"/>
                    <w:tr2bl w:val="nil"/>
                  </w:tcBorders>
                  <w:vAlign w:val="center"/>
                </w:tcPr>
                <w:p w14:paraId="399AADA2">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厂</w:t>
                  </w:r>
                  <w:r>
                    <w:rPr>
                      <w:rFonts w:hint="eastAsia" w:ascii="Times New Roman" w:hAnsi="Times New Roman" w:eastAsia="宋体" w:cs="Times New Roman"/>
                      <w:kern w:val="0"/>
                      <w:szCs w:val="21"/>
                    </w:rPr>
                    <w:t>区内</w:t>
                  </w:r>
                </w:p>
              </w:tc>
              <w:tc>
                <w:tcPr>
                  <w:tcW w:w="842" w:type="pct"/>
                  <w:tcBorders>
                    <w:tl2br w:val="nil"/>
                    <w:tr2bl w:val="nil"/>
                  </w:tcBorders>
                  <w:vAlign w:val="center"/>
                </w:tcPr>
                <w:p w14:paraId="338023A0">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92</w:t>
                  </w:r>
                </w:p>
              </w:tc>
              <w:tc>
                <w:tcPr>
                  <w:tcW w:w="599" w:type="pct"/>
                  <w:vMerge w:val="continue"/>
                  <w:tcBorders>
                    <w:tl2br w:val="nil"/>
                    <w:tr2bl w:val="nil"/>
                  </w:tcBorders>
                  <w:vAlign w:val="center"/>
                </w:tcPr>
                <w:p w14:paraId="10856457">
                  <w:pPr>
                    <w:widowControl/>
                    <w:adjustRightInd w:val="0"/>
                    <w:snapToGrid w:val="0"/>
                    <w:jc w:val="center"/>
                    <w:rPr>
                      <w:rFonts w:ascii="Times New Roman" w:hAnsi="Times New Roman" w:eastAsia="宋体" w:cs="Times New Roman"/>
                      <w:kern w:val="0"/>
                      <w:szCs w:val="21"/>
                    </w:rPr>
                  </w:pPr>
                </w:p>
              </w:tc>
              <w:tc>
                <w:tcPr>
                  <w:tcW w:w="660" w:type="pct"/>
                  <w:tcBorders>
                    <w:tl2br w:val="nil"/>
                    <w:tr2bl w:val="nil"/>
                  </w:tcBorders>
                  <w:vAlign w:val="center"/>
                </w:tcPr>
                <w:p w14:paraId="5D9E6830">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726" w:type="pct"/>
                  <w:tcBorders>
                    <w:tl2br w:val="nil"/>
                    <w:tr2bl w:val="nil"/>
                  </w:tcBorders>
                  <w:vAlign w:val="center"/>
                </w:tcPr>
                <w:p w14:paraId="370A92FD">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30.7</w:t>
                  </w:r>
                </w:p>
              </w:tc>
              <w:tc>
                <w:tcPr>
                  <w:tcW w:w="518" w:type="pct"/>
                  <w:tcBorders>
                    <w:tl2br w:val="nil"/>
                    <w:tr2bl w:val="nil"/>
                  </w:tcBorders>
                  <w:vAlign w:val="center"/>
                </w:tcPr>
                <w:p w14:paraId="4BD3E7D4">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达标</w:t>
                  </w:r>
                </w:p>
              </w:tc>
            </w:tr>
          </w:tbl>
          <w:p w14:paraId="381D780E">
            <w:pPr>
              <w:adjustRightInd w:val="0"/>
              <w:snapToGrid w:val="0"/>
              <w:spacing w:line="360" w:lineRule="auto"/>
              <w:ind w:firstLine="480" w:firstLineChars="200"/>
              <w:rPr>
                <w:rFonts w:ascii="Times New Roman" w:hAnsi="Times New Roman" w:cs="Times New Roman"/>
                <w:kern w:val="0"/>
                <w:sz w:val="24"/>
              </w:rPr>
            </w:pPr>
            <w:r>
              <w:rPr>
                <w:rFonts w:ascii="Times New Roman" w:hAnsi="Times New Roman" w:cs="Times New Roman"/>
                <w:sz w:val="24"/>
              </w:rPr>
              <w:t>由上表可知，项目所在区域TSP日均监测浓度均满足《环境空气质量标准》（GB3095-2012）中二级标准限值（</w:t>
            </w:r>
            <w:r>
              <w:rPr>
                <w:rFonts w:hint="eastAsia" w:ascii="Times New Roman" w:hAnsi="Times New Roman" w:cs="Times New Roman"/>
                <w:sz w:val="24"/>
              </w:rPr>
              <w:t>300</w:t>
            </w:r>
            <w:r>
              <w:rPr>
                <w:rFonts w:hint="eastAsia" w:ascii="Times New Roman" w:hAnsi="Times New Roman" w:cs="Times New Roman"/>
                <w:sz w:val="24"/>
                <w:lang w:eastAsia="zh-CN"/>
              </w:rPr>
              <w:t>μg/m3</w:t>
            </w:r>
            <w:r>
              <w:rPr>
                <w:rFonts w:ascii="Times New Roman" w:hAnsi="Times New Roman" w:cs="Times New Roman"/>
                <w:sz w:val="24"/>
              </w:rPr>
              <w:t>）。</w:t>
            </w:r>
          </w:p>
          <w:p w14:paraId="0A10F372">
            <w:pPr>
              <w:widowControl/>
              <w:adjustRightInd w:val="0"/>
              <w:snapToGrid w:val="0"/>
              <w:spacing w:line="360" w:lineRule="auto"/>
              <w:ind w:firstLine="482" w:firstLineChars="200"/>
              <w:jc w:val="left"/>
              <w:rPr>
                <w:rFonts w:ascii="Times New Roman" w:hAnsi="Times New Roman" w:eastAsia="宋体" w:cs="Times New Roman"/>
                <w:b/>
                <w:bCs/>
                <w:sz w:val="24"/>
              </w:rPr>
            </w:pPr>
            <w:r>
              <w:rPr>
                <w:rFonts w:ascii="Times New Roman" w:hAnsi="Times New Roman" w:eastAsia="宋体" w:cs="Times New Roman"/>
                <w:b/>
                <w:bCs/>
                <w:sz w:val="24"/>
              </w:rPr>
              <w:t>2、地表水环境质量现状</w:t>
            </w:r>
          </w:p>
          <w:p w14:paraId="3BB63205">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本项目生活污水经化粪池预处理后排入高新污水处理厂，因此，</w:t>
            </w:r>
            <w:r>
              <w:rPr>
                <w:rFonts w:ascii="Times New Roman" w:hAnsi="Times New Roman" w:eastAsia="宋体" w:cs="Times New Roman"/>
                <w:sz w:val="24"/>
              </w:rPr>
              <w:t>本次环评地表水环境质量现状评价引用《</w:t>
            </w:r>
            <w:commentRangeStart w:id="32"/>
            <w:commentRangeStart w:id="33"/>
            <w:r>
              <w:rPr>
                <w:rFonts w:ascii="Times New Roman" w:hAnsi="Times New Roman" w:eastAsia="宋体" w:cs="Times New Roman"/>
                <w:sz w:val="24"/>
              </w:rPr>
              <w:t>宝鸡市</w:t>
            </w:r>
            <w:r>
              <w:rPr>
                <w:rFonts w:hint="eastAsia" w:ascii="Times New Roman" w:hAnsi="Times New Roman" w:eastAsia="宋体" w:cs="Times New Roman"/>
                <w:sz w:val="24"/>
                <w:lang w:val="en-US" w:eastAsia="zh-CN"/>
              </w:rPr>
              <w:t>生态环境质量报告书</w:t>
            </w:r>
            <w:r>
              <w:rPr>
                <w:rFonts w:ascii="Times New Roman" w:hAnsi="Times New Roman" w:cs="Times New Roman"/>
                <w:sz w:val="24"/>
              </w:rPr>
              <w:t>202</w:t>
            </w:r>
            <w:r>
              <w:rPr>
                <w:rFonts w:hint="eastAsia" w:ascii="Times New Roman" w:hAnsi="Times New Roman" w:cs="Times New Roman"/>
                <w:sz w:val="24"/>
                <w:lang w:val="en-US" w:eastAsia="zh-CN"/>
              </w:rPr>
              <w:t>4</w:t>
            </w:r>
            <w:r>
              <w:rPr>
                <w:rFonts w:ascii="Times New Roman" w:hAnsi="Times New Roman" w:cs="Times New Roman"/>
                <w:sz w:val="24"/>
              </w:rPr>
              <w:t>年</w:t>
            </w:r>
            <w:r>
              <w:rPr>
                <w:rFonts w:ascii="Times New Roman" w:hAnsi="Times New Roman" w:eastAsia="宋体" w:cs="Times New Roman"/>
                <w:sz w:val="24"/>
              </w:rPr>
              <w:t>》</w:t>
            </w:r>
            <w:commentRangeEnd w:id="32"/>
            <w:r>
              <w:commentReference w:id="32"/>
            </w:r>
            <w:commentRangeEnd w:id="33"/>
            <w:r>
              <w:commentReference w:id="33"/>
            </w:r>
            <w:r>
              <w:rPr>
                <w:rFonts w:ascii="Times New Roman" w:hAnsi="Times New Roman" w:eastAsia="宋体" w:cs="Times New Roman"/>
                <w:sz w:val="24"/>
              </w:rPr>
              <w:t>中</w:t>
            </w:r>
            <w:r>
              <w:rPr>
                <w:rFonts w:hint="eastAsia" w:ascii="Times New Roman" w:hAnsi="Times New Roman" w:eastAsia="宋体" w:cs="Times New Roman"/>
                <w:sz w:val="24"/>
              </w:rPr>
              <w:t>高新污水处理厂渭河排口的</w:t>
            </w:r>
            <w:r>
              <w:rPr>
                <w:rFonts w:hint="eastAsia" w:ascii="Times New Roman" w:hAnsi="Times New Roman" w:cs="Times New Roman"/>
                <w:sz w:val="24"/>
              </w:rPr>
              <w:t>卧龙寺桥</w:t>
            </w:r>
            <w:r>
              <w:rPr>
                <w:rFonts w:ascii="Times New Roman" w:hAnsi="Times New Roman" w:eastAsia="宋体" w:cs="Times New Roman"/>
                <w:sz w:val="24"/>
              </w:rPr>
              <w:t>断面</w:t>
            </w:r>
            <w:r>
              <w:rPr>
                <w:rFonts w:hint="eastAsia" w:ascii="Times New Roman" w:hAnsi="Times New Roman" w:cs="Times New Roman"/>
                <w:sz w:val="24"/>
              </w:rPr>
              <w:t>（上游）</w:t>
            </w:r>
            <w:r>
              <w:rPr>
                <w:rFonts w:ascii="Times New Roman" w:hAnsi="Times New Roman" w:eastAsia="宋体" w:cs="Times New Roman"/>
                <w:sz w:val="24"/>
              </w:rPr>
              <w:t>和</w:t>
            </w:r>
            <w:r>
              <w:rPr>
                <w:rFonts w:hint="eastAsia" w:cs="Times New Roman"/>
                <w:sz w:val="24"/>
              </w:rPr>
              <w:t>虢镇桥</w:t>
            </w:r>
            <w:r>
              <w:rPr>
                <w:rFonts w:hint="eastAsia" w:ascii="Times New Roman" w:hAnsi="Times New Roman" w:eastAsia="新宋体" w:cs="Times New Roman"/>
                <w:sz w:val="24"/>
              </w:rPr>
              <w:t>断面（下游）</w:t>
            </w:r>
            <w:r>
              <w:rPr>
                <w:rFonts w:ascii="Times New Roman" w:hAnsi="Times New Roman" w:eastAsia="宋体" w:cs="Times New Roman"/>
                <w:sz w:val="24"/>
              </w:rPr>
              <w:t>数据。</w:t>
            </w:r>
          </w:p>
          <w:p w14:paraId="1F64C0A9">
            <w:pPr>
              <w:adjustRightInd w:val="0"/>
              <w:snapToGrid w:val="0"/>
              <w:spacing w:line="360" w:lineRule="auto"/>
              <w:ind w:firstLine="480" w:firstLineChars="200"/>
              <w:rPr>
                <w:rFonts w:ascii="Times New Roman" w:hAnsi="Times New Roman" w:eastAsia="宋体" w:cs="Times New Roman"/>
                <w:szCs w:val="21"/>
              </w:rPr>
            </w:pPr>
            <w:r>
              <w:rPr>
                <w:rFonts w:ascii="Times New Roman" w:hAnsi="Times New Roman" w:eastAsia="宋体" w:cs="Times New Roman"/>
                <w:sz w:val="24"/>
              </w:rPr>
              <w:t>监测结果见</w:t>
            </w:r>
            <w:r>
              <w:rPr>
                <w:rFonts w:ascii="Times New Roman" w:hAnsi="Times New Roman" w:cs="Times New Roman"/>
                <w:sz w:val="24"/>
              </w:rPr>
              <w:t>下</w:t>
            </w:r>
            <w:r>
              <w:rPr>
                <w:rFonts w:ascii="Times New Roman" w:hAnsi="Times New Roman" w:eastAsia="宋体" w:cs="Times New Roman"/>
                <w:sz w:val="24"/>
              </w:rPr>
              <w:t>表。</w:t>
            </w:r>
          </w:p>
          <w:p w14:paraId="7624E2CA">
            <w:pPr>
              <w:pStyle w:val="13"/>
              <w:snapToGrid w:val="0"/>
              <w:spacing w:after="0" w:line="240" w:lineRule="auto"/>
              <w:ind w:left="0" w:leftChars="0" w:firstLine="482"/>
              <w:jc w:val="center"/>
              <w:rPr>
                <w:rFonts w:ascii="Times New Roman" w:hAnsi="Times New Roman" w:eastAsia="宋体" w:cs="Times New Roman"/>
                <w:b/>
                <w:bCs/>
                <w:szCs w:val="21"/>
              </w:rPr>
            </w:pPr>
            <w:r>
              <w:rPr>
                <w:rFonts w:ascii="Times New Roman" w:hAnsi="Times New Roman" w:eastAsia="宋体" w:cs="Times New Roman"/>
                <w:b/>
                <w:bCs/>
                <w:szCs w:val="21"/>
              </w:rPr>
              <w:t>表3-</w:t>
            </w:r>
            <w:r>
              <w:rPr>
                <w:rFonts w:hint="eastAsia" w:ascii="Times New Roman" w:hAnsi="Times New Roman" w:cs="Times New Roman"/>
                <w:b/>
                <w:bCs/>
                <w:szCs w:val="21"/>
              </w:rPr>
              <w:t>3</w:t>
            </w:r>
            <w:r>
              <w:rPr>
                <w:rFonts w:ascii="Times New Roman" w:hAnsi="Times New Roman" w:eastAsia="宋体" w:cs="Times New Roman"/>
                <w:b/>
                <w:bCs/>
                <w:szCs w:val="21"/>
              </w:rPr>
              <w:t xml:space="preserve">  水环境质量现状监测结果一览表    单位：mg/L</w:t>
            </w:r>
          </w:p>
          <w:tbl>
            <w:tblPr>
              <w:tblStyle w:val="26"/>
              <w:tblW w:w="4998" w:type="pct"/>
              <w:jc w:val="center"/>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165"/>
              <w:gridCol w:w="951"/>
              <w:gridCol w:w="806"/>
              <w:gridCol w:w="807"/>
              <w:gridCol w:w="839"/>
              <w:gridCol w:w="809"/>
              <w:gridCol w:w="715"/>
              <w:gridCol w:w="748"/>
              <w:gridCol w:w="850"/>
              <w:gridCol w:w="851"/>
            </w:tblGrid>
            <w:tr w14:paraId="5C091E51">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430" w:type="pct"/>
                  <w:tcBorders>
                    <w:top w:val="single" w:color="auto" w:sz="12" w:space="0"/>
                  </w:tcBorders>
                  <w:vAlign w:val="center"/>
                </w:tcPr>
                <w:p w14:paraId="3B36F9BE">
                  <w:pPr>
                    <w:adjustRightInd w:val="0"/>
                    <w:snapToGrid w:val="0"/>
                    <w:jc w:val="center"/>
                    <w:rPr>
                      <w:rFonts w:ascii="Times New Roman" w:hAnsi="Times New Roman" w:eastAsia="宋体" w:cs="Times New Roman"/>
                      <w:b/>
                      <w:bCs/>
                      <w:szCs w:val="21"/>
                    </w:rPr>
                  </w:pPr>
                  <w:r>
                    <w:rPr>
                      <w:rFonts w:hint="eastAsia" w:ascii="Times New Roman" w:hAnsi="Times New Roman" w:cs="Times New Roman"/>
                      <w:b/>
                      <w:bCs/>
                      <w:szCs w:val="21"/>
                    </w:rPr>
                    <w:t>年度</w:t>
                  </w:r>
                </w:p>
              </w:tc>
              <w:tc>
                <w:tcPr>
                  <w:tcW w:w="676" w:type="pct"/>
                  <w:gridSpan w:val="2"/>
                  <w:tcBorders>
                    <w:top w:val="single" w:color="auto" w:sz="12" w:space="0"/>
                  </w:tcBorders>
                  <w:vAlign w:val="center"/>
                </w:tcPr>
                <w:p w14:paraId="3CBC68F5">
                  <w:p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断面名称</w:t>
                  </w:r>
                </w:p>
              </w:tc>
              <w:tc>
                <w:tcPr>
                  <w:tcW w:w="488" w:type="pct"/>
                  <w:tcBorders>
                    <w:top w:val="single" w:color="auto" w:sz="12" w:space="0"/>
                  </w:tcBorders>
                  <w:vAlign w:val="center"/>
                </w:tcPr>
                <w:p w14:paraId="7677C078">
                  <w:p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断面类别</w:t>
                  </w:r>
                </w:p>
              </w:tc>
              <w:tc>
                <w:tcPr>
                  <w:tcW w:w="489" w:type="pct"/>
                  <w:tcBorders>
                    <w:top w:val="single" w:color="auto" w:sz="12" w:space="0"/>
                  </w:tcBorders>
                  <w:vAlign w:val="center"/>
                </w:tcPr>
                <w:p w14:paraId="20CEC199">
                  <w:pPr>
                    <w:adjustRightInd w:val="0"/>
                    <w:snapToGrid w:val="0"/>
                    <w:jc w:val="center"/>
                    <w:rPr>
                      <w:rFonts w:ascii="Times New Roman" w:hAnsi="Times New Roman" w:eastAsia="宋体" w:cs="Times New Roman"/>
                      <w:b/>
                      <w:bCs/>
                      <w:szCs w:val="21"/>
                    </w:rPr>
                  </w:pPr>
                  <w:r>
                    <w:rPr>
                      <w:rFonts w:hint="eastAsia" w:ascii="Times New Roman" w:hAnsi="Times New Roman" w:cs="Times New Roman"/>
                      <w:b/>
                      <w:bCs/>
                      <w:szCs w:val="21"/>
                    </w:rPr>
                    <w:t>溶解氧</w:t>
                  </w:r>
                </w:p>
              </w:tc>
              <w:tc>
                <w:tcPr>
                  <w:tcW w:w="508" w:type="pct"/>
                  <w:tcBorders>
                    <w:top w:val="single" w:color="auto" w:sz="12" w:space="0"/>
                  </w:tcBorders>
                  <w:vAlign w:val="center"/>
                </w:tcPr>
                <w:p w14:paraId="6A89FDB2">
                  <w:pPr>
                    <w:adjustRightInd w:val="0"/>
                    <w:snapToGrid w:val="0"/>
                    <w:jc w:val="center"/>
                    <w:rPr>
                      <w:rFonts w:ascii="Times New Roman" w:hAnsi="Times New Roman" w:eastAsia="宋体" w:cs="Times New Roman"/>
                      <w:b/>
                      <w:bCs/>
                      <w:szCs w:val="21"/>
                    </w:rPr>
                  </w:pPr>
                  <w:r>
                    <w:rPr>
                      <w:rFonts w:hint="eastAsia" w:ascii="Times New Roman" w:hAnsi="Times New Roman" w:cs="Times New Roman"/>
                      <w:b/>
                      <w:bCs/>
                      <w:szCs w:val="21"/>
                    </w:rPr>
                    <w:t>高锰酸钾指数</w:t>
                  </w:r>
                </w:p>
              </w:tc>
              <w:tc>
                <w:tcPr>
                  <w:tcW w:w="490" w:type="pct"/>
                  <w:tcBorders>
                    <w:top w:val="single" w:color="auto" w:sz="12" w:space="0"/>
                  </w:tcBorders>
                  <w:vAlign w:val="center"/>
                </w:tcPr>
                <w:p w14:paraId="22ADF405">
                  <w:pPr>
                    <w:adjustRightInd w:val="0"/>
                    <w:snapToGrid w:val="0"/>
                    <w:jc w:val="center"/>
                    <w:rPr>
                      <w:rFonts w:ascii="Times New Roman" w:hAnsi="Times New Roman" w:cs="Times New Roman"/>
                      <w:b/>
                      <w:bCs/>
                      <w:szCs w:val="21"/>
                    </w:rPr>
                  </w:pPr>
                  <w:r>
                    <w:rPr>
                      <w:rFonts w:ascii="Times New Roman" w:hAnsi="Times New Roman" w:cs="Times New Roman"/>
                      <w:b/>
                      <w:bCs/>
                      <w:szCs w:val="21"/>
                    </w:rPr>
                    <w:t>BOD</w:t>
                  </w:r>
                  <w:r>
                    <w:rPr>
                      <w:rFonts w:ascii="Times New Roman" w:hAnsi="Times New Roman" w:cs="Times New Roman"/>
                      <w:b/>
                      <w:bCs/>
                      <w:szCs w:val="21"/>
                      <w:vertAlign w:val="subscript"/>
                    </w:rPr>
                    <w:t>5</w:t>
                  </w:r>
                </w:p>
              </w:tc>
              <w:tc>
                <w:tcPr>
                  <w:tcW w:w="433" w:type="pct"/>
                  <w:tcBorders>
                    <w:top w:val="single" w:color="auto" w:sz="12" w:space="0"/>
                  </w:tcBorders>
                  <w:vAlign w:val="center"/>
                </w:tcPr>
                <w:p w14:paraId="392090C7">
                  <w:pPr>
                    <w:adjustRightInd w:val="0"/>
                    <w:snapToGrid w:val="0"/>
                    <w:jc w:val="center"/>
                    <w:rPr>
                      <w:rFonts w:ascii="Times New Roman" w:hAnsi="Times New Roman" w:cs="Times New Roman"/>
                      <w:b/>
                      <w:bCs/>
                      <w:szCs w:val="21"/>
                    </w:rPr>
                  </w:pPr>
                  <w:r>
                    <w:rPr>
                      <w:rFonts w:ascii="Times New Roman" w:hAnsi="Times New Roman" w:cs="Times New Roman"/>
                      <w:b/>
                      <w:bCs/>
                      <w:szCs w:val="21"/>
                    </w:rPr>
                    <w:t>氨氮</w:t>
                  </w:r>
                </w:p>
              </w:tc>
              <w:tc>
                <w:tcPr>
                  <w:tcW w:w="453" w:type="pct"/>
                  <w:tcBorders>
                    <w:top w:val="single" w:color="auto" w:sz="12" w:space="0"/>
                  </w:tcBorders>
                  <w:vAlign w:val="center"/>
                </w:tcPr>
                <w:p w14:paraId="2A3801D5">
                  <w:pPr>
                    <w:adjustRightInd w:val="0"/>
                    <w:snapToGrid w:val="0"/>
                    <w:jc w:val="center"/>
                    <w:rPr>
                      <w:rFonts w:ascii="Times New Roman" w:hAnsi="Times New Roman" w:cs="Times New Roman"/>
                      <w:b/>
                      <w:bCs/>
                      <w:szCs w:val="21"/>
                    </w:rPr>
                  </w:pPr>
                  <w:r>
                    <w:rPr>
                      <w:rFonts w:ascii="Times New Roman" w:hAnsi="Times New Roman" w:cs="Times New Roman"/>
                      <w:b/>
                      <w:bCs/>
                      <w:szCs w:val="21"/>
                    </w:rPr>
                    <w:t>COD</w:t>
                  </w:r>
                </w:p>
              </w:tc>
              <w:tc>
                <w:tcPr>
                  <w:tcW w:w="515" w:type="pct"/>
                  <w:tcBorders>
                    <w:top w:val="single" w:color="auto" w:sz="12" w:space="0"/>
                  </w:tcBorders>
                  <w:vAlign w:val="center"/>
                </w:tcPr>
                <w:p w14:paraId="5E118306">
                  <w:pPr>
                    <w:adjustRightInd w:val="0"/>
                    <w:snapToGrid w:val="0"/>
                    <w:jc w:val="center"/>
                    <w:rPr>
                      <w:rFonts w:ascii="Times New Roman" w:hAnsi="Times New Roman" w:cs="Times New Roman"/>
                      <w:b/>
                      <w:bCs/>
                      <w:szCs w:val="21"/>
                    </w:rPr>
                  </w:pPr>
                  <w:r>
                    <w:rPr>
                      <w:rFonts w:ascii="Times New Roman" w:hAnsi="Times New Roman" w:cs="Times New Roman"/>
                      <w:b/>
                      <w:bCs/>
                      <w:szCs w:val="21"/>
                    </w:rPr>
                    <w:t>总磷</w:t>
                  </w:r>
                </w:p>
              </w:tc>
              <w:tc>
                <w:tcPr>
                  <w:tcW w:w="515" w:type="pct"/>
                  <w:tcBorders>
                    <w:top w:val="single" w:color="auto" w:sz="12" w:space="0"/>
                  </w:tcBorders>
                  <w:vAlign w:val="center"/>
                </w:tcPr>
                <w:p w14:paraId="55B4D938">
                  <w:pPr>
                    <w:adjustRightInd w:val="0"/>
                    <w:snapToGrid w:val="0"/>
                    <w:jc w:val="center"/>
                    <w:rPr>
                      <w:rFonts w:ascii="Times New Roman" w:hAnsi="Times New Roman" w:cs="Times New Roman"/>
                      <w:b/>
                      <w:bCs/>
                      <w:szCs w:val="21"/>
                    </w:rPr>
                  </w:pPr>
                  <w:r>
                    <w:rPr>
                      <w:rFonts w:ascii="Times New Roman" w:hAnsi="Times New Roman" w:cs="Times New Roman"/>
                      <w:b/>
                      <w:bCs/>
                      <w:szCs w:val="21"/>
                    </w:rPr>
                    <w:t>氟化物</w:t>
                  </w:r>
                </w:p>
              </w:tc>
            </w:tr>
            <w:tr w14:paraId="320174B6">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30" w:type="pct"/>
                  <w:vAlign w:val="center"/>
                </w:tcPr>
                <w:p w14:paraId="629AE1FC">
                  <w:pPr>
                    <w:adjustRightInd w:val="0"/>
                    <w:snapToGrid w:val="0"/>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rPr>
                    <w:t>202</w:t>
                  </w:r>
                  <w:r>
                    <w:rPr>
                      <w:rFonts w:hint="eastAsia" w:ascii="Times New Roman" w:hAnsi="Times New Roman" w:cs="Times New Roman"/>
                      <w:szCs w:val="21"/>
                      <w:lang w:val="en-US" w:eastAsia="zh-CN"/>
                    </w:rPr>
                    <w:t>4</w:t>
                  </w:r>
                </w:p>
              </w:tc>
              <w:tc>
                <w:tcPr>
                  <w:tcW w:w="676" w:type="pct"/>
                  <w:gridSpan w:val="2"/>
                  <w:vAlign w:val="center"/>
                </w:tcPr>
                <w:p w14:paraId="0B5B7094">
                  <w:pPr>
                    <w:widowControl/>
                    <w:adjustRightInd w:val="0"/>
                    <w:snapToGrid w:val="0"/>
                    <w:jc w:val="center"/>
                    <w:rPr>
                      <w:rFonts w:ascii="Times New Roman" w:hAnsi="Times New Roman" w:cs="Times New Roman"/>
                      <w:szCs w:val="21"/>
                    </w:rPr>
                  </w:pPr>
                  <w:r>
                    <w:rPr>
                      <w:rFonts w:hint="eastAsia" w:ascii="Times New Roman" w:hAnsi="Times New Roman" w:cs="Times New Roman"/>
                      <w:szCs w:val="21"/>
                    </w:rPr>
                    <w:t>卧龙寺桥</w:t>
                  </w:r>
                </w:p>
                <w:p w14:paraId="404BBA10">
                  <w:pPr>
                    <w:widowControl/>
                    <w:adjustRightInd w:val="0"/>
                    <w:snapToGrid w:val="0"/>
                    <w:jc w:val="center"/>
                    <w:rPr>
                      <w:rFonts w:ascii="Times New Roman" w:hAnsi="Times New Roman" w:eastAsia="新宋体" w:cs="Times New Roman"/>
                      <w:szCs w:val="21"/>
                    </w:rPr>
                  </w:pPr>
                  <w:r>
                    <w:rPr>
                      <w:rFonts w:hint="eastAsia" w:ascii="Times New Roman" w:hAnsi="Times New Roman" w:eastAsia="新宋体" w:cs="Times New Roman"/>
                      <w:szCs w:val="21"/>
                    </w:rPr>
                    <w:t>断面</w:t>
                  </w:r>
                </w:p>
              </w:tc>
              <w:tc>
                <w:tcPr>
                  <w:tcW w:w="488" w:type="pct"/>
                  <w:vAlign w:val="center"/>
                </w:tcPr>
                <w:p w14:paraId="31843BB8">
                  <w:pPr>
                    <w:adjustRightInd w:val="0"/>
                    <w:snapToGrid w:val="0"/>
                    <w:jc w:val="center"/>
                    <w:rPr>
                      <w:rFonts w:ascii="Times New Roman Regular" w:hAnsi="Times New Roman Regular" w:eastAsia="新宋体" w:cs="Times New Roman Regular"/>
                      <w:szCs w:val="21"/>
                    </w:rPr>
                  </w:pPr>
                  <w:r>
                    <w:rPr>
                      <w:rFonts w:ascii="Times New Roman Regular" w:hAnsi="Times New Roman Regular" w:eastAsia="宋体" w:cs="Times New Roman Regular"/>
                      <w:szCs w:val="21"/>
                    </w:rPr>
                    <w:t>Ⅲ</w:t>
                  </w:r>
                  <w:r>
                    <w:rPr>
                      <w:rFonts w:ascii="Times New Roman Regular" w:hAnsi="Times New Roman Regular" w:cs="Times New Roman Regular"/>
                      <w:szCs w:val="21"/>
                    </w:rPr>
                    <w:t>类</w:t>
                  </w:r>
                </w:p>
              </w:tc>
              <w:tc>
                <w:tcPr>
                  <w:tcW w:w="489" w:type="pct"/>
                  <w:vAlign w:val="center"/>
                </w:tcPr>
                <w:p w14:paraId="3EF6878A">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10.</w:t>
                  </w:r>
                  <w:r>
                    <w:rPr>
                      <w:rFonts w:hint="eastAsia" w:ascii="Times New Roman Regular" w:hAnsi="Times New Roman Regular" w:cs="Times New Roman Regular"/>
                      <w:szCs w:val="21"/>
                    </w:rPr>
                    <w:t>7</w:t>
                  </w:r>
                </w:p>
              </w:tc>
              <w:tc>
                <w:tcPr>
                  <w:tcW w:w="508" w:type="pct"/>
                  <w:vAlign w:val="center"/>
                </w:tcPr>
                <w:p w14:paraId="24421D98">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3.</w:t>
                  </w:r>
                  <w:r>
                    <w:rPr>
                      <w:rFonts w:hint="eastAsia" w:ascii="Times New Roman Regular" w:hAnsi="Times New Roman Regular" w:cs="Times New Roman Regular"/>
                      <w:szCs w:val="21"/>
                    </w:rPr>
                    <w:t>0</w:t>
                  </w:r>
                </w:p>
              </w:tc>
              <w:tc>
                <w:tcPr>
                  <w:tcW w:w="490" w:type="pct"/>
                  <w:vAlign w:val="center"/>
                </w:tcPr>
                <w:p w14:paraId="711A9B93">
                  <w:pPr>
                    <w:adjustRightInd w:val="0"/>
                    <w:snapToGrid w:val="0"/>
                    <w:jc w:val="center"/>
                    <w:rPr>
                      <w:rFonts w:ascii="Times New Roman Regular" w:hAnsi="Times New Roman Regular" w:cs="Times New Roman Regular"/>
                      <w:szCs w:val="21"/>
                    </w:rPr>
                  </w:pPr>
                  <w:r>
                    <w:rPr>
                      <w:rFonts w:hint="eastAsia" w:ascii="Times New Roman Regular" w:hAnsi="Times New Roman Regular" w:cs="Times New Roman Regular"/>
                      <w:szCs w:val="21"/>
                    </w:rPr>
                    <w:t>2.1</w:t>
                  </w:r>
                </w:p>
              </w:tc>
              <w:tc>
                <w:tcPr>
                  <w:tcW w:w="433" w:type="pct"/>
                  <w:vAlign w:val="center"/>
                </w:tcPr>
                <w:p w14:paraId="2418665A">
                  <w:pPr>
                    <w:adjustRightInd w:val="0"/>
                    <w:snapToGrid w:val="0"/>
                    <w:jc w:val="center"/>
                    <w:rPr>
                      <w:rFonts w:ascii="Times New Roman Regular" w:hAnsi="Times New Roman Regular" w:cs="Times New Roman Regular"/>
                      <w:szCs w:val="21"/>
                    </w:rPr>
                  </w:pPr>
                  <w:r>
                    <w:rPr>
                      <w:rFonts w:hint="eastAsia" w:ascii="Times New Roman Regular" w:hAnsi="Times New Roman Regular" w:cs="Times New Roman Regular"/>
                      <w:szCs w:val="21"/>
                    </w:rPr>
                    <w:t>0.08</w:t>
                  </w:r>
                </w:p>
              </w:tc>
              <w:tc>
                <w:tcPr>
                  <w:tcW w:w="453" w:type="pct"/>
                  <w:vAlign w:val="center"/>
                </w:tcPr>
                <w:p w14:paraId="3695C6A4">
                  <w:pPr>
                    <w:adjustRightInd w:val="0"/>
                    <w:snapToGrid w:val="0"/>
                    <w:jc w:val="center"/>
                    <w:rPr>
                      <w:rFonts w:ascii="Times New Roman Regular" w:hAnsi="Times New Roman Regular" w:cs="Times New Roman Regular"/>
                      <w:szCs w:val="21"/>
                    </w:rPr>
                  </w:pPr>
                  <w:r>
                    <w:rPr>
                      <w:rFonts w:hint="eastAsia" w:ascii="Times New Roman Regular" w:hAnsi="Times New Roman Regular" w:cs="Times New Roman Regular"/>
                      <w:szCs w:val="21"/>
                    </w:rPr>
                    <w:t>13.9</w:t>
                  </w:r>
                </w:p>
              </w:tc>
              <w:tc>
                <w:tcPr>
                  <w:tcW w:w="515" w:type="pct"/>
                  <w:vAlign w:val="center"/>
                </w:tcPr>
                <w:p w14:paraId="2F25D0DF">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0.04</w:t>
                  </w:r>
                  <w:r>
                    <w:rPr>
                      <w:rFonts w:hint="eastAsia" w:ascii="Times New Roman Regular" w:hAnsi="Times New Roman Regular" w:cs="Times New Roman Regular"/>
                      <w:szCs w:val="21"/>
                    </w:rPr>
                    <w:t>3</w:t>
                  </w:r>
                </w:p>
              </w:tc>
              <w:tc>
                <w:tcPr>
                  <w:tcW w:w="515" w:type="pct"/>
                  <w:vAlign w:val="center"/>
                </w:tcPr>
                <w:p w14:paraId="6F0FB5FF">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0.</w:t>
                  </w:r>
                  <w:r>
                    <w:rPr>
                      <w:rFonts w:hint="eastAsia" w:ascii="Times New Roman Regular" w:hAnsi="Times New Roman Regular" w:cs="Times New Roman Regular"/>
                      <w:szCs w:val="21"/>
                    </w:rPr>
                    <w:t>49</w:t>
                  </w:r>
                </w:p>
              </w:tc>
            </w:tr>
            <w:tr w14:paraId="5461F812">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594" w:type="pct"/>
                  <w:gridSpan w:val="4"/>
                  <w:vAlign w:val="center"/>
                </w:tcPr>
                <w:p w14:paraId="05A46D5A">
                  <w:pPr>
                    <w:adjustRightInd w:val="0"/>
                    <w:snapToGrid w:val="0"/>
                    <w:jc w:val="center"/>
                    <w:rPr>
                      <w:rFonts w:ascii="Times New Roman" w:hAnsi="Times New Roman" w:cs="Times New Roman"/>
                      <w:szCs w:val="21"/>
                    </w:rPr>
                  </w:pPr>
                  <w:r>
                    <w:rPr>
                      <w:rFonts w:ascii="Times New Roman" w:hAnsi="Times New Roman" w:cs="Times New Roman"/>
                      <w:szCs w:val="21"/>
                    </w:rPr>
                    <w:t>超标率（%）</w:t>
                  </w:r>
                </w:p>
              </w:tc>
              <w:tc>
                <w:tcPr>
                  <w:tcW w:w="489" w:type="pct"/>
                  <w:vAlign w:val="center"/>
                </w:tcPr>
                <w:p w14:paraId="3189B27C">
                  <w:pPr>
                    <w:adjustRightInd w:val="0"/>
                    <w:snapToGrid w:val="0"/>
                    <w:jc w:val="center"/>
                    <w:rPr>
                      <w:rFonts w:ascii="Times New Roman" w:hAnsi="Times New Roman" w:cs="Times New Roman"/>
                      <w:szCs w:val="21"/>
                    </w:rPr>
                  </w:pPr>
                  <w:r>
                    <w:rPr>
                      <w:rFonts w:ascii="Times New Roman" w:hAnsi="Times New Roman" w:cs="Times New Roman"/>
                      <w:szCs w:val="21"/>
                    </w:rPr>
                    <w:t>0</w:t>
                  </w:r>
                </w:p>
              </w:tc>
              <w:tc>
                <w:tcPr>
                  <w:tcW w:w="508" w:type="pct"/>
                  <w:vAlign w:val="center"/>
                </w:tcPr>
                <w:p w14:paraId="38C464C5">
                  <w:pPr>
                    <w:adjustRightInd w:val="0"/>
                    <w:snapToGrid w:val="0"/>
                    <w:jc w:val="center"/>
                    <w:rPr>
                      <w:rFonts w:ascii="Times New Roman" w:hAnsi="Times New Roman" w:cs="Times New Roman"/>
                      <w:szCs w:val="21"/>
                    </w:rPr>
                  </w:pPr>
                  <w:r>
                    <w:rPr>
                      <w:rFonts w:ascii="Times New Roman" w:hAnsi="Times New Roman" w:cs="Times New Roman"/>
                      <w:szCs w:val="21"/>
                    </w:rPr>
                    <w:t>0</w:t>
                  </w:r>
                </w:p>
              </w:tc>
              <w:tc>
                <w:tcPr>
                  <w:tcW w:w="490" w:type="pct"/>
                  <w:vAlign w:val="center"/>
                </w:tcPr>
                <w:p w14:paraId="2D7393BB">
                  <w:pPr>
                    <w:adjustRightInd w:val="0"/>
                    <w:snapToGrid w:val="0"/>
                    <w:jc w:val="center"/>
                    <w:rPr>
                      <w:rFonts w:ascii="Times New Roman" w:hAnsi="Times New Roman" w:cs="Times New Roman"/>
                      <w:szCs w:val="21"/>
                    </w:rPr>
                  </w:pPr>
                  <w:r>
                    <w:rPr>
                      <w:rFonts w:ascii="Times New Roman" w:hAnsi="Times New Roman" w:cs="Times New Roman"/>
                      <w:szCs w:val="21"/>
                    </w:rPr>
                    <w:t>0</w:t>
                  </w:r>
                </w:p>
              </w:tc>
              <w:tc>
                <w:tcPr>
                  <w:tcW w:w="433" w:type="pct"/>
                  <w:vAlign w:val="center"/>
                </w:tcPr>
                <w:p w14:paraId="1FDDCA53">
                  <w:pPr>
                    <w:adjustRightInd w:val="0"/>
                    <w:snapToGrid w:val="0"/>
                    <w:jc w:val="center"/>
                    <w:rPr>
                      <w:rFonts w:ascii="Times New Roman" w:hAnsi="Times New Roman" w:cs="Times New Roman"/>
                      <w:szCs w:val="21"/>
                    </w:rPr>
                  </w:pPr>
                  <w:r>
                    <w:rPr>
                      <w:rFonts w:ascii="Times New Roman" w:hAnsi="Times New Roman" w:cs="Times New Roman"/>
                      <w:szCs w:val="21"/>
                    </w:rPr>
                    <w:t>0</w:t>
                  </w:r>
                </w:p>
              </w:tc>
              <w:tc>
                <w:tcPr>
                  <w:tcW w:w="453" w:type="pct"/>
                  <w:vAlign w:val="center"/>
                </w:tcPr>
                <w:p w14:paraId="3C9B0550">
                  <w:pPr>
                    <w:adjustRightInd w:val="0"/>
                    <w:snapToGrid w:val="0"/>
                    <w:jc w:val="center"/>
                    <w:rPr>
                      <w:rFonts w:ascii="Times New Roman" w:hAnsi="Times New Roman" w:cs="Times New Roman"/>
                      <w:szCs w:val="21"/>
                    </w:rPr>
                  </w:pPr>
                  <w:r>
                    <w:rPr>
                      <w:rFonts w:ascii="Times New Roman" w:hAnsi="Times New Roman" w:cs="Times New Roman"/>
                      <w:szCs w:val="21"/>
                    </w:rPr>
                    <w:t>0</w:t>
                  </w:r>
                </w:p>
              </w:tc>
              <w:tc>
                <w:tcPr>
                  <w:tcW w:w="515" w:type="pct"/>
                  <w:vAlign w:val="center"/>
                </w:tcPr>
                <w:p w14:paraId="664F5AA1">
                  <w:pPr>
                    <w:adjustRightInd w:val="0"/>
                    <w:snapToGrid w:val="0"/>
                    <w:jc w:val="center"/>
                    <w:rPr>
                      <w:rFonts w:ascii="Times New Roman" w:hAnsi="Times New Roman" w:cs="Times New Roman"/>
                      <w:szCs w:val="21"/>
                    </w:rPr>
                  </w:pPr>
                  <w:r>
                    <w:rPr>
                      <w:rFonts w:ascii="Times New Roman" w:hAnsi="Times New Roman" w:cs="Times New Roman"/>
                      <w:szCs w:val="21"/>
                    </w:rPr>
                    <w:t>0</w:t>
                  </w:r>
                </w:p>
              </w:tc>
              <w:tc>
                <w:tcPr>
                  <w:tcW w:w="515" w:type="pct"/>
                  <w:vAlign w:val="center"/>
                </w:tcPr>
                <w:p w14:paraId="429A5F23">
                  <w:pPr>
                    <w:adjustRightInd w:val="0"/>
                    <w:snapToGrid w:val="0"/>
                    <w:jc w:val="center"/>
                    <w:rPr>
                      <w:rFonts w:ascii="Times New Roman" w:hAnsi="Times New Roman" w:cs="Times New Roman"/>
                      <w:szCs w:val="21"/>
                    </w:rPr>
                  </w:pPr>
                  <w:r>
                    <w:rPr>
                      <w:rFonts w:ascii="Times New Roman" w:hAnsi="Times New Roman" w:cs="Times New Roman"/>
                      <w:szCs w:val="21"/>
                    </w:rPr>
                    <w:t>0</w:t>
                  </w:r>
                </w:p>
              </w:tc>
            </w:tr>
            <w:tr w14:paraId="3E53EE96">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594" w:type="pct"/>
                  <w:gridSpan w:val="4"/>
                  <w:vAlign w:val="center"/>
                </w:tcPr>
                <w:p w14:paraId="3C44F81F">
                  <w:pPr>
                    <w:adjustRightInd w:val="0"/>
                    <w:snapToGrid w:val="0"/>
                    <w:jc w:val="center"/>
                    <w:rPr>
                      <w:rFonts w:ascii="Times New Roman" w:hAnsi="Times New Roman" w:cs="Times New Roman"/>
                      <w:szCs w:val="21"/>
                    </w:rPr>
                  </w:pPr>
                  <w:r>
                    <w:rPr>
                      <w:rFonts w:ascii="Times New Roman" w:hAnsi="Times New Roman" w:cs="Times New Roman"/>
                      <w:szCs w:val="21"/>
                    </w:rPr>
                    <w:t>最大超标倍数</w:t>
                  </w:r>
                </w:p>
              </w:tc>
              <w:tc>
                <w:tcPr>
                  <w:tcW w:w="489" w:type="pct"/>
                  <w:vAlign w:val="center"/>
                </w:tcPr>
                <w:p w14:paraId="24D13E60">
                  <w:pPr>
                    <w:adjustRightInd w:val="0"/>
                    <w:snapToGrid w:val="0"/>
                    <w:jc w:val="center"/>
                    <w:rPr>
                      <w:rFonts w:ascii="Times New Roman" w:hAnsi="Times New Roman" w:cs="Times New Roman"/>
                      <w:szCs w:val="21"/>
                    </w:rPr>
                  </w:pPr>
                  <w:r>
                    <w:rPr>
                      <w:rFonts w:ascii="Times New Roman" w:hAnsi="Times New Roman" w:cs="Times New Roman"/>
                      <w:szCs w:val="21"/>
                    </w:rPr>
                    <w:t>0</w:t>
                  </w:r>
                </w:p>
              </w:tc>
              <w:tc>
                <w:tcPr>
                  <w:tcW w:w="508" w:type="pct"/>
                  <w:vAlign w:val="center"/>
                </w:tcPr>
                <w:p w14:paraId="643C422B">
                  <w:pPr>
                    <w:adjustRightInd w:val="0"/>
                    <w:snapToGrid w:val="0"/>
                    <w:jc w:val="center"/>
                    <w:rPr>
                      <w:rFonts w:ascii="Times New Roman" w:hAnsi="Times New Roman" w:cs="Times New Roman"/>
                      <w:szCs w:val="21"/>
                    </w:rPr>
                  </w:pPr>
                  <w:r>
                    <w:rPr>
                      <w:rFonts w:ascii="Times New Roman" w:hAnsi="Times New Roman" w:cs="Times New Roman"/>
                      <w:szCs w:val="21"/>
                    </w:rPr>
                    <w:t>0</w:t>
                  </w:r>
                </w:p>
              </w:tc>
              <w:tc>
                <w:tcPr>
                  <w:tcW w:w="490" w:type="pct"/>
                  <w:vAlign w:val="center"/>
                </w:tcPr>
                <w:p w14:paraId="22F067F2">
                  <w:pPr>
                    <w:adjustRightInd w:val="0"/>
                    <w:snapToGrid w:val="0"/>
                    <w:jc w:val="center"/>
                    <w:rPr>
                      <w:rFonts w:ascii="Times New Roman" w:hAnsi="Times New Roman" w:cs="Times New Roman"/>
                      <w:szCs w:val="21"/>
                    </w:rPr>
                  </w:pPr>
                  <w:r>
                    <w:rPr>
                      <w:rFonts w:ascii="Times New Roman" w:hAnsi="Times New Roman" w:cs="Times New Roman"/>
                      <w:szCs w:val="21"/>
                    </w:rPr>
                    <w:t>0</w:t>
                  </w:r>
                </w:p>
              </w:tc>
              <w:tc>
                <w:tcPr>
                  <w:tcW w:w="433" w:type="pct"/>
                  <w:vAlign w:val="center"/>
                </w:tcPr>
                <w:p w14:paraId="706A1BD1">
                  <w:pPr>
                    <w:adjustRightInd w:val="0"/>
                    <w:snapToGrid w:val="0"/>
                    <w:jc w:val="center"/>
                    <w:rPr>
                      <w:rFonts w:ascii="Times New Roman" w:hAnsi="Times New Roman" w:cs="Times New Roman"/>
                      <w:szCs w:val="21"/>
                    </w:rPr>
                  </w:pPr>
                  <w:r>
                    <w:rPr>
                      <w:rFonts w:ascii="Times New Roman" w:hAnsi="Times New Roman" w:cs="Times New Roman"/>
                      <w:szCs w:val="21"/>
                    </w:rPr>
                    <w:t>0</w:t>
                  </w:r>
                </w:p>
              </w:tc>
              <w:tc>
                <w:tcPr>
                  <w:tcW w:w="453" w:type="pct"/>
                  <w:vAlign w:val="center"/>
                </w:tcPr>
                <w:p w14:paraId="6FD8CBC4">
                  <w:pPr>
                    <w:adjustRightInd w:val="0"/>
                    <w:snapToGrid w:val="0"/>
                    <w:jc w:val="center"/>
                    <w:rPr>
                      <w:rFonts w:ascii="Times New Roman" w:hAnsi="Times New Roman" w:cs="Times New Roman"/>
                      <w:szCs w:val="21"/>
                    </w:rPr>
                  </w:pPr>
                  <w:r>
                    <w:rPr>
                      <w:rFonts w:ascii="Times New Roman" w:hAnsi="Times New Roman" w:cs="Times New Roman"/>
                      <w:szCs w:val="21"/>
                    </w:rPr>
                    <w:t>0</w:t>
                  </w:r>
                </w:p>
              </w:tc>
              <w:tc>
                <w:tcPr>
                  <w:tcW w:w="515" w:type="pct"/>
                  <w:vAlign w:val="center"/>
                </w:tcPr>
                <w:p w14:paraId="1C8EAA01">
                  <w:pPr>
                    <w:adjustRightInd w:val="0"/>
                    <w:snapToGrid w:val="0"/>
                    <w:jc w:val="center"/>
                    <w:rPr>
                      <w:rFonts w:ascii="Times New Roman" w:hAnsi="Times New Roman" w:cs="Times New Roman"/>
                      <w:szCs w:val="21"/>
                    </w:rPr>
                  </w:pPr>
                  <w:r>
                    <w:rPr>
                      <w:rFonts w:ascii="Times New Roman" w:hAnsi="Times New Roman" w:cs="Times New Roman"/>
                      <w:szCs w:val="21"/>
                    </w:rPr>
                    <w:t>0</w:t>
                  </w:r>
                </w:p>
              </w:tc>
              <w:tc>
                <w:tcPr>
                  <w:tcW w:w="515" w:type="pct"/>
                  <w:vAlign w:val="center"/>
                </w:tcPr>
                <w:p w14:paraId="235C9AB4">
                  <w:pPr>
                    <w:adjustRightInd w:val="0"/>
                    <w:snapToGrid w:val="0"/>
                    <w:jc w:val="center"/>
                    <w:rPr>
                      <w:rFonts w:ascii="Times New Roman" w:hAnsi="Times New Roman" w:cs="Times New Roman"/>
                      <w:szCs w:val="21"/>
                    </w:rPr>
                  </w:pPr>
                  <w:r>
                    <w:rPr>
                      <w:rFonts w:ascii="Times New Roman" w:hAnsi="Times New Roman" w:cs="Times New Roman"/>
                      <w:szCs w:val="21"/>
                    </w:rPr>
                    <w:t>0</w:t>
                  </w:r>
                </w:p>
              </w:tc>
            </w:tr>
            <w:tr w14:paraId="4A350152">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594" w:type="pct"/>
                  <w:gridSpan w:val="4"/>
                  <w:vAlign w:val="center"/>
                </w:tcPr>
                <w:p w14:paraId="3D31AA76">
                  <w:pPr>
                    <w:widowControl/>
                    <w:adjustRightInd w:val="0"/>
                    <w:snapToGrid w:val="0"/>
                    <w:rPr>
                      <w:rFonts w:ascii="Times New Roman" w:hAnsi="Times New Roman" w:eastAsia="新宋体" w:cs="Times New Roman"/>
                      <w:szCs w:val="21"/>
                    </w:rPr>
                  </w:pPr>
                  <w:r>
                    <w:rPr>
                      <w:rFonts w:ascii="Times New Roman" w:hAnsi="Times New Roman" w:eastAsia="新宋体" w:cs="Times New Roman"/>
                      <w:szCs w:val="21"/>
                    </w:rPr>
                    <w:t>（GB3838-2002）</w:t>
                  </w:r>
                  <w:r>
                    <w:rPr>
                      <w:rFonts w:ascii="Times New Roman" w:hAnsi="Times New Roman" w:eastAsia="宋体" w:cs="Times New Roman"/>
                      <w:szCs w:val="21"/>
                    </w:rPr>
                    <w:t>Ⅲ</w:t>
                  </w:r>
                  <w:r>
                    <w:rPr>
                      <w:rFonts w:ascii="Times New Roman" w:hAnsi="Times New Roman" w:cs="Times New Roman"/>
                      <w:szCs w:val="21"/>
                    </w:rPr>
                    <w:t>类标准</w:t>
                  </w:r>
                </w:p>
              </w:tc>
              <w:tc>
                <w:tcPr>
                  <w:tcW w:w="489" w:type="pct"/>
                  <w:vAlign w:val="center"/>
                </w:tcPr>
                <w:p w14:paraId="297F40D0">
                  <w:pPr>
                    <w:adjustRightInd w:val="0"/>
                    <w:snapToGrid w:val="0"/>
                    <w:jc w:val="center"/>
                    <w:rPr>
                      <w:rFonts w:ascii="Times New Roman Regular" w:hAnsi="Times New Roman Regular" w:cs="Times New Roman Regular"/>
                      <w:szCs w:val="21"/>
                    </w:rPr>
                  </w:pPr>
                  <w:r>
                    <w:rPr>
                      <w:rFonts w:ascii="Times New Roman Regular" w:hAnsi="Times New Roman Regular" w:eastAsia="宋体" w:cs="Times New Roman Regular"/>
                      <w:szCs w:val="21"/>
                    </w:rPr>
                    <w:t>≥</w:t>
                  </w:r>
                  <w:r>
                    <w:rPr>
                      <w:rFonts w:ascii="Times New Roman Regular" w:hAnsi="Times New Roman Regular" w:cs="Times New Roman Regular"/>
                      <w:szCs w:val="21"/>
                    </w:rPr>
                    <w:t>5</w:t>
                  </w:r>
                </w:p>
              </w:tc>
              <w:tc>
                <w:tcPr>
                  <w:tcW w:w="508" w:type="pct"/>
                  <w:vAlign w:val="center"/>
                </w:tcPr>
                <w:p w14:paraId="3B62BCCC">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≤6</w:t>
                  </w:r>
                </w:p>
              </w:tc>
              <w:tc>
                <w:tcPr>
                  <w:tcW w:w="490" w:type="pct"/>
                  <w:vAlign w:val="center"/>
                </w:tcPr>
                <w:p w14:paraId="72EAF6AC">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≤4</w:t>
                  </w:r>
                </w:p>
              </w:tc>
              <w:tc>
                <w:tcPr>
                  <w:tcW w:w="433" w:type="pct"/>
                  <w:vAlign w:val="center"/>
                </w:tcPr>
                <w:p w14:paraId="6C2F17CE">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≤1</w:t>
                  </w:r>
                </w:p>
              </w:tc>
              <w:tc>
                <w:tcPr>
                  <w:tcW w:w="453" w:type="pct"/>
                  <w:vAlign w:val="center"/>
                </w:tcPr>
                <w:p w14:paraId="39344F8C">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≤20</w:t>
                  </w:r>
                </w:p>
              </w:tc>
              <w:tc>
                <w:tcPr>
                  <w:tcW w:w="515" w:type="pct"/>
                  <w:vAlign w:val="center"/>
                </w:tcPr>
                <w:p w14:paraId="6AC18C03">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≤0.2</w:t>
                  </w:r>
                </w:p>
              </w:tc>
              <w:tc>
                <w:tcPr>
                  <w:tcW w:w="515" w:type="pct"/>
                  <w:vAlign w:val="center"/>
                </w:tcPr>
                <w:p w14:paraId="70800523">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≤1.0</w:t>
                  </w:r>
                </w:p>
              </w:tc>
            </w:tr>
            <w:tr w14:paraId="4671FA02">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530" w:type="pct"/>
                  <w:gridSpan w:val="2"/>
                  <w:vAlign w:val="center"/>
                </w:tcPr>
                <w:p w14:paraId="1782FB33">
                  <w:pPr>
                    <w:adjustRightInd w:val="0"/>
                    <w:snapToGrid w:val="0"/>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rPr>
                    <w:t>202</w:t>
                  </w:r>
                  <w:r>
                    <w:rPr>
                      <w:rFonts w:hint="eastAsia" w:ascii="Times New Roman" w:hAnsi="Times New Roman" w:cs="Times New Roman"/>
                      <w:szCs w:val="21"/>
                      <w:lang w:val="en-US" w:eastAsia="zh-CN"/>
                    </w:rPr>
                    <w:t>4</w:t>
                  </w:r>
                </w:p>
              </w:tc>
              <w:tc>
                <w:tcPr>
                  <w:tcW w:w="576" w:type="pct"/>
                  <w:vAlign w:val="center"/>
                </w:tcPr>
                <w:p w14:paraId="18ABFD3C">
                  <w:pPr>
                    <w:adjustRightInd w:val="0"/>
                    <w:snapToGrid w:val="0"/>
                    <w:jc w:val="center"/>
                    <w:rPr>
                      <w:rFonts w:cs="Times New Roman"/>
                      <w:szCs w:val="21"/>
                    </w:rPr>
                  </w:pPr>
                  <w:r>
                    <w:rPr>
                      <w:rFonts w:hint="eastAsia" w:cs="Times New Roman"/>
                      <w:szCs w:val="21"/>
                    </w:rPr>
                    <w:t>虢镇桥</w:t>
                  </w:r>
                </w:p>
                <w:p w14:paraId="22BF01AA">
                  <w:pPr>
                    <w:adjustRightInd w:val="0"/>
                    <w:snapToGrid w:val="0"/>
                    <w:jc w:val="center"/>
                    <w:rPr>
                      <w:rFonts w:ascii="Times New Roman" w:hAnsi="Times New Roman" w:cs="Times New Roman"/>
                      <w:szCs w:val="21"/>
                    </w:rPr>
                  </w:pPr>
                  <w:r>
                    <w:rPr>
                      <w:rFonts w:ascii="Times New Roman" w:hAnsi="Times New Roman" w:cs="Times New Roman"/>
                      <w:szCs w:val="21"/>
                    </w:rPr>
                    <w:t>断面</w:t>
                  </w:r>
                </w:p>
              </w:tc>
              <w:tc>
                <w:tcPr>
                  <w:tcW w:w="488" w:type="pct"/>
                  <w:vAlign w:val="center"/>
                </w:tcPr>
                <w:p w14:paraId="54D3EDCB">
                  <w:pPr>
                    <w:adjustRightInd w:val="0"/>
                    <w:snapToGrid w:val="0"/>
                    <w:jc w:val="center"/>
                    <w:rPr>
                      <w:rFonts w:ascii="Times New Roman Regular" w:hAnsi="Times New Roman Regular" w:eastAsia="宋体" w:cs="Times New Roman Regular"/>
                      <w:szCs w:val="21"/>
                    </w:rPr>
                  </w:pPr>
                  <w:r>
                    <w:rPr>
                      <w:rFonts w:ascii="Times New Roman Regular" w:hAnsi="Times New Roman Regular" w:cs="Times New Roman Regular"/>
                      <w:szCs w:val="21"/>
                    </w:rPr>
                    <w:t>Ⅳ类</w:t>
                  </w:r>
                </w:p>
              </w:tc>
              <w:tc>
                <w:tcPr>
                  <w:tcW w:w="489" w:type="pct"/>
                  <w:vAlign w:val="center"/>
                </w:tcPr>
                <w:p w14:paraId="52D7BEE0">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9.</w:t>
                  </w:r>
                  <w:r>
                    <w:rPr>
                      <w:rFonts w:hint="eastAsia" w:ascii="Times New Roman Regular" w:hAnsi="Times New Roman Regular" w:cs="Times New Roman Regular"/>
                      <w:szCs w:val="21"/>
                    </w:rPr>
                    <w:t>5</w:t>
                  </w:r>
                </w:p>
              </w:tc>
              <w:tc>
                <w:tcPr>
                  <w:tcW w:w="508" w:type="pct"/>
                  <w:vAlign w:val="center"/>
                </w:tcPr>
                <w:p w14:paraId="72BAE3FB">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2</w:t>
                  </w:r>
                  <w:r>
                    <w:rPr>
                      <w:rFonts w:hint="eastAsia" w:ascii="Times New Roman Regular" w:hAnsi="Times New Roman Regular" w:cs="Times New Roman Regular"/>
                      <w:szCs w:val="21"/>
                    </w:rPr>
                    <w:t>.6</w:t>
                  </w:r>
                </w:p>
              </w:tc>
              <w:tc>
                <w:tcPr>
                  <w:tcW w:w="490" w:type="pct"/>
                  <w:vAlign w:val="center"/>
                </w:tcPr>
                <w:p w14:paraId="49622023">
                  <w:pPr>
                    <w:adjustRightInd w:val="0"/>
                    <w:snapToGrid w:val="0"/>
                    <w:jc w:val="center"/>
                    <w:rPr>
                      <w:rFonts w:ascii="Times New Roman Regular" w:hAnsi="Times New Roman Regular" w:cs="Times New Roman Regular"/>
                      <w:szCs w:val="21"/>
                    </w:rPr>
                  </w:pPr>
                  <w:r>
                    <w:rPr>
                      <w:rFonts w:hint="eastAsia" w:ascii="Times New Roman Regular" w:hAnsi="Times New Roman Regular" w:cs="Times New Roman Regular"/>
                      <w:szCs w:val="21"/>
                    </w:rPr>
                    <w:t>1.7</w:t>
                  </w:r>
                </w:p>
              </w:tc>
              <w:tc>
                <w:tcPr>
                  <w:tcW w:w="433" w:type="pct"/>
                  <w:vAlign w:val="center"/>
                </w:tcPr>
                <w:p w14:paraId="5E0E06AA">
                  <w:pPr>
                    <w:adjustRightInd w:val="0"/>
                    <w:snapToGrid w:val="0"/>
                    <w:jc w:val="center"/>
                    <w:rPr>
                      <w:rFonts w:ascii="Times New Roman Regular" w:hAnsi="Times New Roman Regular" w:cs="Times New Roman Regular"/>
                      <w:szCs w:val="21"/>
                    </w:rPr>
                  </w:pPr>
                  <w:r>
                    <w:rPr>
                      <w:rFonts w:hint="eastAsia" w:ascii="Times New Roman Regular" w:hAnsi="Times New Roman Regular" w:cs="Times New Roman Regular"/>
                      <w:szCs w:val="21"/>
                    </w:rPr>
                    <w:t>0.46</w:t>
                  </w:r>
                </w:p>
              </w:tc>
              <w:tc>
                <w:tcPr>
                  <w:tcW w:w="453" w:type="pct"/>
                  <w:vAlign w:val="center"/>
                </w:tcPr>
                <w:p w14:paraId="3D35094B">
                  <w:pPr>
                    <w:adjustRightInd w:val="0"/>
                    <w:snapToGrid w:val="0"/>
                    <w:jc w:val="center"/>
                    <w:rPr>
                      <w:rFonts w:ascii="Times New Roman Regular" w:hAnsi="Times New Roman Regular" w:cs="Times New Roman Regular"/>
                      <w:szCs w:val="21"/>
                    </w:rPr>
                  </w:pPr>
                  <w:r>
                    <w:rPr>
                      <w:rFonts w:hint="eastAsia" w:ascii="Times New Roman Regular" w:hAnsi="Times New Roman Regular" w:cs="Times New Roman Regular"/>
                      <w:szCs w:val="21"/>
                    </w:rPr>
                    <w:t>14.3</w:t>
                  </w:r>
                </w:p>
              </w:tc>
              <w:tc>
                <w:tcPr>
                  <w:tcW w:w="515" w:type="pct"/>
                  <w:vAlign w:val="center"/>
                </w:tcPr>
                <w:p w14:paraId="46185F5A">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0.0</w:t>
                  </w:r>
                  <w:r>
                    <w:rPr>
                      <w:rFonts w:hint="eastAsia" w:ascii="Times New Roman Regular" w:hAnsi="Times New Roman Regular" w:cs="Times New Roman Regular"/>
                      <w:szCs w:val="21"/>
                    </w:rPr>
                    <w:t>74</w:t>
                  </w:r>
                </w:p>
              </w:tc>
              <w:tc>
                <w:tcPr>
                  <w:tcW w:w="515" w:type="pct"/>
                  <w:vAlign w:val="center"/>
                </w:tcPr>
                <w:p w14:paraId="2D0D4F2D">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0.4</w:t>
                  </w:r>
                  <w:r>
                    <w:rPr>
                      <w:rFonts w:hint="eastAsia" w:ascii="Times New Roman Regular" w:hAnsi="Times New Roman Regular" w:cs="Times New Roman Regular"/>
                      <w:szCs w:val="21"/>
                    </w:rPr>
                    <w:t>0</w:t>
                  </w:r>
                </w:p>
              </w:tc>
            </w:tr>
            <w:tr w14:paraId="78BED1DB">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594" w:type="pct"/>
                  <w:gridSpan w:val="4"/>
                  <w:vAlign w:val="center"/>
                </w:tcPr>
                <w:p w14:paraId="7E8FEAF6">
                  <w:pPr>
                    <w:adjustRightInd w:val="0"/>
                    <w:snapToGrid w:val="0"/>
                    <w:jc w:val="center"/>
                    <w:rPr>
                      <w:rFonts w:ascii="Times New Roman" w:hAnsi="Times New Roman" w:cs="Times New Roman"/>
                      <w:szCs w:val="21"/>
                    </w:rPr>
                  </w:pPr>
                  <w:r>
                    <w:rPr>
                      <w:rFonts w:ascii="Times New Roman" w:hAnsi="Times New Roman" w:cs="Times New Roman"/>
                      <w:szCs w:val="21"/>
                    </w:rPr>
                    <w:t>超标率（%）</w:t>
                  </w:r>
                </w:p>
              </w:tc>
              <w:tc>
                <w:tcPr>
                  <w:tcW w:w="489" w:type="pct"/>
                  <w:vAlign w:val="center"/>
                </w:tcPr>
                <w:p w14:paraId="14DEAF9C">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0</w:t>
                  </w:r>
                </w:p>
              </w:tc>
              <w:tc>
                <w:tcPr>
                  <w:tcW w:w="508" w:type="pct"/>
                  <w:vAlign w:val="center"/>
                </w:tcPr>
                <w:p w14:paraId="3247630A">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0</w:t>
                  </w:r>
                </w:p>
              </w:tc>
              <w:tc>
                <w:tcPr>
                  <w:tcW w:w="490" w:type="pct"/>
                  <w:vAlign w:val="center"/>
                </w:tcPr>
                <w:p w14:paraId="62BCA666">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0</w:t>
                  </w:r>
                </w:p>
              </w:tc>
              <w:tc>
                <w:tcPr>
                  <w:tcW w:w="433" w:type="pct"/>
                  <w:vAlign w:val="center"/>
                </w:tcPr>
                <w:p w14:paraId="1FB64237">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0</w:t>
                  </w:r>
                </w:p>
              </w:tc>
              <w:tc>
                <w:tcPr>
                  <w:tcW w:w="453" w:type="pct"/>
                  <w:vAlign w:val="center"/>
                </w:tcPr>
                <w:p w14:paraId="55F7BF18">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0</w:t>
                  </w:r>
                </w:p>
              </w:tc>
              <w:tc>
                <w:tcPr>
                  <w:tcW w:w="515" w:type="pct"/>
                  <w:vAlign w:val="center"/>
                </w:tcPr>
                <w:p w14:paraId="6693EB08">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0</w:t>
                  </w:r>
                </w:p>
              </w:tc>
              <w:tc>
                <w:tcPr>
                  <w:tcW w:w="515" w:type="pct"/>
                  <w:vAlign w:val="center"/>
                </w:tcPr>
                <w:p w14:paraId="68ABC548">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0</w:t>
                  </w:r>
                </w:p>
              </w:tc>
            </w:tr>
            <w:tr w14:paraId="45A96BF1">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594" w:type="pct"/>
                  <w:gridSpan w:val="4"/>
                  <w:vAlign w:val="center"/>
                </w:tcPr>
                <w:p w14:paraId="022C265A">
                  <w:pPr>
                    <w:adjustRightInd w:val="0"/>
                    <w:snapToGrid w:val="0"/>
                    <w:jc w:val="center"/>
                    <w:rPr>
                      <w:rFonts w:ascii="Times New Roman" w:hAnsi="Times New Roman" w:cs="Times New Roman"/>
                      <w:szCs w:val="21"/>
                    </w:rPr>
                  </w:pPr>
                  <w:r>
                    <w:rPr>
                      <w:rFonts w:ascii="Times New Roman" w:hAnsi="Times New Roman" w:cs="Times New Roman"/>
                      <w:szCs w:val="21"/>
                    </w:rPr>
                    <w:t>最大超标倍数</w:t>
                  </w:r>
                </w:p>
              </w:tc>
              <w:tc>
                <w:tcPr>
                  <w:tcW w:w="489" w:type="pct"/>
                  <w:vAlign w:val="center"/>
                </w:tcPr>
                <w:p w14:paraId="2350FDA7">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0</w:t>
                  </w:r>
                </w:p>
              </w:tc>
              <w:tc>
                <w:tcPr>
                  <w:tcW w:w="508" w:type="pct"/>
                  <w:vAlign w:val="center"/>
                </w:tcPr>
                <w:p w14:paraId="1F0A6CB1">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0</w:t>
                  </w:r>
                </w:p>
              </w:tc>
              <w:tc>
                <w:tcPr>
                  <w:tcW w:w="490" w:type="pct"/>
                  <w:vAlign w:val="center"/>
                </w:tcPr>
                <w:p w14:paraId="7EFC79CF">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0</w:t>
                  </w:r>
                </w:p>
              </w:tc>
              <w:tc>
                <w:tcPr>
                  <w:tcW w:w="433" w:type="pct"/>
                  <w:vAlign w:val="center"/>
                </w:tcPr>
                <w:p w14:paraId="0DEC022D">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0</w:t>
                  </w:r>
                </w:p>
              </w:tc>
              <w:tc>
                <w:tcPr>
                  <w:tcW w:w="453" w:type="pct"/>
                  <w:vAlign w:val="center"/>
                </w:tcPr>
                <w:p w14:paraId="11BF8657">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0</w:t>
                  </w:r>
                </w:p>
              </w:tc>
              <w:tc>
                <w:tcPr>
                  <w:tcW w:w="515" w:type="pct"/>
                  <w:vAlign w:val="center"/>
                </w:tcPr>
                <w:p w14:paraId="30DE85B6">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0</w:t>
                  </w:r>
                </w:p>
              </w:tc>
              <w:tc>
                <w:tcPr>
                  <w:tcW w:w="515" w:type="pct"/>
                  <w:vAlign w:val="center"/>
                </w:tcPr>
                <w:p w14:paraId="5FF99C1F">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0</w:t>
                  </w:r>
                </w:p>
              </w:tc>
            </w:tr>
            <w:tr w14:paraId="13C49501">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594" w:type="pct"/>
                  <w:gridSpan w:val="4"/>
                  <w:tcBorders>
                    <w:bottom w:val="single" w:color="auto" w:sz="12" w:space="0"/>
                  </w:tcBorders>
                  <w:vAlign w:val="center"/>
                </w:tcPr>
                <w:p w14:paraId="097463B5">
                  <w:pPr>
                    <w:adjustRightInd w:val="0"/>
                    <w:snapToGrid w:val="0"/>
                    <w:jc w:val="center"/>
                    <w:rPr>
                      <w:rFonts w:ascii="Times New Roman" w:hAnsi="Times New Roman" w:cs="Times New Roman"/>
                      <w:szCs w:val="21"/>
                    </w:rPr>
                  </w:pPr>
                  <w:r>
                    <w:rPr>
                      <w:rFonts w:ascii="Times New Roman" w:hAnsi="Times New Roman" w:cs="Times New Roman"/>
                      <w:szCs w:val="21"/>
                    </w:rPr>
                    <w:t>（GB3838-2002）Ⅳ类标准</w:t>
                  </w:r>
                </w:p>
              </w:tc>
              <w:tc>
                <w:tcPr>
                  <w:tcW w:w="489" w:type="pct"/>
                  <w:tcBorders>
                    <w:bottom w:val="single" w:color="auto" w:sz="12" w:space="0"/>
                  </w:tcBorders>
                  <w:vAlign w:val="center"/>
                </w:tcPr>
                <w:p w14:paraId="6218AFC5">
                  <w:pPr>
                    <w:adjustRightInd w:val="0"/>
                    <w:snapToGrid w:val="0"/>
                    <w:jc w:val="center"/>
                    <w:rPr>
                      <w:rFonts w:ascii="Times New Roman Regular" w:hAnsi="Times New Roman Regular" w:cs="Times New Roman Regular"/>
                      <w:szCs w:val="21"/>
                    </w:rPr>
                  </w:pPr>
                  <w:r>
                    <w:rPr>
                      <w:rFonts w:ascii="Times New Roman Regular" w:hAnsi="Times New Roman Regular" w:eastAsia="宋体" w:cs="Times New Roman Regular"/>
                      <w:szCs w:val="21"/>
                    </w:rPr>
                    <w:t>≥</w:t>
                  </w:r>
                  <w:r>
                    <w:rPr>
                      <w:rFonts w:ascii="Times New Roman Regular" w:hAnsi="Times New Roman Regular" w:cs="Times New Roman Regular"/>
                      <w:szCs w:val="21"/>
                    </w:rPr>
                    <w:t>3</w:t>
                  </w:r>
                </w:p>
              </w:tc>
              <w:tc>
                <w:tcPr>
                  <w:tcW w:w="508" w:type="pct"/>
                  <w:tcBorders>
                    <w:bottom w:val="single" w:color="auto" w:sz="12" w:space="0"/>
                  </w:tcBorders>
                  <w:vAlign w:val="center"/>
                </w:tcPr>
                <w:p w14:paraId="383B1508">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≤10</w:t>
                  </w:r>
                </w:p>
              </w:tc>
              <w:tc>
                <w:tcPr>
                  <w:tcW w:w="490" w:type="pct"/>
                  <w:tcBorders>
                    <w:bottom w:val="single" w:color="auto" w:sz="12" w:space="0"/>
                  </w:tcBorders>
                  <w:vAlign w:val="center"/>
                </w:tcPr>
                <w:p w14:paraId="563E9612">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≤6</w:t>
                  </w:r>
                </w:p>
              </w:tc>
              <w:tc>
                <w:tcPr>
                  <w:tcW w:w="433" w:type="pct"/>
                  <w:tcBorders>
                    <w:bottom w:val="single" w:color="auto" w:sz="12" w:space="0"/>
                  </w:tcBorders>
                  <w:vAlign w:val="center"/>
                </w:tcPr>
                <w:p w14:paraId="0BEED263">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≤1.5</w:t>
                  </w:r>
                </w:p>
              </w:tc>
              <w:tc>
                <w:tcPr>
                  <w:tcW w:w="453" w:type="pct"/>
                  <w:tcBorders>
                    <w:bottom w:val="single" w:color="auto" w:sz="12" w:space="0"/>
                  </w:tcBorders>
                  <w:vAlign w:val="center"/>
                </w:tcPr>
                <w:p w14:paraId="72A217F8">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≤30</w:t>
                  </w:r>
                </w:p>
              </w:tc>
              <w:tc>
                <w:tcPr>
                  <w:tcW w:w="515" w:type="pct"/>
                  <w:tcBorders>
                    <w:bottom w:val="single" w:color="auto" w:sz="12" w:space="0"/>
                  </w:tcBorders>
                  <w:vAlign w:val="center"/>
                </w:tcPr>
                <w:p w14:paraId="0F9E05B7">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≤0.3</w:t>
                  </w:r>
                </w:p>
              </w:tc>
              <w:tc>
                <w:tcPr>
                  <w:tcW w:w="515" w:type="pct"/>
                  <w:tcBorders>
                    <w:bottom w:val="single" w:color="auto" w:sz="12" w:space="0"/>
                  </w:tcBorders>
                  <w:vAlign w:val="center"/>
                </w:tcPr>
                <w:p w14:paraId="45D7DB5B">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≤1.5</w:t>
                  </w:r>
                </w:p>
              </w:tc>
            </w:tr>
          </w:tbl>
          <w:p w14:paraId="447688F1">
            <w:pPr>
              <w:adjustRightInd w:val="0"/>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监测结果表明，渭河</w:t>
            </w:r>
            <w:r>
              <w:rPr>
                <w:rFonts w:hint="eastAsia" w:ascii="Times New Roman" w:hAnsi="Times New Roman" w:cs="Times New Roman"/>
                <w:szCs w:val="21"/>
              </w:rPr>
              <w:t>卧龙寺桥</w:t>
            </w:r>
            <w:r>
              <w:rPr>
                <w:rFonts w:ascii="Times New Roman" w:hAnsi="Times New Roman" w:eastAsia="宋体" w:cs="Times New Roman"/>
                <w:szCs w:val="21"/>
              </w:rPr>
              <w:t>断面各监测指标均符合《地表水环境质量标准》（GB3838-2002）Ⅲ类标准限值要求</w:t>
            </w:r>
            <w:r>
              <w:rPr>
                <w:rFonts w:hint="eastAsia" w:ascii="Times New Roman" w:hAnsi="Times New Roman" w:eastAsia="宋体" w:cs="Times New Roman"/>
                <w:szCs w:val="21"/>
              </w:rPr>
              <w:t>，</w:t>
            </w:r>
            <w:r>
              <w:rPr>
                <w:rFonts w:ascii="Times New Roman" w:hAnsi="Times New Roman" w:eastAsia="宋体" w:cs="Times New Roman"/>
                <w:szCs w:val="21"/>
              </w:rPr>
              <w:t>渭河</w:t>
            </w:r>
            <w:r>
              <w:rPr>
                <w:rFonts w:hint="eastAsia" w:ascii="Times New Roman" w:hAnsi="Times New Roman" w:eastAsia="宋体" w:cs="Times New Roman"/>
                <w:szCs w:val="21"/>
              </w:rPr>
              <w:t>虢镇</w:t>
            </w:r>
            <w:r>
              <w:rPr>
                <w:rFonts w:ascii="Times New Roman" w:hAnsi="Times New Roman" w:eastAsia="宋体" w:cs="Times New Roman"/>
                <w:szCs w:val="21"/>
              </w:rPr>
              <w:t>桥断面监测指标均符合《地表水环境质量标准》（GB3838-2002）</w:t>
            </w:r>
            <w:r>
              <w:rPr>
                <w:rFonts w:ascii="Times New Roman" w:hAnsi="Times New Roman" w:cs="Times New Roman"/>
                <w:szCs w:val="21"/>
              </w:rPr>
              <w:t>Ⅳ</w:t>
            </w:r>
            <w:r>
              <w:rPr>
                <w:rFonts w:ascii="Times New Roman" w:hAnsi="Times New Roman" w:eastAsia="宋体" w:cs="Times New Roman"/>
                <w:szCs w:val="21"/>
              </w:rPr>
              <w:t>类标准限值要求。</w:t>
            </w:r>
          </w:p>
          <w:p w14:paraId="0D22241C">
            <w:pPr>
              <w:widowControl/>
              <w:adjustRightInd w:val="0"/>
              <w:snapToGrid w:val="0"/>
              <w:spacing w:line="360" w:lineRule="auto"/>
              <w:ind w:firstLine="482" w:firstLineChars="200"/>
              <w:jc w:val="left"/>
              <w:rPr>
                <w:rFonts w:ascii="Times New Roman" w:hAnsi="Times New Roman" w:eastAsia="宋体" w:cs="Times New Roman"/>
                <w:b/>
                <w:bCs/>
                <w:sz w:val="24"/>
              </w:rPr>
            </w:pPr>
            <w:r>
              <w:rPr>
                <w:rFonts w:hint="eastAsia" w:ascii="Times New Roman" w:hAnsi="Times New Roman" w:eastAsia="宋体" w:cs="Times New Roman"/>
                <w:b/>
                <w:bCs/>
                <w:sz w:val="24"/>
              </w:rPr>
              <w:t>3、</w:t>
            </w:r>
            <w:r>
              <w:rPr>
                <w:rFonts w:ascii="Times New Roman" w:hAnsi="Times New Roman" w:eastAsia="宋体" w:cs="Times New Roman"/>
                <w:b/>
                <w:bCs/>
                <w:sz w:val="24"/>
              </w:rPr>
              <w:t>声环境质量现状</w:t>
            </w:r>
          </w:p>
          <w:p w14:paraId="7DE185AE">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本项目位于</w:t>
            </w:r>
            <w:r>
              <w:rPr>
                <w:rFonts w:hint="eastAsia" w:ascii="Times New Roman" w:hAnsi="Times New Roman" w:cs="Times New Roman"/>
                <w:sz w:val="24"/>
              </w:rPr>
              <w:t>姜谭经济技术开发区</w:t>
            </w:r>
            <w:r>
              <w:rPr>
                <w:rFonts w:ascii="Times New Roman" w:hAnsi="Times New Roman" w:cs="Times New Roman"/>
                <w:sz w:val="24"/>
              </w:rPr>
              <w:t>，</w:t>
            </w:r>
            <w:r>
              <w:rPr>
                <w:rFonts w:hint="eastAsia" w:ascii="Times New Roman" w:hAnsi="Times New Roman" w:cs="Times New Roman"/>
                <w:sz w:val="24"/>
              </w:rPr>
              <w:t>西南侧45m</w:t>
            </w:r>
            <w:r>
              <w:rPr>
                <w:rFonts w:ascii="Times New Roman" w:hAnsi="Times New Roman" w:cs="Times New Roman"/>
                <w:sz w:val="24"/>
              </w:rPr>
              <w:t>为</w:t>
            </w:r>
            <w:r>
              <w:rPr>
                <w:rFonts w:hint="eastAsia" w:ascii="Times New Roman" w:hAnsi="Times New Roman" w:cs="Times New Roman"/>
                <w:sz w:val="24"/>
              </w:rPr>
              <w:t>声环境敏感点巨家村。现有项目自2025年4月中旬正式开工建设，目前处于建设期。</w:t>
            </w:r>
            <w:r>
              <w:rPr>
                <w:rFonts w:ascii="Times New Roman" w:hAnsi="Times New Roman" w:cs="Times New Roman"/>
                <w:sz w:val="24"/>
              </w:rPr>
              <w:t>本项目所在地声环境质量现状评价</w:t>
            </w:r>
            <w:r>
              <w:rPr>
                <w:rFonts w:hint="eastAsia" w:ascii="Times New Roman" w:hAnsi="Times New Roman" w:cs="Times New Roman"/>
                <w:sz w:val="24"/>
              </w:rPr>
              <w:t>引用陕西明铖检测技术有限公司于</w:t>
            </w:r>
            <w:r>
              <w:rPr>
                <w:rFonts w:ascii="Times New Roman" w:hAnsi="Times New Roman" w:eastAsia="宋体" w:cs="Times New Roman"/>
                <w:sz w:val="24"/>
              </w:rPr>
              <w:t>202</w:t>
            </w:r>
            <w:r>
              <w:rPr>
                <w:rFonts w:hint="eastAsia" w:ascii="Times New Roman" w:hAnsi="Times New Roman" w:eastAsia="宋体" w:cs="Times New Roman"/>
                <w:sz w:val="24"/>
              </w:rPr>
              <w:t>4</w:t>
            </w:r>
            <w:r>
              <w:rPr>
                <w:rFonts w:ascii="Times New Roman" w:hAnsi="Times New Roman" w:eastAsia="宋体" w:cs="Times New Roman"/>
                <w:sz w:val="24"/>
              </w:rPr>
              <w:t>年</w:t>
            </w:r>
            <w:r>
              <w:rPr>
                <w:rFonts w:hint="eastAsia" w:ascii="Times New Roman" w:hAnsi="Times New Roman" w:eastAsia="宋体" w:cs="Times New Roman"/>
                <w:sz w:val="24"/>
              </w:rPr>
              <w:t>11</w:t>
            </w:r>
            <w:r>
              <w:rPr>
                <w:rFonts w:ascii="Times New Roman" w:hAnsi="Times New Roman" w:eastAsia="宋体" w:cs="Times New Roman"/>
                <w:sz w:val="24"/>
              </w:rPr>
              <w:t>月</w:t>
            </w:r>
            <w:r>
              <w:rPr>
                <w:rFonts w:hint="eastAsia" w:ascii="Times New Roman" w:hAnsi="Times New Roman" w:eastAsia="宋体" w:cs="Times New Roman"/>
                <w:sz w:val="24"/>
              </w:rPr>
              <w:t>27</w:t>
            </w:r>
            <w:r>
              <w:rPr>
                <w:rFonts w:ascii="Times New Roman" w:hAnsi="Times New Roman" w:eastAsia="宋体" w:cs="Times New Roman"/>
                <w:sz w:val="24"/>
              </w:rPr>
              <w:t>日</w:t>
            </w:r>
            <w:r>
              <w:rPr>
                <w:rFonts w:hint="eastAsia" w:ascii="Times New Roman" w:hAnsi="Times New Roman" w:eastAsia="宋体" w:cs="Times New Roman"/>
                <w:sz w:val="24"/>
              </w:rPr>
              <w:t>进行监测，并出具监测报告，报告编号：SXNC-Z2411062。</w:t>
            </w:r>
          </w:p>
          <w:p w14:paraId="655B4D17">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（1）监测点位</w:t>
            </w:r>
          </w:p>
          <w:p w14:paraId="4EAEC8E2">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敏感点巨家村设1</w:t>
            </w:r>
            <w:r>
              <w:rPr>
                <w:rFonts w:ascii="Times New Roman" w:hAnsi="Times New Roman" w:cs="Times New Roman"/>
                <w:sz w:val="24"/>
              </w:rPr>
              <w:t>个噪声监测点。</w:t>
            </w:r>
          </w:p>
          <w:p w14:paraId="13C5BFB9">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（2）监测单位及时间</w:t>
            </w:r>
          </w:p>
          <w:p w14:paraId="7126C12F">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监测单位：</w:t>
            </w:r>
            <w:r>
              <w:rPr>
                <w:rFonts w:hint="eastAsia" w:ascii="Times New Roman" w:hAnsi="Times New Roman" w:cs="Times New Roman"/>
                <w:sz w:val="24"/>
              </w:rPr>
              <w:t>陕西明铖检测技术有限公司</w:t>
            </w:r>
          </w:p>
          <w:p w14:paraId="46B29810">
            <w:pPr>
              <w:widowControl/>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监测时间：</w:t>
            </w:r>
            <w:r>
              <w:rPr>
                <w:rFonts w:ascii="Times New Roman" w:hAnsi="Times New Roman" w:eastAsia="宋体" w:cs="Times New Roman"/>
                <w:sz w:val="24"/>
              </w:rPr>
              <w:t>202</w:t>
            </w:r>
            <w:r>
              <w:rPr>
                <w:rFonts w:hint="eastAsia" w:ascii="Times New Roman" w:hAnsi="Times New Roman" w:eastAsia="宋体" w:cs="Times New Roman"/>
                <w:sz w:val="24"/>
              </w:rPr>
              <w:t>4</w:t>
            </w:r>
            <w:r>
              <w:rPr>
                <w:rFonts w:ascii="Times New Roman" w:hAnsi="Times New Roman" w:eastAsia="宋体" w:cs="Times New Roman"/>
                <w:sz w:val="24"/>
              </w:rPr>
              <w:t>年</w:t>
            </w:r>
            <w:r>
              <w:rPr>
                <w:rFonts w:hint="eastAsia" w:ascii="Times New Roman" w:hAnsi="Times New Roman" w:eastAsia="宋体" w:cs="Times New Roman"/>
                <w:sz w:val="24"/>
              </w:rPr>
              <w:t>11</w:t>
            </w:r>
            <w:r>
              <w:rPr>
                <w:rFonts w:ascii="Times New Roman" w:hAnsi="Times New Roman" w:eastAsia="宋体" w:cs="Times New Roman"/>
                <w:sz w:val="24"/>
              </w:rPr>
              <w:t>月</w:t>
            </w:r>
            <w:r>
              <w:rPr>
                <w:rFonts w:hint="eastAsia" w:ascii="Times New Roman" w:hAnsi="Times New Roman" w:eastAsia="宋体" w:cs="Times New Roman"/>
                <w:sz w:val="24"/>
              </w:rPr>
              <w:t>24</w:t>
            </w:r>
            <w:r>
              <w:rPr>
                <w:rFonts w:ascii="Times New Roman" w:hAnsi="Times New Roman" w:eastAsia="宋体" w:cs="Times New Roman"/>
                <w:sz w:val="24"/>
              </w:rPr>
              <w:t>日</w:t>
            </w:r>
          </w:p>
          <w:p w14:paraId="77135BA1">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w:t>
            </w:r>
            <w:r>
              <w:rPr>
                <w:rFonts w:hint="eastAsia" w:ascii="Times New Roman" w:hAnsi="Times New Roman" w:cs="Times New Roman"/>
                <w:sz w:val="24"/>
              </w:rPr>
              <w:t>3</w:t>
            </w:r>
            <w:r>
              <w:rPr>
                <w:rFonts w:ascii="Times New Roman" w:hAnsi="Times New Roman" w:cs="Times New Roman"/>
                <w:sz w:val="24"/>
              </w:rPr>
              <w:t>）监测结果与评价</w:t>
            </w:r>
          </w:p>
          <w:p w14:paraId="170299C1">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声环境现状监测结果见下表。</w:t>
            </w:r>
          </w:p>
          <w:p w14:paraId="199F8FDD">
            <w:pPr>
              <w:adjustRightInd w:val="0"/>
              <w:snapToGrid w:val="0"/>
              <w:jc w:val="center"/>
              <w:rPr>
                <w:rFonts w:ascii="Times New Roman" w:hAnsi="Times New Roman" w:eastAsia="宋体" w:cs="Times New Roman"/>
                <w:b/>
                <w:spacing w:val="-3"/>
                <w:szCs w:val="21"/>
                <w:lang w:val="zh-CN" w:bidi="zh-CN"/>
              </w:rPr>
            </w:pPr>
            <w:r>
              <w:rPr>
                <w:rFonts w:ascii="Times New Roman" w:hAnsi="Times New Roman" w:eastAsia="宋体" w:cs="Times New Roman"/>
                <w:b/>
                <w:spacing w:val="-3"/>
                <w:szCs w:val="21"/>
                <w:lang w:val="zh-CN" w:bidi="zh-CN"/>
              </w:rPr>
              <w:t>表</w:t>
            </w:r>
            <w:r>
              <w:rPr>
                <w:rFonts w:hint="eastAsia" w:ascii="Times New Roman" w:hAnsi="Times New Roman" w:eastAsia="宋体" w:cs="Times New Roman"/>
                <w:b/>
                <w:spacing w:val="-3"/>
                <w:szCs w:val="21"/>
                <w:lang w:bidi="zh-CN"/>
              </w:rPr>
              <w:t>3-4</w:t>
            </w:r>
            <w:r>
              <w:rPr>
                <w:rFonts w:ascii="Times New Roman" w:hAnsi="Times New Roman" w:cs="Times New Roman"/>
                <w:b/>
                <w:spacing w:val="-3"/>
                <w:szCs w:val="21"/>
                <w:lang w:bidi="zh-CN"/>
              </w:rPr>
              <w:t xml:space="preserve">   </w:t>
            </w:r>
            <w:r>
              <w:rPr>
                <w:rFonts w:ascii="Times New Roman" w:hAnsi="Times New Roman" w:eastAsia="宋体" w:cs="Times New Roman"/>
                <w:b/>
                <w:spacing w:val="-3"/>
                <w:szCs w:val="21"/>
                <w:lang w:val="zh-CN" w:bidi="zh-CN"/>
              </w:rPr>
              <w:t>声环境现状监测结果</w:t>
            </w:r>
            <w:r>
              <w:rPr>
                <w:rFonts w:ascii="Times New Roman" w:hAnsi="Times New Roman" w:eastAsia="宋体" w:cs="Times New Roman"/>
                <w:b/>
                <w:spacing w:val="-3"/>
                <w:szCs w:val="21"/>
                <w:lang w:val="zh-CN" w:bidi="zh-CN"/>
              </w:rPr>
              <w:tab/>
            </w:r>
            <w:r>
              <w:rPr>
                <w:rFonts w:ascii="Times New Roman" w:hAnsi="Times New Roman" w:eastAsia="宋体" w:cs="Times New Roman"/>
                <w:b/>
                <w:spacing w:val="-3"/>
                <w:szCs w:val="21"/>
                <w:lang w:val="zh-CN" w:bidi="zh-CN"/>
              </w:rPr>
              <w:t>单位：dB</w:t>
            </w:r>
            <w:r>
              <w:rPr>
                <w:rFonts w:ascii="Times New Roman" w:hAnsi="Times New Roman" w:cs="Times New Roman"/>
                <w:b/>
                <w:spacing w:val="-3"/>
                <w:szCs w:val="21"/>
                <w:lang w:val="zh-CN" w:bidi="zh-CN"/>
              </w:rPr>
              <w:t>（</w:t>
            </w:r>
            <w:r>
              <w:rPr>
                <w:rFonts w:ascii="Times New Roman" w:hAnsi="Times New Roman" w:eastAsia="宋体" w:cs="Times New Roman"/>
                <w:b/>
                <w:spacing w:val="-3"/>
                <w:szCs w:val="21"/>
                <w:lang w:val="zh-CN" w:bidi="zh-CN"/>
              </w:rPr>
              <w:t>A</w:t>
            </w:r>
            <w:r>
              <w:rPr>
                <w:rFonts w:ascii="Times New Roman" w:hAnsi="Times New Roman" w:cs="Times New Roman"/>
                <w:b/>
                <w:spacing w:val="-3"/>
                <w:szCs w:val="21"/>
                <w:lang w:val="zh-CN" w:bidi="zh-CN"/>
              </w:rPr>
              <w:t>）</w:t>
            </w:r>
          </w:p>
          <w:tbl>
            <w:tblPr>
              <w:tblStyle w:val="26"/>
              <w:tblW w:w="4996" w:type="pct"/>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31"/>
              <w:gridCol w:w="1469"/>
              <w:gridCol w:w="1650"/>
              <w:gridCol w:w="1516"/>
              <w:gridCol w:w="1734"/>
              <w:gridCol w:w="1447"/>
            </w:tblGrid>
            <w:tr w14:paraId="72EE01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1" w:type="pct"/>
                  <w:vMerge w:val="restart"/>
                  <w:tcBorders>
                    <w:tl2br w:val="nil"/>
                    <w:tr2bl w:val="nil"/>
                  </w:tcBorders>
                  <w:vAlign w:val="center"/>
                </w:tcPr>
                <w:p w14:paraId="07E5FE55">
                  <w:pPr>
                    <w:pStyle w:val="39"/>
                    <w:autoSpaceDE w:val="0"/>
                    <w:autoSpaceDN w:val="0"/>
                    <w:adjustRightInd w:val="0"/>
                    <w:snapToGrid w:val="0"/>
                    <w:jc w:val="center"/>
                    <w:rPr>
                      <w:rFonts w:ascii="Times New Roman Regular" w:hAnsi="Times New Roman Regular" w:cs="Times New Roman Regular" w:eastAsiaTheme="minorEastAsia"/>
                      <w:szCs w:val="21"/>
                      <w:lang w:val="en-US" w:bidi="ar-SA"/>
                    </w:rPr>
                  </w:pPr>
                  <w:r>
                    <w:rPr>
                      <w:rFonts w:ascii="Times New Roman Regular" w:hAnsi="Times New Roman Regular" w:cs="Times New Roman Regular" w:eastAsiaTheme="minorEastAsia"/>
                      <w:szCs w:val="21"/>
                      <w:lang w:val="en-US" w:bidi="ar-SA"/>
                    </w:rPr>
                    <w:t>编号</w:t>
                  </w:r>
                </w:p>
              </w:tc>
              <w:tc>
                <w:tcPr>
                  <w:tcW w:w="890" w:type="pct"/>
                  <w:vMerge w:val="restart"/>
                  <w:tcBorders>
                    <w:tl2br w:val="nil"/>
                    <w:tr2bl w:val="nil"/>
                  </w:tcBorders>
                  <w:vAlign w:val="center"/>
                </w:tcPr>
                <w:p w14:paraId="64D46744">
                  <w:pPr>
                    <w:pStyle w:val="39"/>
                    <w:autoSpaceDE w:val="0"/>
                    <w:autoSpaceDN w:val="0"/>
                    <w:adjustRightInd w:val="0"/>
                    <w:snapToGrid w:val="0"/>
                    <w:jc w:val="center"/>
                    <w:rPr>
                      <w:rFonts w:ascii="Times New Roman Regular" w:hAnsi="Times New Roman Regular" w:cs="Times New Roman Regular" w:eastAsiaTheme="minorEastAsia"/>
                      <w:szCs w:val="21"/>
                      <w:lang w:val="en-US" w:bidi="ar-SA"/>
                    </w:rPr>
                  </w:pPr>
                  <w:r>
                    <w:rPr>
                      <w:rFonts w:ascii="Times New Roman Regular" w:hAnsi="Times New Roman Regular" w:cs="Times New Roman Regular" w:eastAsiaTheme="minorEastAsia"/>
                      <w:szCs w:val="21"/>
                      <w:lang w:val="en-US" w:bidi="ar-SA"/>
                    </w:rPr>
                    <w:t>测点位置</w:t>
                  </w:r>
                </w:p>
              </w:tc>
              <w:tc>
                <w:tcPr>
                  <w:tcW w:w="1919" w:type="pct"/>
                  <w:gridSpan w:val="2"/>
                  <w:tcBorders>
                    <w:tl2br w:val="nil"/>
                    <w:tr2bl w:val="nil"/>
                  </w:tcBorders>
                  <w:vAlign w:val="center"/>
                </w:tcPr>
                <w:p w14:paraId="239364F0">
                  <w:pPr>
                    <w:pStyle w:val="39"/>
                    <w:autoSpaceDE w:val="0"/>
                    <w:autoSpaceDN w:val="0"/>
                    <w:adjustRightInd w:val="0"/>
                    <w:snapToGrid w:val="0"/>
                    <w:jc w:val="center"/>
                    <w:rPr>
                      <w:rFonts w:ascii="Times New Roman Regular" w:hAnsi="Times New Roman Regular" w:cs="Times New Roman Regular" w:eastAsiaTheme="minorEastAsia"/>
                      <w:szCs w:val="21"/>
                      <w:lang w:val="en-US" w:bidi="ar-SA"/>
                    </w:rPr>
                  </w:pPr>
                  <w:r>
                    <w:rPr>
                      <w:rFonts w:ascii="Times New Roman Regular" w:hAnsi="Times New Roman Regular" w:cs="Times New Roman Regular" w:eastAsiaTheme="minorEastAsia"/>
                      <w:szCs w:val="21"/>
                      <w:lang w:val="en-US" w:bidi="ar-SA"/>
                    </w:rPr>
                    <w:t>昼间</w:t>
                  </w:r>
                  <w:r>
                    <w:rPr>
                      <w:rFonts w:ascii="Times New Roman Regular" w:hAnsi="Times New Roman Regular" w:cs="Times New Roman Regular" w:eastAsiaTheme="minorEastAsia"/>
                      <w:szCs w:val="21"/>
                      <w:lang w:val="zh-CN" w:bidi="ar-SA"/>
                    </w:rPr>
                    <w:t>dB（A）</w:t>
                  </w:r>
                </w:p>
              </w:tc>
              <w:tc>
                <w:tcPr>
                  <w:tcW w:w="1928" w:type="pct"/>
                  <w:gridSpan w:val="2"/>
                  <w:tcBorders>
                    <w:tl2br w:val="nil"/>
                    <w:tr2bl w:val="nil"/>
                  </w:tcBorders>
                  <w:vAlign w:val="center"/>
                </w:tcPr>
                <w:p w14:paraId="40DC3BAC">
                  <w:pPr>
                    <w:pStyle w:val="39"/>
                    <w:autoSpaceDE w:val="0"/>
                    <w:autoSpaceDN w:val="0"/>
                    <w:adjustRightInd w:val="0"/>
                    <w:snapToGrid w:val="0"/>
                    <w:jc w:val="center"/>
                    <w:rPr>
                      <w:rFonts w:ascii="Times New Roman Regular" w:hAnsi="Times New Roman Regular" w:cs="Times New Roman Regular" w:eastAsiaTheme="minorEastAsia"/>
                      <w:szCs w:val="21"/>
                      <w:lang w:val="en-US" w:bidi="ar-SA"/>
                    </w:rPr>
                  </w:pPr>
                  <w:r>
                    <w:rPr>
                      <w:rFonts w:ascii="Times New Roman Regular" w:hAnsi="Times New Roman Regular" w:cs="Times New Roman Regular" w:eastAsiaTheme="minorEastAsia"/>
                      <w:szCs w:val="21"/>
                      <w:lang w:val="en-US" w:bidi="ar-SA"/>
                    </w:rPr>
                    <w:t>夜间</w:t>
                  </w:r>
                  <w:r>
                    <w:rPr>
                      <w:rFonts w:ascii="Times New Roman Regular" w:hAnsi="Times New Roman Regular" w:cs="Times New Roman Regular" w:eastAsiaTheme="minorEastAsia"/>
                      <w:szCs w:val="21"/>
                      <w:lang w:val="zh-CN" w:bidi="ar-SA"/>
                    </w:rPr>
                    <w:t>dB（A）</w:t>
                  </w:r>
                </w:p>
              </w:tc>
            </w:tr>
            <w:tr w14:paraId="7F67F7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1" w:type="pct"/>
                  <w:vMerge w:val="continue"/>
                  <w:tcBorders>
                    <w:tl2br w:val="nil"/>
                    <w:tr2bl w:val="nil"/>
                  </w:tcBorders>
                  <w:vAlign w:val="center"/>
                </w:tcPr>
                <w:p w14:paraId="35F4500D">
                  <w:pPr>
                    <w:adjustRightInd w:val="0"/>
                    <w:snapToGrid w:val="0"/>
                    <w:jc w:val="center"/>
                    <w:rPr>
                      <w:rFonts w:ascii="Times New Roman Regular" w:hAnsi="Times New Roman Regular" w:cs="Times New Roman Regular"/>
                      <w:szCs w:val="21"/>
                    </w:rPr>
                  </w:pPr>
                </w:p>
              </w:tc>
              <w:tc>
                <w:tcPr>
                  <w:tcW w:w="890" w:type="pct"/>
                  <w:vMerge w:val="continue"/>
                  <w:tcBorders>
                    <w:tl2br w:val="nil"/>
                    <w:tr2bl w:val="nil"/>
                  </w:tcBorders>
                  <w:vAlign w:val="center"/>
                </w:tcPr>
                <w:p w14:paraId="4766A930">
                  <w:pPr>
                    <w:adjustRightInd w:val="0"/>
                    <w:snapToGrid w:val="0"/>
                    <w:jc w:val="center"/>
                    <w:rPr>
                      <w:rFonts w:ascii="Times New Roman Regular" w:hAnsi="Times New Roman Regular" w:cs="Times New Roman Regular"/>
                      <w:szCs w:val="21"/>
                    </w:rPr>
                  </w:pPr>
                </w:p>
              </w:tc>
              <w:tc>
                <w:tcPr>
                  <w:tcW w:w="1000" w:type="pct"/>
                  <w:tcBorders>
                    <w:tl2br w:val="nil"/>
                    <w:tr2bl w:val="nil"/>
                  </w:tcBorders>
                  <w:vAlign w:val="center"/>
                </w:tcPr>
                <w:p w14:paraId="13987DC8">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噪声值</w:t>
                  </w:r>
                </w:p>
              </w:tc>
              <w:tc>
                <w:tcPr>
                  <w:tcW w:w="918" w:type="pct"/>
                  <w:tcBorders>
                    <w:tl2br w:val="nil"/>
                    <w:tr2bl w:val="nil"/>
                  </w:tcBorders>
                  <w:vAlign w:val="center"/>
                </w:tcPr>
                <w:p w14:paraId="5411E539">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标准限值</w:t>
                  </w:r>
                </w:p>
              </w:tc>
              <w:tc>
                <w:tcPr>
                  <w:tcW w:w="1051" w:type="pct"/>
                  <w:tcBorders>
                    <w:tl2br w:val="nil"/>
                    <w:tr2bl w:val="nil"/>
                  </w:tcBorders>
                  <w:vAlign w:val="center"/>
                </w:tcPr>
                <w:p w14:paraId="6ADFEAFB">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噪声值</w:t>
                  </w:r>
                </w:p>
              </w:tc>
              <w:tc>
                <w:tcPr>
                  <w:tcW w:w="876" w:type="pct"/>
                  <w:tcBorders>
                    <w:tl2br w:val="nil"/>
                    <w:tr2bl w:val="nil"/>
                  </w:tcBorders>
                  <w:vAlign w:val="center"/>
                </w:tcPr>
                <w:p w14:paraId="3D769215">
                  <w:pPr>
                    <w:adjustRightInd w:val="0"/>
                    <w:snapToGrid w:val="0"/>
                    <w:jc w:val="center"/>
                    <w:rPr>
                      <w:rFonts w:ascii="Times New Roman Regular" w:hAnsi="Times New Roman Regular" w:cs="Times New Roman Regular"/>
                      <w:szCs w:val="21"/>
                    </w:rPr>
                  </w:pPr>
                  <w:r>
                    <w:rPr>
                      <w:rFonts w:ascii="Times New Roman Regular" w:hAnsi="Times New Roman Regular" w:cs="Times New Roman Regular"/>
                      <w:szCs w:val="21"/>
                    </w:rPr>
                    <w:t>标准限值</w:t>
                  </w:r>
                </w:p>
              </w:tc>
            </w:tr>
            <w:tr w14:paraId="73F25B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1" w:type="pct"/>
                  <w:tcBorders>
                    <w:tl2br w:val="nil"/>
                    <w:tr2bl w:val="nil"/>
                  </w:tcBorders>
                  <w:vAlign w:val="center"/>
                </w:tcPr>
                <w:p w14:paraId="12DB9457">
                  <w:pPr>
                    <w:pStyle w:val="39"/>
                    <w:autoSpaceDE w:val="0"/>
                    <w:autoSpaceDN w:val="0"/>
                    <w:adjustRightInd w:val="0"/>
                    <w:snapToGrid w:val="0"/>
                    <w:jc w:val="center"/>
                    <w:rPr>
                      <w:rFonts w:ascii="Times New Roman Regular" w:hAnsi="Times New Roman Regular" w:cs="Times New Roman Regular" w:eastAsiaTheme="minorEastAsia"/>
                      <w:szCs w:val="21"/>
                      <w:lang w:val="en-US" w:bidi="ar-SA"/>
                    </w:rPr>
                  </w:pPr>
                  <w:r>
                    <w:rPr>
                      <w:rFonts w:hint="eastAsia" w:ascii="Times New Roman Regular" w:hAnsi="Times New Roman Regular" w:cs="Times New Roman Regular" w:eastAsiaTheme="minorEastAsia"/>
                      <w:szCs w:val="21"/>
                      <w:lang w:val="en-US" w:bidi="ar-SA"/>
                    </w:rPr>
                    <w:t>1</w:t>
                  </w:r>
                </w:p>
              </w:tc>
              <w:tc>
                <w:tcPr>
                  <w:tcW w:w="890" w:type="pct"/>
                  <w:tcBorders>
                    <w:tl2br w:val="nil"/>
                    <w:tr2bl w:val="nil"/>
                  </w:tcBorders>
                  <w:vAlign w:val="center"/>
                </w:tcPr>
                <w:p w14:paraId="397D3BBA">
                  <w:pPr>
                    <w:pStyle w:val="39"/>
                    <w:autoSpaceDE w:val="0"/>
                    <w:autoSpaceDN w:val="0"/>
                    <w:adjustRightInd w:val="0"/>
                    <w:snapToGrid w:val="0"/>
                    <w:jc w:val="center"/>
                    <w:rPr>
                      <w:rFonts w:ascii="Times New Roman Regular" w:hAnsi="Times New Roman Regular" w:cs="Times New Roman Regular" w:eastAsiaTheme="minorEastAsia"/>
                      <w:szCs w:val="21"/>
                      <w:lang w:val="en-US" w:bidi="ar-SA"/>
                    </w:rPr>
                  </w:pPr>
                  <w:r>
                    <w:rPr>
                      <w:rFonts w:hint="eastAsia" w:ascii="Times New Roman Regular" w:hAnsi="Times New Roman Regular" w:cs="Times New Roman Regular" w:eastAsiaTheme="minorEastAsia"/>
                      <w:szCs w:val="21"/>
                      <w:lang w:val="en-US" w:bidi="ar-SA"/>
                    </w:rPr>
                    <w:t>巨家村</w:t>
                  </w:r>
                </w:p>
              </w:tc>
              <w:tc>
                <w:tcPr>
                  <w:tcW w:w="1000" w:type="pct"/>
                  <w:tcBorders>
                    <w:tl2br w:val="nil"/>
                    <w:tr2bl w:val="nil"/>
                  </w:tcBorders>
                  <w:vAlign w:val="center"/>
                </w:tcPr>
                <w:p w14:paraId="795C58B3">
                  <w:pPr>
                    <w:pStyle w:val="39"/>
                    <w:autoSpaceDE w:val="0"/>
                    <w:autoSpaceDN w:val="0"/>
                    <w:adjustRightInd w:val="0"/>
                    <w:snapToGrid w:val="0"/>
                    <w:jc w:val="center"/>
                    <w:rPr>
                      <w:rFonts w:ascii="Times New Roman Regular" w:hAnsi="Times New Roman Regular" w:cs="Times New Roman Regular" w:eastAsiaTheme="minorEastAsia"/>
                      <w:szCs w:val="21"/>
                      <w:lang w:val="en-US" w:bidi="ar-SA"/>
                    </w:rPr>
                  </w:pPr>
                  <w:r>
                    <w:rPr>
                      <w:rFonts w:hint="eastAsia" w:ascii="Times New Roman Regular" w:hAnsi="Times New Roman Regular" w:cs="Times New Roman Regular" w:eastAsiaTheme="minorEastAsia"/>
                      <w:szCs w:val="21"/>
                      <w:lang w:val="en-US" w:bidi="ar-SA"/>
                    </w:rPr>
                    <w:t>50</w:t>
                  </w:r>
                </w:p>
              </w:tc>
              <w:tc>
                <w:tcPr>
                  <w:tcW w:w="918" w:type="pct"/>
                  <w:tcBorders>
                    <w:tl2br w:val="nil"/>
                    <w:tr2bl w:val="nil"/>
                  </w:tcBorders>
                  <w:vAlign w:val="center"/>
                </w:tcPr>
                <w:p w14:paraId="07E06349">
                  <w:pPr>
                    <w:pStyle w:val="39"/>
                    <w:autoSpaceDE w:val="0"/>
                    <w:autoSpaceDN w:val="0"/>
                    <w:adjustRightInd w:val="0"/>
                    <w:snapToGrid w:val="0"/>
                    <w:jc w:val="center"/>
                    <w:rPr>
                      <w:rFonts w:ascii="Times New Roman Regular" w:hAnsi="Times New Roman Regular" w:cs="Times New Roman Regular" w:eastAsiaTheme="minorEastAsia"/>
                      <w:szCs w:val="21"/>
                      <w:lang w:val="en-US" w:bidi="ar-SA"/>
                    </w:rPr>
                  </w:pPr>
                  <w:r>
                    <w:rPr>
                      <w:rFonts w:hint="eastAsia" w:ascii="Times New Roman Regular" w:hAnsi="Times New Roman Regular" w:cs="Times New Roman Regular" w:eastAsiaTheme="minorEastAsia"/>
                      <w:szCs w:val="21"/>
                      <w:lang w:val="en-US" w:bidi="ar-SA"/>
                    </w:rPr>
                    <w:t>60</w:t>
                  </w:r>
                </w:p>
              </w:tc>
              <w:tc>
                <w:tcPr>
                  <w:tcW w:w="1051" w:type="pct"/>
                  <w:tcBorders>
                    <w:tl2br w:val="nil"/>
                    <w:tr2bl w:val="nil"/>
                  </w:tcBorders>
                  <w:vAlign w:val="center"/>
                </w:tcPr>
                <w:p w14:paraId="3558F5E5">
                  <w:pPr>
                    <w:pStyle w:val="39"/>
                    <w:autoSpaceDE w:val="0"/>
                    <w:autoSpaceDN w:val="0"/>
                    <w:adjustRightInd w:val="0"/>
                    <w:snapToGrid w:val="0"/>
                    <w:jc w:val="center"/>
                    <w:rPr>
                      <w:rFonts w:ascii="Times New Roman Regular" w:hAnsi="Times New Roman Regular" w:cs="Times New Roman Regular" w:eastAsiaTheme="minorEastAsia"/>
                      <w:szCs w:val="21"/>
                      <w:lang w:val="en-US" w:bidi="ar-SA"/>
                    </w:rPr>
                  </w:pPr>
                  <w:r>
                    <w:rPr>
                      <w:rFonts w:hint="eastAsia" w:ascii="Times New Roman Regular" w:hAnsi="Times New Roman Regular" w:cs="Times New Roman Regular" w:eastAsiaTheme="minorEastAsia"/>
                      <w:szCs w:val="21"/>
                      <w:lang w:val="en-US" w:bidi="ar-SA"/>
                    </w:rPr>
                    <w:t>41</w:t>
                  </w:r>
                </w:p>
              </w:tc>
              <w:tc>
                <w:tcPr>
                  <w:tcW w:w="876" w:type="pct"/>
                  <w:tcBorders>
                    <w:tl2br w:val="nil"/>
                    <w:tr2bl w:val="nil"/>
                  </w:tcBorders>
                  <w:vAlign w:val="center"/>
                </w:tcPr>
                <w:p w14:paraId="4B52D1FC">
                  <w:pPr>
                    <w:pStyle w:val="39"/>
                    <w:autoSpaceDE w:val="0"/>
                    <w:autoSpaceDN w:val="0"/>
                    <w:adjustRightInd w:val="0"/>
                    <w:snapToGrid w:val="0"/>
                    <w:jc w:val="center"/>
                    <w:rPr>
                      <w:rFonts w:ascii="Times New Roman Regular" w:hAnsi="Times New Roman Regular" w:cs="Times New Roman Regular" w:eastAsiaTheme="minorEastAsia"/>
                      <w:szCs w:val="21"/>
                      <w:lang w:val="en-US" w:bidi="ar-SA"/>
                    </w:rPr>
                  </w:pPr>
                  <w:r>
                    <w:rPr>
                      <w:rFonts w:hint="eastAsia" w:ascii="Times New Roman Regular" w:hAnsi="Times New Roman Regular" w:cs="Times New Roman Regular" w:eastAsiaTheme="minorEastAsia"/>
                      <w:szCs w:val="21"/>
                      <w:lang w:val="en-US" w:bidi="ar-SA"/>
                    </w:rPr>
                    <w:t>50</w:t>
                  </w:r>
                </w:p>
              </w:tc>
            </w:tr>
          </w:tbl>
          <w:p w14:paraId="4B266E95">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从监测结果可知，项目</w:t>
            </w:r>
            <w:r>
              <w:rPr>
                <w:rFonts w:hint="eastAsia" w:ascii="Times New Roman" w:hAnsi="Times New Roman" w:eastAsia="宋体" w:cs="Times New Roman"/>
                <w:sz w:val="24"/>
              </w:rPr>
              <w:t>敏感点</w:t>
            </w:r>
            <w:r>
              <w:rPr>
                <w:rFonts w:hint="eastAsia" w:ascii="Times New Roman" w:hAnsi="Times New Roman" w:cs="Times New Roman"/>
                <w:sz w:val="24"/>
              </w:rPr>
              <w:t>巨家村</w:t>
            </w:r>
            <w:r>
              <w:rPr>
                <w:rFonts w:ascii="Times New Roman" w:hAnsi="Times New Roman" w:eastAsia="宋体" w:cs="Times New Roman"/>
                <w:sz w:val="24"/>
              </w:rPr>
              <w:t>昼、夜间噪声值均满足《声环境质量标准》（GB3096-2008）中</w:t>
            </w:r>
            <w:r>
              <w:rPr>
                <w:rFonts w:hint="eastAsia" w:ascii="Times New Roman" w:hAnsi="Times New Roman" w:eastAsia="宋体" w:cs="Times New Roman"/>
                <w:sz w:val="24"/>
              </w:rPr>
              <w:t>2</w:t>
            </w:r>
            <w:r>
              <w:rPr>
                <w:rFonts w:ascii="Times New Roman" w:hAnsi="Times New Roman" w:eastAsia="宋体" w:cs="Times New Roman"/>
                <w:sz w:val="24"/>
              </w:rPr>
              <w:t>类标准限值要求，说明项目区域声环境质量较好。</w:t>
            </w:r>
          </w:p>
          <w:p w14:paraId="5D62CD5D">
            <w:pPr>
              <w:adjustRightInd w:val="0"/>
              <w:snapToGrid w:val="0"/>
              <w:spacing w:line="360" w:lineRule="auto"/>
              <w:ind w:firstLine="482" w:firstLineChars="200"/>
              <w:rPr>
                <w:rFonts w:ascii="宋体" w:hAnsi="宋体" w:eastAsia="宋体" w:cs="宋体"/>
                <w:sz w:val="24"/>
              </w:rPr>
            </w:pPr>
            <w:r>
              <w:rPr>
                <w:rFonts w:hint="eastAsia" w:ascii="Times New Roman" w:hAnsi="Times New Roman" w:eastAsia="宋体" w:cs="Times New Roman"/>
                <w:b/>
                <w:bCs/>
                <w:sz w:val="24"/>
              </w:rPr>
              <w:t>4、地</w:t>
            </w:r>
            <w:r>
              <w:rPr>
                <w:rFonts w:ascii="Times New Roman" w:hAnsi="Times New Roman" w:eastAsia="宋体" w:cs="Times New Roman"/>
                <w:b/>
                <w:bCs/>
                <w:sz w:val="24"/>
              </w:rPr>
              <w:t>下水、土壤环境质量</w:t>
            </w:r>
            <w:r>
              <w:rPr>
                <w:rFonts w:hint="eastAsia" w:ascii="Times New Roman" w:hAnsi="Times New Roman" w:eastAsia="宋体" w:cs="Times New Roman"/>
                <w:b/>
                <w:bCs/>
                <w:sz w:val="24"/>
              </w:rPr>
              <w:t>现状</w:t>
            </w:r>
          </w:p>
          <w:p w14:paraId="6F2DC868">
            <w:pPr>
              <w:adjustRightInd w:val="0"/>
              <w:snapToGrid w:val="0"/>
              <w:spacing w:line="360" w:lineRule="auto"/>
              <w:ind w:firstLine="480" w:firstLineChars="200"/>
              <w:rPr>
                <w:rFonts w:ascii="Times New Roman" w:hAnsi="Times New Roman" w:eastAsia="宋体" w:cs="Times New Roman"/>
                <w:kern w:val="0"/>
                <w:szCs w:val="21"/>
              </w:rPr>
            </w:pPr>
            <w:r>
              <w:rPr>
                <w:rFonts w:ascii="Times New Roman" w:hAnsi="Times New Roman" w:eastAsia="宋体" w:cs="Times New Roman"/>
                <w:sz w:val="24"/>
              </w:rPr>
              <w:t>本项目</w:t>
            </w:r>
            <w:r>
              <w:rPr>
                <w:rFonts w:hint="eastAsia" w:ascii="Times New Roman" w:hAnsi="Times New Roman" w:eastAsia="宋体" w:cs="Times New Roman"/>
                <w:sz w:val="24"/>
              </w:rPr>
              <w:t>利用已建成车间</w:t>
            </w:r>
            <w:r>
              <w:rPr>
                <w:rFonts w:ascii="Times New Roman" w:hAnsi="Times New Roman" w:eastAsia="宋体" w:cs="Times New Roman"/>
                <w:sz w:val="24"/>
              </w:rPr>
              <w:t>，</w:t>
            </w:r>
            <w:r>
              <w:rPr>
                <w:rFonts w:hint="eastAsia" w:ascii="Times New Roman" w:hAnsi="Times New Roman" w:eastAsia="宋体" w:cs="Times New Roman"/>
                <w:sz w:val="24"/>
              </w:rPr>
              <w:t>地面均已硬化，喷砂喷漆房均为地上设置，不存在污染途径，</w:t>
            </w:r>
            <w:r>
              <w:rPr>
                <w:rFonts w:ascii="Times New Roman" w:hAnsi="Times New Roman" w:eastAsia="宋体" w:cs="Times New Roman"/>
                <w:sz w:val="24"/>
              </w:rPr>
              <w:t>可以有效保证污染物不进入地下水及土壤环境。因此，本项目不再进行地下水及土壤环境质量现状分析评价。</w:t>
            </w:r>
          </w:p>
        </w:tc>
      </w:tr>
      <w:tr w14:paraId="5503FB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3" w:type="pct"/>
            <w:tcBorders>
              <w:top w:val="single" w:color="auto" w:sz="4" w:space="0"/>
              <w:left w:val="single" w:color="auto" w:sz="8" w:space="0"/>
              <w:bottom w:val="single" w:color="auto" w:sz="4" w:space="0"/>
              <w:right w:val="single" w:color="auto" w:sz="4" w:space="0"/>
            </w:tcBorders>
            <w:shd w:val="clear" w:color="auto" w:fill="auto"/>
            <w:vAlign w:val="center"/>
          </w:tcPr>
          <w:p w14:paraId="60D00DB1">
            <w:pPr>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lang w:bidi="ar"/>
              </w:rPr>
              <w:t>环境</w:t>
            </w:r>
          </w:p>
          <w:p w14:paraId="5176C211">
            <w:pPr>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lang w:bidi="ar"/>
              </w:rPr>
              <w:t>保护</w:t>
            </w:r>
          </w:p>
          <w:p w14:paraId="4EFBB089">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 w:val="24"/>
                <w:lang w:bidi="ar"/>
              </w:rPr>
              <w:t>目标</w:t>
            </w:r>
          </w:p>
        </w:tc>
        <w:tc>
          <w:tcPr>
            <w:tcW w:w="4556" w:type="pct"/>
            <w:tcBorders>
              <w:top w:val="single" w:color="auto" w:sz="4" w:space="0"/>
              <w:left w:val="single" w:color="auto" w:sz="4" w:space="0"/>
              <w:bottom w:val="single" w:color="auto" w:sz="4" w:space="0"/>
              <w:right w:val="single" w:color="auto" w:sz="8" w:space="0"/>
            </w:tcBorders>
            <w:shd w:val="clear" w:color="auto" w:fill="auto"/>
            <w:vAlign w:val="center"/>
          </w:tcPr>
          <w:p w14:paraId="5D57030C">
            <w:pPr>
              <w:pStyle w:val="12"/>
              <w:spacing w:line="420" w:lineRule="exact"/>
              <w:ind w:firstLine="480" w:firstLineChars="200"/>
              <w:rPr>
                <w:rFonts w:ascii="Times New Roman" w:hAnsi="Times New Roman" w:cs="Times New Roman"/>
              </w:rPr>
            </w:pPr>
            <w:r>
              <w:rPr>
                <w:rFonts w:ascii="Times New Roman" w:hAnsi="Times New Roman" w:cs="Times New Roman"/>
              </w:rPr>
              <w:t>根据《建设项目环境影响报告表编制技术指南（污染影响类）</w:t>
            </w:r>
            <w:r>
              <w:rPr>
                <w:rFonts w:hint="eastAsia" w:ascii="Times New Roman" w:hAnsi="Times New Roman" w:cs="Times New Roman"/>
              </w:rPr>
              <w:t>（试行）》</w:t>
            </w:r>
            <w:r>
              <w:rPr>
                <w:rFonts w:ascii="Times New Roman" w:hAnsi="Times New Roman" w:cs="Times New Roman"/>
              </w:rPr>
              <w:t>中的要求，大气环境保护目标为厂界外500米范围内的自然保护区、风景名胜区、居住区和农村地区中人群较集中的区域；声环境保护目标为厂界外50米范围内声环境敏感点。</w:t>
            </w:r>
          </w:p>
          <w:p w14:paraId="03FFD1F5">
            <w:pPr>
              <w:pStyle w:val="12"/>
              <w:spacing w:line="420" w:lineRule="exact"/>
              <w:ind w:firstLine="480" w:firstLineChars="200"/>
              <w:rPr>
                <w:rFonts w:ascii="Times New Roman" w:hAnsi="Times New Roman" w:cs="Times New Roman"/>
              </w:rPr>
            </w:pPr>
            <w:r>
              <w:rPr>
                <w:rFonts w:ascii="Times New Roman" w:hAnsi="Times New Roman" w:cs="Times New Roman"/>
              </w:rPr>
              <w:t>本项目涉及的环境保护目标具体如下表所示。</w:t>
            </w:r>
          </w:p>
          <w:p w14:paraId="1CF89ECD">
            <w:pPr>
              <w:pStyle w:val="12"/>
              <w:spacing w:line="420" w:lineRule="exact"/>
              <w:jc w:val="center"/>
              <w:rPr>
                <w:rFonts w:ascii="Times New Roman" w:hAnsi="Times New Roman" w:cs="Times New Roman"/>
                <w:b/>
                <w:bCs/>
                <w:sz w:val="21"/>
                <w:szCs w:val="21"/>
              </w:rPr>
            </w:pPr>
            <w:commentRangeStart w:id="34"/>
            <w:commentRangeStart w:id="35"/>
            <w:r>
              <w:rPr>
                <w:rFonts w:ascii="Times New Roman" w:hAnsi="Times New Roman" w:cs="Times New Roman"/>
                <w:b/>
                <w:bCs/>
                <w:sz w:val="21"/>
                <w:szCs w:val="21"/>
              </w:rPr>
              <w:t>表3-</w:t>
            </w:r>
            <w:r>
              <w:rPr>
                <w:rFonts w:hint="eastAsia" w:ascii="Times New Roman" w:hAnsi="Times New Roman" w:cs="Times New Roman"/>
                <w:b/>
                <w:bCs/>
                <w:sz w:val="21"/>
                <w:szCs w:val="21"/>
              </w:rPr>
              <w:t xml:space="preserve">5  </w:t>
            </w:r>
            <w:r>
              <w:rPr>
                <w:rFonts w:ascii="Times New Roman" w:hAnsi="Times New Roman" w:cs="Times New Roman"/>
                <w:b/>
                <w:bCs/>
                <w:sz w:val="21"/>
                <w:szCs w:val="21"/>
              </w:rPr>
              <w:t xml:space="preserve">  主要环境保护目标</w:t>
            </w:r>
            <w:commentRangeEnd w:id="34"/>
            <w:r>
              <w:commentReference w:id="34"/>
            </w:r>
            <w:commentRangeEnd w:id="35"/>
            <w:r>
              <w:commentReference w:id="35"/>
            </w:r>
          </w:p>
          <w:tbl>
            <w:tblPr>
              <w:tblStyle w:val="26"/>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37"/>
              <w:gridCol w:w="735"/>
              <w:gridCol w:w="1397"/>
              <w:gridCol w:w="1575"/>
              <w:gridCol w:w="562"/>
              <w:gridCol w:w="594"/>
              <w:gridCol w:w="740"/>
              <w:gridCol w:w="640"/>
              <w:gridCol w:w="1569"/>
            </w:tblGrid>
            <w:tr w14:paraId="0C420F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80" w:type="pct"/>
                  <w:vMerge w:val="restart"/>
                  <w:tcBorders>
                    <w:tl2br w:val="nil"/>
                    <w:tr2bl w:val="nil"/>
                  </w:tcBorders>
                  <w:tcMar>
                    <w:top w:w="0" w:type="dxa"/>
                    <w:left w:w="0" w:type="dxa"/>
                    <w:bottom w:w="0" w:type="dxa"/>
                    <w:right w:w="0" w:type="dxa"/>
                  </w:tcMar>
                  <w:vAlign w:val="center"/>
                </w:tcPr>
                <w:p w14:paraId="15C85D4A">
                  <w:pPr>
                    <w:jc w:val="center"/>
                    <w:rPr>
                      <w:rFonts w:ascii="Times New Roman" w:hAnsi="Times New Roman" w:cs="Times New Roman"/>
                      <w:szCs w:val="21"/>
                    </w:rPr>
                  </w:pPr>
                  <w:r>
                    <w:rPr>
                      <w:rFonts w:ascii="Times New Roman" w:hAnsi="Times New Roman" w:cs="Times New Roman"/>
                      <w:szCs w:val="21"/>
                    </w:rPr>
                    <w:t>环境要素</w:t>
                  </w:r>
                </w:p>
              </w:tc>
              <w:tc>
                <w:tcPr>
                  <w:tcW w:w="460" w:type="pct"/>
                  <w:vMerge w:val="restart"/>
                  <w:tcBorders>
                    <w:tl2br w:val="nil"/>
                    <w:tr2bl w:val="nil"/>
                  </w:tcBorders>
                  <w:tcMar>
                    <w:top w:w="0" w:type="dxa"/>
                    <w:left w:w="0" w:type="dxa"/>
                    <w:bottom w:w="0" w:type="dxa"/>
                    <w:right w:w="0" w:type="dxa"/>
                  </w:tcMar>
                  <w:vAlign w:val="center"/>
                </w:tcPr>
                <w:p w14:paraId="06814EF8">
                  <w:pPr>
                    <w:jc w:val="center"/>
                    <w:rPr>
                      <w:rFonts w:ascii="Times New Roman" w:hAnsi="Times New Roman" w:cs="Times New Roman"/>
                      <w:szCs w:val="21"/>
                    </w:rPr>
                  </w:pPr>
                  <w:r>
                    <w:rPr>
                      <w:rFonts w:ascii="Times New Roman" w:hAnsi="Times New Roman" w:cs="Times New Roman"/>
                      <w:szCs w:val="21"/>
                    </w:rPr>
                    <w:t>名称</w:t>
                  </w:r>
                </w:p>
              </w:tc>
              <w:tc>
                <w:tcPr>
                  <w:tcW w:w="1830" w:type="pct"/>
                  <w:gridSpan w:val="2"/>
                  <w:tcBorders>
                    <w:tl2br w:val="nil"/>
                    <w:tr2bl w:val="nil"/>
                  </w:tcBorders>
                  <w:vAlign w:val="center"/>
                </w:tcPr>
                <w:p w14:paraId="483AA842">
                  <w:pPr>
                    <w:jc w:val="center"/>
                    <w:rPr>
                      <w:rFonts w:ascii="Times New Roman" w:hAnsi="Times New Roman" w:cs="Times New Roman"/>
                      <w:szCs w:val="21"/>
                    </w:rPr>
                  </w:pPr>
                  <w:r>
                    <w:rPr>
                      <w:rFonts w:ascii="Times New Roman" w:hAnsi="Times New Roman" w:cs="Times New Roman"/>
                      <w:szCs w:val="21"/>
                    </w:rPr>
                    <w:t>坐标/m</w:t>
                  </w:r>
                </w:p>
              </w:tc>
              <w:tc>
                <w:tcPr>
                  <w:tcW w:w="355" w:type="pct"/>
                  <w:vMerge w:val="restart"/>
                  <w:tcBorders>
                    <w:tl2br w:val="nil"/>
                    <w:tr2bl w:val="nil"/>
                  </w:tcBorders>
                  <w:tcMar>
                    <w:top w:w="0" w:type="dxa"/>
                    <w:left w:w="0" w:type="dxa"/>
                    <w:bottom w:w="0" w:type="dxa"/>
                    <w:right w:w="0" w:type="dxa"/>
                  </w:tcMar>
                  <w:vAlign w:val="center"/>
                </w:tcPr>
                <w:p w14:paraId="09755739">
                  <w:pPr>
                    <w:jc w:val="center"/>
                    <w:rPr>
                      <w:rFonts w:ascii="Times New Roman" w:hAnsi="Times New Roman" w:cs="Times New Roman"/>
                      <w:szCs w:val="21"/>
                    </w:rPr>
                  </w:pPr>
                  <w:r>
                    <w:rPr>
                      <w:rFonts w:ascii="Times New Roman" w:hAnsi="Times New Roman" w:cs="Times New Roman"/>
                      <w:szCs w:val="21"/>
                    </w:rPr>
                    <w:t>相对厂址方位</w:t>
                  </w:r>
                </w:p>
              </w:tc>
              <w:tc>
                <w:tcPr>
                  <w:tcW w:w="301" w:type="pct"/>
                  <w:vMerge w:val="restart"/>
                  <w:tcBorders>
                    <w:tl2br w:val="nil"/>
                    <w:tr2bl w:val="nil"/>
                  </w:tcBorders>
                  <w:tcMar>
                    <w:top w:w="0" w:type="dxa"/>
                    <w:left w:w="0" w:type="dxa"/>
                    <w:bottom w:w="0" w:type="dxa"/>
                    <w:right w:w="0" w:type="dxa"/>
                  </w:tcMar>
                  <w:vAlign w:val="center"/>
                </w:tcPr>
                <w:p w14:paraId="758E374A">
                  <w:pPr>
                    <w:jc w:val="center"/>
                    <w:rPr>
                      <w:rFonts w:ascii="Times New Roman" w:hAnsi="Times New Roman" w:cs="Times New Roman"/>
                      <w:szCs w:val="21"/>
                    </w:rPr>
                  </w:pPr>
                  <w:r>
                    <w:rPr>
                      <w:rFonts w:ascii="Times New Roman" w:hAnsi="Times New Roman" w:cs="Times New Roman"/>
                      <w:szCs w:val="21"/>
                    </w:rPr>
                    <w:t>相对厂界距离（m）</w:t>
                  </w:r>
                </w:p>
              </w:tc>
              <w:tc>
                <w:tcPr>
                  <w:tcW w:w="463" w:type="pct"/>
                  <w:vMerge w:val="restart"/>
                  <w:tcBorders>
                    <w:tl2br w:val="nil"/>
                    <w:tr2bl w:val="nil"/>
                  </w:tcBorders>
                  <w:tcMar>
                    <w:top w:w="0" w:type="dxa"/>
                    <w:left w:w="0" w:type="dxa"/>
                    <w:bottom w:w="0" w:type="dxa"/>
                    <w:right w:w="0" w:type="dxa"/>
                  </w:tcMar>
                  <w:vAlign w:val="center"/>
                </w:tcPr>
                <w:p w14:paraId="084160A8">
                  <w:pPr>
                    <w:jc w:val="center"/>
                    <w:rPr>
                      <w:rFonts w:ascii="Times New Roman" w:hAnsi="Times New Roman" w:cs="Times New Roman"/>
                      <w:szCs w:val="21"/>
                    </w:rPr>
                  </w:pPr>
                  <w:r>
                    <w:rPr>
                      <w:rFonts w:ascii="Times New Roman" w:hAnsi="Times New Roman" w:cs="Times New Roman"/>
                      <w:szCs w:val="21"/>
                    </w:rPr>
                    <w:t>保护对象</w:t>
                  </w:r>
                </w:p>
              </w:tc>
              <w:tc>
                <w:tcPr>
                  <w:tcW w:w="344" w:type="pct"/>
                  <w:vMerge w:val="restart"/>
                  <w:tcBorders>
                    <w:tl2br w:val="nil"/>
                    <w:tr2bl w:val="nil"/>
                  </w:tcBorders>
                  <w:tcMar>
                    <w:top w:w="0" w:type="dxa"/>
                    <w:left w:w="0" w:type="dxa"/>
                    <w:bottom w:w="0" w:type="dxa"/>
                    <w:right w:w="0" w:type="dxa"/>
                  </w:tcMar>
                  <w:vAlign w:val="center"/>
                </w:tcPr>
                <w:p w14:paraId="45B9B163">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color w:val="FF0000"/>
                      <w:szCs w:val="21"/>
                      <w:lang w:eastAsia="zh-CN"/>
                    </w:rPr>
                    <w:t>保护规模（人）</w:t>
                  </w:r>
                  <w:r>
                    <w:rPr>
                      <w:rFonts w:hint="eastAsia" w:ascii="Times New Roman" w:hAnsi="Times New Roman" w:cs="Times New Roman"/>
                      <w:szCs w:val="21"/>
                      <w:lang w:val="en-US" w:eastAsia="zh-CN"/>
                    </w:rPr>
                    <w:t xml:space="preserve"> </w:t>
                  </w:r>
                </w:p>
              </w:tc>
              <w:tc>
                <w:tcPr>
                  <w:tcW w:w="965" w:type="pct"/>
                  <w:vMerge w:val="restart"/>
                  <w:tcBorders>
                    <w:tl2br w:val="nil"/>
                    <w:tr2bl w:val="nil"/>
                  </w:tcBorders>
                  <w:tcMar>
                    <w:top w:w="0" w:type="dxa"/>
                    <w:left w:w="0" w:type="dxa"/>
                    <w:bottom w:w="0" w:type="dxa"/>
                    <w:right w:w="0" w:type="dxa"/>
                  </w:tcMar>
                  <w:vAlign w:val="center"/>
                </w:tcPr>
                <w:p w14:paraId="0FDBA711">
                  <w:pPr>
                    <w:jc w:val="center"/>
                    <w:rPr>
                      <w:rFonts w:ascii="Times New Roman" w:hAnsi="Times New Roman" w:cs="Times New Roman"/>
                      <w:szCs w:val="21"/>
                    </w:rPr>
                  </w:pPr>
                  <w:r>
                    <w:rPr>
                      <w:rFonts w:ascii="Times New Roman" w:hAnsi="Times New Roman" w:cs="Times New Roman"/>
                      <w:szCs w:val="21"/>
                    </w:rPr>
                    <w:t>环境功能区划</w:t>
                  </w:r>
                </w:p>
              </w:tc>
            </w:tr>
            <w:tr w14:paraId="42CB41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80" w:type="pct"/>
                  <w:vMerge w:val="continue"/>
                  <w:tcBorders>
                    <w:tl2br w:val="nil"/>
                    <w:tr2bl w:val="nil"/>
                  </w:tcBorders>
                  <w:vAlign w:val="center"/>
                </w:tcPr>
                <w:p w14:paraId="71C1153C">
                  <w:pPr>
                    <w:widowControl/>
                    <w:jc w:val="center"/>
                    <w:rPr>
                      <w:rFonts w:ascii="Times New Roman" w:hAnsi="Times New Roman" w:cs="Times New Roman"/>
                      <w:b/>
                      <w:bCs/>
                      <w:szCs w:val="21"/>
                    </w:rPr>
                  </w:pPr>
                </w:p>
              </w:tc>
              <w:tc>
                <w:tcPr>
                  <w:tcW w:w="460" w:type="pct"/>
                  <w:vMerge w:val="continue"/>
                  <w:tcBorders>
                    <w:tl2br w:val="nil"/>
                    <w:tr2bl w:val="nil"/>
                  </w:tcBorders>
                  <w:vAlign w:val="center"/>
                </w:tcPr>
                <w:p w14:paraId="1952191F">
                  <w:pPr>
                    <w:widowControl/>
                    <w:jc w:val="center"/>
                    <w:rPr>
                      <w:rFonts w:ascii="Times New Roman" w:hAnsi="Times New Roman" w:cs="Times New Roman"/>
                      <w:b/>
                      <w:bCs/>
                      <w:szCs w:val="21"/>
                    </w:rPr>
                  </w:pPr>
                </w:p>
              </w:tc>
              <w:tc>
                <w:tcPr>
                  <w:tcW w:w="861" w:type="pct"/>
                  <w:tcBorders>
                    <w:tl2br w:val="nil"/>
                    <w:tr2bl w:val="nil"/>
                  </w:tcBorders>
                  <w:vAlign w:val="center"/>
                </w:tcPr>
                <w:p w14:paraId="45E69CCA">
                  <w:pPr>
                    <w:jc w:val="center"/>
                    <w:rPr>
                      <w:rFonts w:ascii="Times New Roman" w:hAnsi="Times New Roman" w:cs="Times New Roman"/>
                      <w:szCs w:val="21"/>
                    </w:rPr>
                  </w:pPr>
                  <w:r>
                    <w:rPr>
                      <w:rFonts w:hint="eastAsia" w:ascii="Times New Roman" w:hAnsi="Times New Roman" w:cs="Times New Roman"/>
                      <w:szCs w:val="21"/>
                    </w:rPr>
                    <w:t>纬度</w:t>
                  </w:r>
                </w:p>
              </w:tc>
              <w:tc>
                <w:tcPr>
                  <w:tcW w:w="969" w:type="pct"/>
                  <w:tcBorders>
                    <w:tl2br w:val="nil"/>
                    <w:tr2bl w:val="nil"/>
                  </w:tcBorders>
                  <w:vAlign w:val="center"/>
                </w:tcPr>
                <w:p w14:paraId="11A2BB56">
                  <w:pPr>
                    <w:jc w:val="center"/>
                    <w:rPr>
                      <w:rFonts w:ascii="Times New Roman" w:hAnsi="Times New Roman" w:cs="Times New Roman"/>
                      <w:szCs w:val="21"/>
                    </w:rPr>
                  </w:pPr>
                  <w:r>
                    <w:rPr>
                      <w:rFonts w:hint="eastAsia" w:ascii="Times New Roman" w:hAnsi="Times New Roman" w:cs="Times New Roman"/>
                      <w:szCs w:val="21"/>
                    </w:rPr>
                    <w:t>经度</w:t>
                  </w:r>
                </w:p>
              </w:tc>
              <w:tc>
                <w:tcPr>
                  <w:tcW w:w="355" w:type="pct"/>
                  <w:vMerge w:val="continue"/>
                  <w:tcBorders>
                    <w:tl2br w:val="nil"/>
                    <w:tr2bl w:val="nil"/>
                  </w:tcBorders>
                  <w:vAlign w:val="center"/>
                </w:tcPr>
                <w:p w14:paraId="486617A0">
                  <w:pPr>
                    <w:widowControl/>
                    <w:jc w:val="center"/>
                    <w:rPr>
                      <w:rFonts w:ascii="Times New Roman" w:hAnsi="Times New Roman" w:cs="Times New Roman"/>
                      <w:szCs w:val="21"/>
                    </w:rPr>
                  </w:pPr>
                </w:p>
              </w:tc>
              <w:tc>
                <w:tcPr>
                  <w:tcW w:w="301" w:type="pct"/>
                  <w:vMerge w:val="continue"/>
                  <w:tcBorders>
                    <w:tl2br w:val="nil"/>
                    <w:tr2bl w:val="nil"/>
                  </w:tcBorders>
                  <w:vAlign w:val="center"/>
                </w:tcPr>
                <w:p w14:paraId="1474F379">
                  <w:pPr>
                    <w:widowControl/>
                    <w:jc w:val="center"/>
                    <w:rPr>
                      <w:rFonts w:ascii="Times New Roman" w:hAnsi="Times New Roman" w:cs="Times New Roman"/>
                      <w:szCs w:val="21"/>
                    </w:rPr>
                  </w:pPr>
                </w:p>
              </w:tc>
              <w:tc>
                <w:tcPr>
                  <w:tcW w:w="463" w:type="pct"/>
                  <w:vMerge w:val="continue"/>
                  <w:tcBorders>
                    <w:tl2br w:val="nil"/>
                    <w:tr2bl w:val="nil"/>
                  </w:tcBorders>
                  <w:vAlign w:val="center"/>
                </w:tcPr>
                <w:p w14:paraId="0F32358B">
                  <w:pPr>
                    <w:widowControl/>
                    <w:jc w:val="center"/>
                    <w:rPr>
                      <w:rFonts w:ascii="Times New Roman" w:hAnsi="Times New Roman" w:cs="Times New Roman"/>
                      <w:szCs w:val="21"/>
                    </w:rPr>
                  </w:pPr>
                </w:p>
              </w:tc>
              <w:tc>
                <w:tcPr>
                  <w:tcW w:w="344" w:type="pct"/>
                  <w:vMerge w:val="continue"/>
                  <w:tcBorders>
                    <w:tl2br w:val="nil"/>
                    <w:tr2bl w:val="nil"/>
                  </w:tcBorders>
                  <w:vAlign w:val="center"/>
                </w:tcPr>
                <w:p w14:paraId="7A624AAF">
                  <w:pPr>
                    <w:widowControl/>
                    <w:jc w:val="center"/>
                    <w:rPr>
                      <w:rFonts w:hint="default" w:ascii="Times New Roman" w:hAnsi="Times New Roman" w:cs="Times New Roman" w:eastAsiaTheme="minorEastAsia"/>
                      <w:szCs w:val="21"/>
                      <w:lang w:val="en-US" w:eastAsia="zh-CN"/>
                    </w:rPr>
                  </w:pPr>
                </w:p>
              </w:tc>
              <w:tc>
                <w:tcPr>
                  <w:tcW w:w="965" w:type="pct"/>
                  <w:vMerge w:val="continue"/>
                  <w:tcBorders>
                    <w:tl2br w:val="nil"/>
                    <w:tr2bl w:val="nil"/>
                  </w:tcBorders>
                  <w:vAlign w:val="center"/>
                </w:tcPr>
                <w:p w14:paraId="3F5A4D8B">
                  <w:pPr>
                    <w:widowControl/>
                    <w:jc w:val="center"/>
                    <w:rPr>
                      <w:rFonts w:ascii="Times New Roman" w:hAnsi="Times New Roman" w:cs="Times New Roman"/>
                      <w:szCs w:val="21"/>
                    </w:rPr>
                  </w:pPr>
                </w:p>
              </w:tc>
            </w:tr>
            <w:tr w14:paraId="397FBB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80" w:type="pct"/>
                  <w:tcBorders>
                    <w:tl2br w:val="nil"/>
                    <w:tr2bl w:val="nil"/>
                  </w:tcBorders>
                  <w:vAlign w:val="center"/>
                </w:tcPr>
                <w:p w14:paraId="75EF49E5">
                  <w:pPr>
                    <w:widowControl/>
                    <w:adjustRightInd w:val="0"/>
                    <w:snapToGrid w:val="0"/>
                    <w:jc w:val="center"/>
                    <w:rPr>
                      <w:rFonts w:ascii="Times New Roman" w:hAnsi="Times New Roman" w:cs="Times New Roman"/>
                      <w:szCs w:val="21"/>
                    </w:rPr>
                  </w:pPr>
                  <w:r>
                    <w:rPr>
                      <w:rFonts w:hint="eastAsia" w:ascii="Times New Roman" w:hAnsi="Times New Roman" w:cs="Times New Roman"/>
                      <w:szCs w:val="21"/>
                    </w:rPr>
                    <w:t>声环境</w:t>
                  </w:r>
                </w:p>
              </w:tc>
              <w:tc>
                <w:tcPr>
                  <w:tcW w:w="460" w:type="pct"/>
                  <w:tcBorders>
                    <w:tl2br w:val="nil"/>
                    <w:tr2bl w:val="nil"/>
                  </w:tcBorders>
                  <w:vAlign w:val="center"/>
                </w:tcPr>
                <w:p w14:paraId="03B3F437">
                  <w:pPr>
                    <w:widowControl/>
                    <w:adjustRightInd w:val="0"/>
                    <w:snapToGrid w:val="0"/>
                    <w:jc w:val="center"/>
                    <w:rPr>
                      <w:rFonts w:ascii="Times New Roman" w:hAnsi="Times New Roman" w:cs="Times New Roman"/>
                      <w:szCs w:val="21"/>
                    </w:rPr>
                  </w:pPr>
                  <w:r>
                    <w:rPr>
                      <w:rFonts w:hint="eastAsia" w:ascii="Times New Roman" w:hAnsi="Times New Roman" w:cs="Times New Roman"/>
                      <w:szCs w:val="21"/>
                    </w:rPr>
                    <w:t>巨家村</w:t>
                  </w:r>
                </w:p>
              </w:tc>
              <w:tc>
                <w:tcPr>
                  <w:tcW w:w="861" w:type="pct"/>
                  <w:tcBorders>
                    <w:tl2br w:val="nil"/>
                    <w:tr2bl w:val="nil"/>
                  </w:tcBorders>
                  <w:vAlign w:val="center"/>
                </w:tcPr>
                <w:p w14:paraId="79612E35">
                  <w:pPr>
                    <w:adjustRightInd w:val="0"/>
                    <w:snapToGrid w:val="0"/>
                    <w:jc w:val="center"/>
                    <w:rPr>
                      <w:rFonts w:ascii="Times New Roman" w:hAnsi="Times New Roman" w:cs="Times New Roman"/>
                      <w:szCs w:val="21"/>
                    </w:rPr>
                  </w:pPr>
                  <w:r>
                    <w:rPr>
                      <w:rFonts w:ascii="Times New Roman" w:hAnsi="Times New Roman" w:cs="Times New Roman"/>
                      <w:szCs w:val="21"/>
                    </w:rPr>
                    <w:t>34.36339848</w:t>
                  </w:r>
                </w:p>
              </w:tc>
              <w:tc>
                <w:tcPr>
                  <w:tcW w:w="969" w:type="pct"/>
                  <w:tcBorders>
                    <w:tl2br w:val="nil"/>
                    <w:tr2bl w:val="nil"/>
                  </w:tcBorders>
                  <w:vAlign w:val="center"/>
                </w:tcPr>
                <w:p w14:paraId="21992FC3">
                  <w:pPr>
                    <w:adjustRightInd w:val="0"/>
                    <w:snapToGrid w:val="0"/>
                    <w:jc w:val="center"/>
                    <w:rPr>
                      <w:rFonts w:ascii="Times New Roman" w:hAnsi="Times New Roman" w:cs="Times New Roman"/>
                      <w:szCs w:val="21"/>
                    </w:rPr>
                  </w:pPr>
                  <w:r>
                    <w:rPr>
                      <w:rFonts w:ascii="Times New Roman" w:hAnsi="Times New Roman" w:cs="Times New Roman"/>
                      <w:szCs w:val="21"/>
                    </w:rPr>
                    <w:t>107.09055190</w:t>
                  </w:r>
                </w:p>
              </w:tc>
              <w:tc>
                <w:tcPr>
                  <w:tcW w:w="355" w:type="pct"/>
                  <w:tcBorders>
                    <w:tl2br w:val="nil"/>
                    <w:tr2bl w:val="nil"/>
                  </w:tcBorders>
                  <w:vAlign w:val="center"/>
                </w:tcPr>
                <w:p w14:paraId="75561C1B">
                  <w:pPr>
                    <w:widowControl/>
                    <w:adjustRightInd w:val="0"/>
                    <w:snapToGrid w:val="0"/>
                    <w:jc w:val="center"/>
                    <w:rPr>
                      <w:rFonts w:ascii="Times New Roman" w:hAnsi="Times New Roman" w:cs="Times New Roman"/>
                      <w:szCs w:val="21"/>
                    </w:rPr>
                  </w:pPr>
                  <w:r>
                    <w:rPr>
                      <w:rFonts w:hint="eastAsia" w:ascii="Times New Roman" w:hAnsi="Times New Roman" w:cs="Times New Roman"/>
                      <w:szCs w:val="21"/>
                    </w:rPr>
                    <w:t>S</w:t>
                  </w:r>
                </w:p>
              </w:tc>
              <w:tc>
                <w:tcPr>
                  <w:tcW w:w="301" w:type="pct"/>
                  <w:tcBorders>
                    <w:tl2br w:val="nil"/>
                    <w:tr2bl w:val="nil"/>
                  </w:tcBorders>
                  <w:vAlign w:val="center"/>
                </w:tcPr>
                <w:p w14:paraId="50BE1B35">
                  <w:pPr>
                    <w:widowControl/>
                    <w:adjustRightInd w:val="0"/>
                    <w:snapToGrid w:val="0"/>
                    <w:jc w:val="center"/>
                    <w:rPr>
                      <w:rFonts w:ascii="Times New Roman" w:hAnsi="Times New Roman" w:cs="Times New Roman"/>
                      <w:szCs w:val="21"/>
                    </w:rPr>
                  </w:pPr>
                  <w:r>
                    <w:rPr>
                      <w:rFonts w:hint="eastAsia" w:ascii="Times New Roman" w:hAnsi="Times New Roman" w:cs="Times New Roman"/>
                      <w:szCs w:val="21"/>
                    </w:rPr>
                    <w:t>45</w:t>
                  </w:r>
                </w:p>
              </w:tc>
              <w:tc>
                <w:tcPr>
                  <w:tcW w:w="463" w:type="pct"/>
                  <w:tcBorders>
                    <w:tl2br w:val="nil"/>
                    <w:tr2bl w:val="nil"/>
                  </w:tcBorders>
                  <w:vAlign w:val="center"/>
                </w:tcPr>
                <w:p w14:paraId="6CC4CEBF">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eastAsia" w:ascii="Times New Roman" w:hAnsi="Times New Roman" w:cs="Times New Roman"/>
                      <w:szCs w:val="21"/>
                    </w:rPr>
                  </w:pPr>
                  <w:r>
                    <w:rPr>
                      <w:rFonts w:hint="eastAsia" w:ascii="Times New Roman" w:hAnsi="Times New Roman" w:cs="Times New Roman"/>
                      <w:szCs w:val="21"/>
                    </w:rPr>
                    <w:t>居民</w:t>
                  </w:r>
                </w:p>
              </w:tc>
              <w:tc>
                <w:tcPr>
                  <w:tcW w:w="344" w:type="pct"/>
                  <w:tcBorders>
                    <w:tl2br w:val="nil"/>
                    <w:tr2bl w:val="nil"/>
                  </w:tcBorders>
                  <w:vAlign w:val="center"/>
                </w:tcPr>
                <w:p w14:paraId="32DA3EB5">
                  <w:pPr>
                    <w:widowControl/>
                    <w:adjustRightInd w:val="0"/>
                    <w:snapToGrid w:val="0"/>
                    <w:jc w:val="both"/>
                    <w:rPr>
                      <w:rFonts w:hint="default" w:ascii="Times New Roman" w:hAnsi="Times New Roman" w:cs="Times New Roman" w:eastAsiaTheme="minorEastAsia"/>
                      <w:color w:val="FF0000"/>
                      <w:szCs w:val="21"/>
                      <w:lang w:val="en-US" w:eastAsia="zh-CN"/>
                    </w:rPr>
                  </w:pPr>
                  <w:r>
                    <w:rPr>
                      <w:rFonts w:hint="eastAsia" w:ascii="Times New Roman" w:hAnsi="Times New Roman" w:cs="Times New Roman"/>
                      <w:color w:val="FF0000"/>
                      <w:szCs w:val="21"/>
                      <w:lang w:val="en-US" w:eastAsia="zh-CN"/>
                    </w:rPr>
                    <w:t>350</w:t>
                  </w:r>
                </w:p>
              </w:tc>
              <w:tc>
                <w:tcPr>
                  <w:tcW w:w="965" w:type="pct"/>
                  <w:tcBorders>
                    <w:tl2br w:val="nil"/>
                    <w:tr2bl w:val="nil"/>
                  </w:tcBorders>
                  <w:vAlign w:val="center"/>
                </w:tcPr>
                <w:p w14:paraId="4C59EB7A">
                  <w:pPr>
                    <w:widowControl/>
                    <w:adjustRightInd w:val="0"/>
                    <w:snapToGrid w:val="0"/>
                    <w:jc w:val="both"/>
                    <w:rPr>
                      <w:rFonts w:ascii="Times New Roman" w:hAnsi="Times New Roman" w:cs="Times New Roman"/>
                      <w:szCs w:val="21"/>
                    </w:rPr>
                  </w:pPr>
                  <w:r>
                    <w:rPr>
                      <w:rFonts w:ascii="Times New Roman" w:hAnsi="Times New Roman" w:eastAsia="宋体" w:cs="Times New Roman"/>
                      <w:szCs w:val="21"/>
                    </w:rPr>
                    <w:t>《声环境质量标准》（GB</w:t>
                  </w:r>
                  <w:r>
                    <w:rPr>
                      <w:rFonts w:hint="eastAsia" w:ascii="Times New Roman" w:hAnsi="Times New Roman" w:eastAsia="宋体" w:cs="Times New Roman"/>
                      <w:szCs w:val="21"/>
                      <w:lang w:val="en-US" w:eastAsia="zh-CN"/>
                    </w:rPr>
                    <w:t xml:space="preserve"> </w:t>
                  </w:r>
                  <w:r>
                    <w:rPr>
                      <w:rFonts w:ascii="Times New Roman" w:hAnsi="Times New Roman" w:eastAsia="宋体" w:cs="Times New Roman"/>
                      <w:szCs w:val="21"/>
                    </w:rPr>
                    <w:t>3096</w:t>
                  </w:r>
                  <w:r>
                    <w:rPr>
                      <w:rFonts w:hint="eastAsia" w:ascii="Times New Roman" w:hAnsi="Times New Roman" w:eastAsia="宋体" w:cs="Times New Roman"/>
                      <w:szCs w:val="21"/>
                      <w:lang w:val="en-US" w:eastAsia="zh-CN"/>
                    </w:rPr>
                    <w:t xml:space="preserve"> </w:t>
                  </w:r>
                  <w:r>
                    <w:rPr>
                      <w:rFonts w:ascii="Times New Roman" w:hAnsi="Times New Roman" w:eastAsia="宋体" w:cs="Times New Roman"/>
                      <w:szCs w:val="21"/>
                    </w:rPr>
                    <w:t>-</w:t>
                  </w:r>
                  <w:r>
                    <w:rPr>
                      <w:rFonts w:hint="eastAsia" w:ascii="Times New Roman" w:hAnsi="Times New Roman" w:eastAsia="宋体" w:cs="Times New Roman"/>
                      <w:szCs w:val="21"/>
                      <w:lang w:val="en-US" w:eastAsia="zh-CN"/>
                    </w:rPr>
                    <w:t xml:space="preserve"> </w:t>
                  </w:r>
                  <w:r>
                    <w:rPr>
                      <w:rFonts w:ascii="Times New Roman" w:hAnsi="Times New Roman" w:eastAsia="宋体" w:cs="Times New Roman"/>
                      <w:szCs w:val="21"/>
                    </w:rPr>
                    <w:t>2008）中</w:t>
                  </w:r>
                  <w:r>
                    <w:rPr>
                      <w:rFonts w:hint="eastAsia" w:ascii="Times New Roman" w:hAnsi="Times New Roman" w:eastAsia="宋体" w:cs="Times New Roman"/>
                      <w:szCs w:val="21"/>
                    </w:rPr>
                    <w:t>2</w:t>
                  </w:r>
                  <w:r>
                    <w:rPr>
                      <w:rFonts w:ascii="Times New Roman" w:hAnsi="Times New Roman" w:eastAsia="宋体" w:cs="Times New Roman"/>
                      <w:szCs w:val="21"/>
                    </w:rPr>
                    <w:t>类标准</w:t>
                  </w:r>
                </w:p>
              </w:tc>
            </w:tr>
            <w:tr w14:paraId="7FBD10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280" w:type="pct"/>
                  <w:vMerge w:val="restart"/>
                  <w:tcBorders>
                    <w:tl2br w:val="nil"/>
                    <w:tr2bl w:val="nil"/>
                  </w:tcBorders>
                  <w:tcMar>
                    <w:top w:w="0" w:type="dxa"/>
                    <w:left w:w="0" w:type="dxa"/>
                    <w:bottom w:w="0" w:type="dxa"/>
                    <w:right w:w="0" w:type="dxa"/>
                  </w:tcMar>
                  <w:vAlign w:val="center"/>
                </w:tcPr>
                <w:p w14:paraId="2E36C8FB">
                  <w:pPr>
                    <w:jc w:val="center"/>
                    <w:rPr>
                      <w:rFonts w:ascii="Times New Roman" w:hAnsi="Times New Roman" w:cs="Times New Roman"/>
                      <w:szCs w:val="21"/>
                    </w:rPr>
                  </w:pPr>
                  <w:r>
                    <w:rPr>
                      <w:rFonts w:ascii="Times New Roman" w:hAnsi="Times New Roman" w:cs="Times New Roman"/>
                      <w:szCs w:val="21"/>
                    </w:rPr>
                    <w:t>环境空气</w:t>
                  </w:r>
                </w:p>
              </w:tc>
              <w:tc>
                <w:tcPr>
                  <w:tcW w:w="460" w:type="pct"/>
                  <w:tcBorders>
                    <w:tl2br w:val="nil"/>
                    <w:tr2bl w:val="nil"/>
                  </w:tcBorders>
                  <w:tcMar>
                    <w:top w:w="0" w:type="dxa"/>
                    <w:left w:w="0" w:type="dxa"/>
                    <w:bottom w:w="0" w:type="dxa"/>
                    <w:right w:w="0" w:type="dxa"/>
                  </w:tcMar>
                  <w:vAlign w:val="center"/>
                </w:tcPr>
                <w:p w14:paraId="3A26EFB2">
                  <w:pPr>
                    <w:widowControl/>
                    <w:jc w:val="center"/>
                    <w:rPr>
                      <w:rFonts w:ascii="Times New Roman" w:hAnsi="Times New Roman" w:cs="Times New Roman"/>
                      <w:szCs w:val="21"/>
                    </w:rPr>
                  </w:pPr>
                  <w:r>
                    <w:rPr>
                      <w:rFonts w:hint="eastAsia" w:ascii="Times New Roman" w:hAnsi="Times New Roman" w:cs="Times New Roman"/>
                      <w:szCs w:val="21"/>
                    </w:rPr>
                    <w:t>巨家村</w:t>
                  </w:r>
                </w:p>
              </w:tc>
              <w:tc>
                <w:tcPr>
                  <w:tcW w:w="861" w:type="pct"/>
                  <w:tcBorders>
                    <w:tl2br w:val="nil"/>
                    <w:tr2bl w:val="nil"/>
                  </w:tcBorders>
                  <w:vAlign w:val="center"/>
                </w:tcPr>
                <w:p w14:paraId="24F3B826">
                  <w:pPr>
                    <w:jc w:val="center"/>
                    <w:rPr>
                      <w:rFonts w:ascii="Times New Roman" w:hAnsi="Times New Roman" w:cs="Times New Roman"/>
                      <w:szCs w:val="21"/>
                    </w:rPr>
                  </w:pPr>
                  <w:r>
                    <w:rPr>
                      <w:rFonts w:ascii="Times New Roman" w:hAnsi="Times New Roman" w:cs="Times New Roman"/>
                      <w:szCs w:val="21"/>
                    </w:rPr>
                    <w:t>34.36339848</w:t>
                  </w:r>
                </w:p>
              </w:tc>
              <w:tc>
                <w:tcPr>
                  <w:tcW w:w="969" w:type="pct"/>
                  <w:tcBorders>
                    <w:tl2br w:val="nil"/>
                    <w:tr2bl w:val="nil"/>
                  </w:tcBorders>
                  <w:vAlign w:val="center"/>
                </w:tcPr>
                <w:p w14:paraId="79F75504">
                  <w:pPr>
                    <w:jc w:val="center"/>
                    <w:rPr>
                      <w:rFonts w:ascii="Times New Roman" w:hAnsi="Times New Roman" w:cs="Times New Roman"/>
                      <w:szCs w:val="21"/>
                    </w:rPr>
                  </w:pPr>
                  <w:r>
                    <w:rPr>
                      <w:rFonts w:ascii="Times New Roman" w:hAnsi="Times New Roman" w:cs="Times New Roman"/>
                      <w:szCs w:val="21"/>
                    </w:rPr>
                    <w:t>107.09055190</w:t>
                  </w:r>
                </w:p>
              </w:tc>
              <w:tc>
                <w:tcPr>
                  <w:tcW w:w="355" w:type="pct"/>
                  <w:tcBorders>
                    <w:tl2br w:val="nil"/>
                    <w:tr2bl w:val="nil"/>
                  </w:tcBorders>
                  <w:tcMar>
                    <w:top w:w="0" w:type="dxa"/>
                    <w:left w:w="0" w:type="dxa"/>
                    <w:bottom w:w="0" w:type="dxa"/>
                    <w:right w:w="0" w:type="dxa"/>
                  </w:tcMar>
                  <w:vAlign w:val="center"/>
                </w:tcPr>
                <w:p w14:paraId="59AC0F66">
                  <w:pPr>
                    <w:widowControl/>
                    <w:jc w:val="center"/>
                    <w:rPr>
                      <w:rFonts w:ascii="Times New Roman" w:hAnsi="Times New Roman" w:cs="Times New Roman"/>
                      <w:szCs w:val="21"/>
                    </w:rPr>
                  </w:pPr>
                  <w:r>
                    <w:rPr>
                      <w:rFonts w:hint="eastAsia" w:ascii="Times New Roman" w:hAnsi="Times New Roman" w:cs="Times New Roman"/>
                      <w:szCs w:val="21"/>
                    </w:rPr>
                    <w:t>SW</w:t>
                  </w:r>
                </w:p>
              </w:tc>
              <w:tc>
                <w:tcPr>
                  <w:tcW w:w="301" w:type="pct"/>
                  <w:tcBorders>
                    <w:tl2br w:val="nil"/>
                    <w:tr2bl w:val="nil"/>
                  </w:tcBorders>
                  <w:tcMar>
                    <w:top w:w="0" w:type="dxa"/>
                    <w:left w:w="0" w:type="dxa"/>
                    <w:bottom w:w="0" w:type="dxa"/>
                    <w:right w:w="0" w:type="dxa"/>
                  </w:tcMar>
                  <w:vAlign w:val="center"/>
                </w:tcPr>
                <w:p w14:paraId="7AFCC594">
                  <w:pPr>
                    <w:widowControl/>
                    <w:jc w:val="center"/>
                    <w:rPr>
                      <w:rFonts w:ascii="Times New Roman" w:hAnsi="Times New Roman" w:cs="Times New Roman"/>
                      <w:szCs w:val="21"/>
                    </w:rPr>
                  </w:pPr>
                  <w:r>
                    <w:rPr>
                      <w:rFonts w:hint="eastAsia" w:ascii="Times New Roman" w:hAnsi="Times New Roman" w:cs="Times New Roman"/>
                      <w:szCs w:val="21"/>
                    </w:rPr>
                    <w:t>45</w:t>
                  </w:r>
                </w:p>
              </w:tc>
              <w:tc>
                <w:tcPr>
                  <w:tcW w:w="463" w:type="pct"/>
                  <w:tcBorders>
                    <w:tl2br w:val="nil"/>
                    <w:tr2bl w:val="nil"/>
                  </w:tcBorders>
                  <w:tcMar>
                    <w:top w:w="0" w:type="dxa"/>
                    <w:left w:w="0" w:type="dxa"/>
                    <w:bottom w:w="0" w:type="dxa"/>
                    <w:right w:w="0" w:type="dxa"/>
                  </w:tcMar>
                  <w:vAlign w:val="center"/>
                </w:tcPr>
                <w:p w14:paraId="24E8007E">
                  <w:pPr>
                    <w:jc w:val="center"/>
                    <w:rPr>
                      <w:rFonts w:hint="eastAsia" w:ascii="Times New Roman" w:hAnsi="Times New Roman" w:cs="Times New Roman"/>
                      <w:szCs w:val="21"/>
                    </w:rPr>
                  </w:pPr>
                  <w:r>
                    <w:rPr>
                      <w:rFonts w:hint="eastAsia" w:ascii="Times New Roman" w:hAnsi="Times New Roman" w:cs="Times New Roman"/>
                      <w:szCs w:val="21"/>
                    </w:rPr>
                    <w:t>居民</w:t>
                  </w:r>
                </w:p>
              </w:tc>
              <w:tc>
                <w:tcPr>
                  <w:tcW w:w="344" w:type="pct"/>
                  <w:tcBorders>
                    <w:tl2br w:val="nil"/>
                    <w:tr2bl w:val="nil"/>
                  </w:tcBorders>
                  <w:tcMar>
                    <w:top w:w="0" w:type="dxa"/>
                    <w:left w:w="0" w:type="dxa"/>
                    <w:bottom w:w="0" w:type="dxa"/>
                    <w:right w:w="0" w:type="dxa"/>
                  </w:tcMar>
                  <w:vAlign w:val="center"/>
                </w:tcPr>
                <w:p w14:paraId="6021BBC1">
                  <w:pPr>
                    <w:widowControl/>
                    <w:jc w:val="center"/>
                    <w:rPr>
                      <w:rFonts w:hint="default" w:ascii="Times New Roman" w:hAnsi="Times New Roman" w:cs="Times New Roman" w:eastAsiaTheme="minorEastAsia"/>
                      <w:color w:val="FF0000"/>
                      <w:szCs w:val="21"/>
                      <w:lang w:val="en-US" w:eastAsia="zh-CN"/>
                    </w:rPr>
                  </w:pPr>
                  <w:r>
                    <w:rPr>
                      <w:rFonts w:hint="eastAsia" w:ascii="Times New Roman" w:hAnsi="Times New Roman" w:cs="Times New Roman"/>
                      <w:color w:val="FF0000"/>
                      <w:szCs w:val="21"/>
                      <w:lang w:val="en-US" w:eastAsia="zh-CN"/>
                    </w:rPr>
                    <w:t>350</w:t>
                  </w:r>
                </w:p>
              </w:tc>
              <w:tc>
                <w:tcPr>
                  <w:tcW w:w="965" w:type="pct"/>
                  <w:vMerge w:val="restart"/>
                  <w:tcBorders>
                    <w:tl2br w:val="nil"/>
                    <w:tr2bl w:val="nil"/>
                  </w:tcBorders>
                  <w:tcMar>
                    <w:top w:w="0" w:type="dxa"/>
                    <w:left w:w="0" w:type="dxa"/>
                    <w:bottom w:w="0" w:type="dxa"/>
                    <w:right w:w="0" w:type="dxa"/>
                  </w:tcMar>
                  <w:vAlign w:val="center"/>
                </w:tcPr>
                <w:p w14:paraId="43C882CA">
                  <w:pPr>
                    <w:jc w:val="center"/>
                    <w:rPr>
                      <w:rFonts w:ascii="Times New Roman" w:hAnsi="Times New Roman" w:cs="Times New Roman"/>
                      <w:szCs w:val="21"/>
                    </w:rPr>
                  </w:pPr>
                  <w:r>
                    <w:rPr>
                      <w:rFonts w:ascii="Times New Roman" w:hAnsi="Times New Roman" w:cs="Times New Roman"/>
                      <w:szCs w:val="21"/>
                    </w:rPr>
                    <w:t>《环境空气质量标准》 （GB3095</w:t>
                  </w:r>
                  <w:r>
                    <w:rPr>
                      <w:rFonts w:hint="eastAsia" w:ascii="Times New Roman" w:hAnsi="Times New Roman" w:cs="Times New Roman"/>
                      <w:szCs w:val="21"/>
                      <w:lang w:val="en-US" w:eastAsia="zh-CN"/>
                    </w:rPr>
                    <w:t xml:space="preserve"> </w:t>
                  </w:r>
                  <w:r>
                    <w:rPr>
                      <w:rFonts w:ascii="Times New Roman" w:hAnsi="Times New Roman" w:cs="Times New Roman"/>
                      <w:szCs w:val="21"/>
                    </w:rPr>
                    <w:t>-2012）二级标准</w:t>
                  </w:r>
                </w:p>
              </w:tc>
            </w:tr>
            <w:tr w14:paraId="12D205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280" w:type="pct"/>
                  <w:vMerge w:val="continue"/>
                  <w:tcBorders>
                    <w:tl2br w:val="nil"/>
                    <w:tr2bl w:val="nil"/>
                  </w:tcBorders>
                  <w:tcMar>
                    <w:top w:w="0" w:type="dxa"/>
                    <w:left w:w="0" w:type="dxa"/>
                    <w:bottom w:w="0" w:type="dxa"/>
                    <w:right w:w="0" w:type="dxa"/>
                  </w:tcMar>
                  <w:vAlign w:val="center"/>
                </w:tcPr>
                <w:p w14:paraId="1370BC34">
                  <w:pPr>
                    <w:jc w:val="center"/>
                    <w:rPr>
                      <w:rFonts w:ascii="Times New Roman" w:hAnsi="Times New Roman" w:cs="Times New Roman"/>
                      <w:szCs w:val="21"/>
                    </w:rPr>
                  </w:pPr>
                </w:p>
              </w:tc>
              <w:tc>
                <w:tcPr>
                  <w:tcW w:w="460" w:type="pct"/>
                  <w:tcBorders>
                    <w:tl2br w:val="nil"/>
                    <w:tr2bl w:val="nil"/>
                  </w:tcBorders>
                  <w:tcMar>
                    <w:top w:w="0" w:type="dxa"/>
                    <w:left w:w="0" w:type="dxa"/>
                    <w:bottom w:w="0" w:type="dxa"/>
                    <w:right w:w="0" w:type="dxa"/>
                  </w:tcMar>
                  <w:vAlign w:val="center"/>
                </w:tcPr>
                <w:p w14:paraId="3C68F843">
                  <w:pPr>
                    <w:jc w:val="center"/>
                    <w:rPr>
                      <w:rFonts w:ascii="Times New Roman" w:hAnsi="Times New Roman" w:cs="Times New Roman"/>
                      <w:szCs w:val="21"/>
                    </w:rPr>
                  </w:pPr>
                  <w:r>
                    <w:rPr>
                      <w:rFonts w:hint="eastAsia" w:ascii="Times New Roman" w:hAnsi="Times New Roman" w:cs="Times New Roman"/>
                      <w:szCs w:val="21"/>
                    </w:rPr>
                    <w:t>秦机家属区</w:t>
                  </w:r>
                </w:p>
              </w:tc>
              <w:tc>
                <w:tcPr>
                  <w:tcW w:w="861" w:type="pct"/>
                  <w:tcBorders>
                    <w:tl2br w:val="nil"/>
                    <w:tr2bl w:val="nil"/>
                  </w:tcBorders>
                  <w:vAlign w:val="center"/>
                </w:tcPr>
                <w:p w14:paraId="6C0A4D05">
                  <w:pPr>
                    <w:jc w:val="center"/>
                    <w:rPr>
                      <w:rFonts w:ascii="Times New Roman" w:hAnsi="Times New Roman" w:cs="Times New Roman"/>
                      <w:szCs w:val="21"/>
                    </w:rPr>
                  </w:pPr>
                  <w:r>
                    <w:rPr>
                      <w:rFonts w:ascii="Times New Roman" w:hAnsi="Times New Roman" w:cs="Times New Roman"/>
                      <w:szCs w:val="21"/>
                    </w:rPr>
                    <w:t>34.36266997</w:t>
                  </w:r>
                </w:p>
              </w:tc>
              <w:tc>
                <w:tcPr>
                  <w:tcW w:w="969" w:type="pct"/>
                  <w:tcBorders>
                    <w:tl2br w:val="nil"/>
                    <w:tr2bl w:val="nil"/>
                  </w:tcBorders>
                  <w:vAlign w:val="center"/>
                </w:tcPr>
                <w:p w14:paraId="6D77FEA1">
                  <w:pPr>
                    <w:jc w:val="center"/>
                    <w:rPr>
                      <w:rFonts w:ascii="Times New Roman" w:hAnsi="Times New Roman" w:cs="Times New Roman"/>
                      <w:szCs w:val="21"/>
                    </w:rPr>
                  </w:pPr>
                  <w:r>
                    <w:rPr>
                      <w:rFonts w:ascii="Times New Roman" w:hAnsi="Times New Roman" w:cs="Times New Roman"/>
                      <w:szCs w:val="21"/>
                    </w:rPr>
                    <w:t>107.08750032</w:t>
                  </w:r>
                </w:p>
              </w:tc>
              <w:tc>
                <w:tcPr>
                  <w:tcW w:w="355" w:type="pct"/>
                  <w:tcBorders>
                    <w:tl2br w:val="nil"/>
                    <w:tr2bl w:val="nil"/>
                  </w:tcBorders>
                  <w:tcMar>
                    <w:top w:w="0" w:type="dxa"/>
                    <w:left w:w="0" w:type="dxa"/>
                    <w:bottom w:w="0" w:type="dxa"/>
                    <w:right w:w="0" w:type="dxa"/>
                  </w:tcMar>
                  <w:vAlign w:val="center"/>
                </w:tcPr>
                <w:p w14:paraId="071846BF">
                  <w:pPr>
                    <w:jc w:val="center"/>
                    <w:rPr>
                      <w:rFonts w:ascii="Times New Roman" w:hAnsi="Times New Roman" w:cs="Times New Roman"/>
                      <w:szCs w:val="21"/>
                    </w:rPr>
                  </w:pPr>
                  <w:r>
                    <w:rPr>
                      <w:rFonts w:hint="eastAsia" w:ascii="Times New Roman" w:hAnsi="Times New Roman" w:cs="Times New Roman"/>
                      <w:szCs w:val="21"/>
                    </w:rPr>
                    <w:t>SW</w:t>
                  </w:r>
                </w:p>
              </w:tc>
              <w:tc>
                <w:tcPr>
                  <w:tcW w:w="301" w:type="pct"/>
                  <w:tcBorders>
                    <w:tl2br w:val="nil"/>
                    <w:tr2bl w:val="nil"/>
                  </w:tcBorders>
                  <w:tcMar>
                    <w:top w:w="0" w:type="dxa"/>
                    <w:left w:w="0" w:type="dxa"/>
                    <w:bottom w:w="0" w:type="dxa"/>
                    <w:right w:w="0" w:type="dxa"/>
                  </w:tcMar>
                  <w:vAlign w:val="center"/>
                </w:tcPr>
                <w:p w14:paraId="0BCF76B6">
                  <w:pPr>
                    <w:jc w:val="center"/>
                    <w:rPr>
                      <w:rFonts w:ascii="Times New Roman" w:hAnsi="Times New Roman" w:cs="Times New Roman"/>
                      <w:szCs w:val="21"/>
                    </w:rPr>
                  </w:pPr>
                  <w:r>
                    <w:rPr>
                      <w:rFonts w:hint="eastAsia" w:ascii="Times New Roman" w:hAnsi="Times New Roman" w:cs="Times New Roman"/>
                      <w:szCs w:val="21"/>
                    </w:rPr>
                    <w:t>195</w:t>
                  </w:r>
                </w:p>
              </w:tc>
              <w:tc>
                <w:tcPr>
                  <w:tcW w:w="463" w:type="pct"/>
                  <w:tcBorders>
                    <w:tl2br w:val="nil"/>
                    <w:tr2bl w:val="nil"/>
                  </w:tcBorders>
                  <w:tcMar>
                    <w:top w:w="0" w:type="dxa"/>
                    <w:left w:w="0" w:type="dxa"/>
                    <w:bottom w:w="0" w:type="dxa"/>
                    <w:right w:w="0" w:type="dxa"/>
                  </w:tcMar>
                  <w:vAlign w:val="center"/>
                </w:tcPr>
                <w:p w14:paraId="165C9115">
                  <w:pPr>
                    <w:jc w:val="center"/>
                    <w:rPr>
                      <w:rFonts w:hint="eastAsia" w:ascii="Times New Roman" w:hAnsi="Times New Roman" w:cs="Times New Roman"/>
                      <w:szCs w:val="21"/>
                    </w:rPr>
                  </w:pPr>
                  <w:r>
                    <w:rPr>
                      <w:rFonts w:hint="eastAsia" w:ascii="Times New Roman" w:hAnsi="Times New Roman" w:cs="Times New Roman"/>
                      <w:szCs w:val="21"/>
                    </w:rPr>
                    <w:t>居民</w:t>
                  </w:r>
                </w:p>
              </w:tc>
              <w:tc>
                <w:tcPr>
                  <w:tcW w:w="344" w:type="pct"/>
                  <w:tcBorders>
                    <w:tl2br w:val="nil"/>
                    <w:tr2bl w:val="nil"/>
                  </w:tcBorders>
                  <w:tcMar>
                    <w:top w:w="0" w:type="dxa"/>
                    <w:left w:w="0" w:type="dxa"/>
                    <w:bottom w:w="0" w:type="dxa"/>
                    <w:right w:w="0" w:type="dxa"/>
                  </w:tcMar>
                  <w:vAlign w:val="center"/>
                </w:tcPr>
                <w:p w14:paraId="51198F2A">
                  <w:pPr>
                    <w:jc w:val="center"/>
                    <w:rPr>
                      <w:rFonts w:hint="default" w:ascii="Times New Roman" w:hAnsi="Times New Roman" w:cs="Times New Roman" w:eastAsiaTheme="minorEastAsia"/>
                      <w:color w:val="FF0000"/>
                      <w:szCs w:val="21"/>
                      <w:lang w:val="en-US" w:eastAsia="zh-CN"/>
                    </w:rPr>
                  </w:pPr>
                  <w:r>
                    <w:rPr>
                      <w:rFonts w:hint="eastAsia" w:ascii="Times New Roman" w:hAnsi="Times New Roman" w:cs="Times New Roman"/>
                      <w:color w:val="FF0000"/>
                      <w:szCs w:val="21"/>
                      <w:lang w:val="en-US" w:eastAsia="zh-CN"/>
                    </w:rPr>
                    <w:t>1320</w:t>
                  </w:r>
                </w:p>
              </w:tc>
              <w:tc>
                <w:tcPr>
                  <w:tcW w:w="965" w:type="pct"/>
                  <w:vMerge w:val="continue"/>
                  <w:tcBorders>
                    <w:tl2br w:val="nil"/>
                    <w:tr2bl w:val="nil"/>
                  </w:tcBorders>
                  <w:tcMar>
                    <w:top w:w="0" w:type="dxa"/>
                    <w:left w:w="0" w:type="dxa"/>
                    <w:bottom w:w="0" w:type="dxa"/>
                    <w:right w:w="0" w:type="dxa"/>
                  </w:tcMar>
                  <w:vAlign w:val="center"/>
                </w:tcPr>
                <w:p w14:paraId="6B09DC6D">
                  <w:pPr>
                    <w:jc w:val="center"/>
                    <w:rPr>
                      <w:rFonts w:ascii="Times New Roman" w:hAnsi="Times New Roman" w:cs="Times New Roman"/>
                      <w:szCs w:val="21"/>
                    </w:rPr>
                  </w:pPr>
                </w:p>
              </w:tc>
            </w:tr>
            <w:tr w14:paraId="4A87DC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280" w:type="pct"/>
                  <w:vMerge w:val="continue"/>
                  <w:tcBorders>
                    <w:tl2br w:val="nil"/>
                    <w:tr2bl w:val="nil"/>
                  </w:tcBorders>
                  <w:tcMar>
                    <w:top w:w="0" w:type="dxa"/>
                    <w:left w:w="0" w:type="dxa"/>
                    <w:bottom w:w="0" w:type="dxa"/>
                    <w:right w:w="0" w:type="dxa"/>
                  </w:tcMar>
                  <w:vAlign w:val="center"/>
                </w:tcPr>
                <w:p w14:paraId="13281EA5">
                  <w:pPr>
                    <w:jc w:val="center"/>
                    <w:rPr>
                      <w:rFonts w:ascii="Times New Roman" w:hAnsi="Times New Roman" w:cs="Times New Roman"/>
                      <w:szCs w:val="21"/>
                    </w:rPr>
                  </w:pPr>
                </w:p>
              </w:tc>
              <w:tc>
                <w:tcPr>
                  <w:tcW w:w="460" w:type="pct"/>
                  <w:tcBorders>
                    <w:tl2br w:val="nil"/>
                    <w:tr2bl w:val="nil"/>
                  </w:tcBorders>
                  <w:tcMar>
                    <w:top w:w="0" w:type="dxa"/>
                    <w:left w:w="0" w:type="dxa"/>
                    <w:bottom w:w="0" w:type="dxa"/>
                    <w:right w:w="0" w:type="dxa"/>
                  </w:tcMar>
                  <w:vAlign w:val="center"/>
                </w:tcPr>
                <w:p w14:paraId="2DB2B0DF">
                  <w:pPr>
                    <w:jc w:val="center"/>
                    <w:rPr>
                      <w:rFonts w:ascii="Times New Roman" w:hAnsi="Times New Roman" w:cs="Times New Roman"/>
                      <w:szCs w:val="21"/>
                    </w:rPr>
                  </w:pPr>
                  <w:r>
                    <w:rPr>
                      <w:rFonts w:hint="eastAsia" w:ascii="Times New Roman" w:hAnsi="Times New Roman" w:cs="Times New Roman"/>
                      <w:szCs w:val="21"/>
                    </w:rPr>
                    <w:t>秦川花园</w:t>
                  </w:r>
                </w:p>
              </w:tc>
              <w:tc>
                <w:tcPr>
                  <w:tcW w:w="861" w:type="pct"/>
                  <w:tcBorders>
                    <w:tl2br w:val="nil"/>
                    <w:tr2bl w:val="nil"/>
                  </w:tcBorders>
                  <w:vAlign w:val="center"/>
                </w:tcPr>
                <w:p w14:paraId="530C8BD2">
                  <w:pPr>
                    <w:jc w:val="center"/>
                    <w:rPr>
                      <w:rFonts w:ascii="Times New Roman" w:hAnsi="Times New Roman" w:cs="Times New Roman"/>
                      <w:szCs w:val="21"/>
                    </w:rPr>
                  </w:pPr>
                  <w:r>
                    <w:rPr>
                      <w:rFonts w:ascii="Times New Roman" w:hAnsi="Times New Roman" w:cs="Times New Roman"/>
                      <w:szCs w:val="21"/>
                    </w:rPr>
                    <w:t>34.36272535</w:t>
                  </w:r>
                </w:p>
              </w:tc>
              <w:tc>
                <w:tcPr>
                  <w:tcW w:w="969" w:type="pct"/>
                  <w:tcBorders>
                    <w:tl2br w:val="nil"/>
                    <w:tr2bl w:val="nil"/>
                  </w:tcBorders>
                  <w:vAlign w:val="center"/>
                </w:tcPr>
                <w:p w14:paraId="4AFB77A2">
                  <w:pPr>
                    <w:jc w:val="center"/>
                    <w:rPr>
                      <w:rFonts w:ascii="Times New Roman" w:hAnsi="Times New Roman" w:cs="Times New Roman"/>
                      <w:szCs w:val="21"/>
                    </w:rPr>
                  </w:pPr>
                  <w:r>
                    <w:rPr>
                      <w:rFonts w:ascii="Times New Roman" w:hAnsi="Times New Roman" w:cs="Times New Roman"/>
                      <w:szCs w:val="21"/>
                    </w:rPr>
                    <w:t>107.09107829</w:t>
                  </w:r>
                </w:p>
              </w:tc>
              <w:tc>
                <w:tcPr>
                  <w:tcW w:w="355" w:type="pct"/>
                  <w:tcBorders>
                    <w:tl2br w:val="nil"/>
                    <w:tr2bl w:val="nil"/>
                  </w:tcBorders>
                  <w:tcMar>
                    <w:top w:w="0" w:type="dxa"/>
                    <w:left w:w="0" w:type="dxa"/>
                    <w:bottom w:w="0" w:type="dxa"/>
                    <w:right w:w="0" w:type="dxa"/>
                  </w:tcMar>
                  <w:vAlign w:val="center"/>
                </w:tcPr>
                <w:p w14:paraId="668383CB">
                  <w:pPr>
                    <w:jc w:val="center"/>
                    <w:rPr>
                      <w:rFonts w:ascii="Times New Roman" w:hAnsi="Times New Roman" w:cs="Times New Roman"/>
                      <w:szCs w:val="21"/>
                    </w:rPr>
                  </w:pPr>
                  <w:r>
                    <w:rPr>
                      <w:rFonts w:hint="eastAsia" w:ascii="Times New Roman" w:hAnsi="Times New Roman" w:cs="Times New Roman"/>
                      <w:szCs w:val="21"/>
                    </w:rPr>
                    <w:t>S</w:t>
                  </w:r>
                </w:p>
              </w:tc>
              <w:tc>
                <w:tcPr>
                  <w:tcW w:w="301" w:type="pct"/>
                  <w:tcBorders>
                    <w:tl2br w:val="nil"/>
                    <w:tr2bl w:val="nil"/>
                  </w:tcBorders>
                  <w:tcMar>
                    <w:top w:w="0" w:type="dxa"/>
                    <w:left w:w="0" w:type="dxa"/>
                    <w:bottom w:w="0" w:type="dxa"/>
                    <w:right w:w="0" w:type="dxa"/>
                  </w:tcMar>
                  <w:vAlign w:val="center"/>
                </w:tcPr>
                <w:p w14:paraId="0EB89371">
                  <w:pPr>
                    <w:jc w:val="center"/>
                    <w:rPr>
                      <w:rFonts w:ascii="Times New Roman" w:hAnsi="Times New Roman" w:cs="Times New Roman"/>
                      <w:szCs w:val="21"/>
                    </w:rPr>
                  </w:pPr>
                  <w:r>
                    <w:rPr>
                      <w:rFonts w:hint="eastAsia" w:ascii="Times New Roman" w:hAnsi="Times New Roman" w:cs="Times New Roman"/>
                      <w:szCs w:val="21"/>
                    </w:rPr>
                    <w:t>105</w:t>
                  </w:r>
                </w:p>
              </w:tc>
              <w:tc>
                <w:tcPr>
                  <w:tcW w:w="463" w:type="pct"/>
                  <w:tcBorders>
                    <w:tl2br w:val="nil"/>
                    <w:tr2bl w:val="nil"/>
                  </w:tcBorders>
                  <w:tcMar>
                    <w:top w:w="0" w:type="dxa"/>
                    <w:left w:w="0" w:type="dxa"/>
                    <w:bottom w:w="0" w:type="dxa"/>
                    <w:right w:w="0" w:type="dxa"/>
                  </w:tcMar>
                  <w:vAlign w:val="center"/>
                </w:tcPr>
                <w:p w14:paraId="195F803F">
                  <w:pPr>
                    <w:jc w:val="center"/>
                    <w:rPr>
                      <w:rFonts w:ascii="Times New Roman" w:hAnsi="Times New Roman" w:cs="Times New Roman"/>
                      <w:szCs w:val="21"/>
                    </w:rPr>
                  </w:pPr>
                  <w:r>
                    <w:rPr>
                      <w:rFonts w:hint="eastAsia" w:ascii="Times New Roman" w:hAnsi="Times New Roman" w:cs="Times New Roman"/>
                      <w:szCs w:val="21"/>
                    </w:rPr>
                    <w:t>居民</w:t>
                  </w:r>
                </w:p>
              </w:tc>
              <w:tc>
                <w:tcPr>
                  <w:tcW w:w="344" w:type="pct"/>
                  <w:tcBorders>
                    <w:tl2br w:val="nil"/>
                    <w:tr2bl w:val="nil"/>
                  </w:tcBorders>
                  <w:tcMar>
                    <w:top w:w="0" w:type="dxa"/>
                    <w:left w:w="0" w:type="dxa"/>
                    <w:bottom w:w="0" w:type="dxa"/>
                    <w:right w:w="0" w:type="dxa"/>
                  </w:tcMar>
                  <w:vAlign w:val="center"/>
                </w:tcPr>
                <w:p w14:paraId="4CD69448">
                  <w:pPr>
                    <w:jc w:val="center"/>
                    <w:rPr>
                      <w:rFonts w:hint="default" w:ascii="Times New Roman" w:hAnsi="Times New Roman" w:cs="Times New Roman" w:eastAsiaTheme="minorEastAsia"/>
                      <w:color w:val="FF0000"/>
                      <w:szCs w:val="21"/>
                      <w:lang w:val="en-US" w:eastAsia="zh-CN"/>
                    </w:rPr>
                  </w:pPr>
                  <w:r>
                    <w:rPr>
                      <w:rFonts w:hint="eastAsia" w:ascii="Times New Roman" w:hAnsi="Times New Roman" w:cs="Times New Roman"/>
                      <w:color w:val="FF0000"/>
                      <w:szCs w:val="21"/>
                      <w:lang w:val="en-US" w:eastAsia="zh-CN"/>
                    </w:rPr>
                    <w:t>1230</w:t>
                  </w:r>
                </w:p>
              </w:tc>
              <w:tc>
                <w:tcPr>
                  <w:tcW w:w="965" w:type="pct"/>
                  <w:vMerge w:val="continue"/>
                  <w:tcBorders>
                    <w:tl2br w:val="nil"/>
                    <w:tr2bl w:val="nil"/>
                  </w:tcBorders>
                  <w:tcMar>
                    <w:top w:w="0" w:type="dxa"/>
                    <w:left w:w="0" w:type="dxa"/>
                    <w:bottom w:w="0" w:type="dxa"/>
                    <w:right w:w="0" w:type="dxa"/>
                  </w:tcMar>
                  <w:vAlign w:val="center"/>
                </w:tcPr>
                <w:p w14:paraId="3E463C24">
                  <w:pPr>
                    <w:jc w:val="center"/>
                    <w:rPr>
                      <w:rFonts w:ascii="Times New Roman" w:hAnsi="Times New Roman" w:cs="Times New Roman"/>
                      <w:szCs w:val="21"/>
                    </w:rPr>
                  </w:pPr>
                </w:p>
              </w:tc>
            </w:tr>
            <w:tr w14:paraId="53EDFE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280" w:type="pct"/>
                  <w:vMerge w:val="continue"/>
                  <w:tcBorders>
                    <w:tl2br w:val="nil"/>
                    <w:tr2bl w:val="nil"/>
                  </w:tcBorders>
                  <w:tcMar>
                    <w:top w:w="0" w:type="dxa"/>
                    <w:left w:w="0" w:type="dxa"/>
                    <w:bottom w:w="0" w:type="dxa"/>
                    <w:right w:w="0" w:type="dxa"/>
                  </w:tcMar>
                  <w:vAlign w:val="center"/>
                </w:tcPr>
                <w:p w14:paraId="572226C7">
                  <w:pPr>
                    <w:jc w:val="center"/>
                    <w:rPr>
                      <w:rFonts w:ascii="Times New Roman" w:hAnsi="Times New Roman" w:cs="Times New Roman"/>
                      <w:szCs w:val="21"/>
                    </w:rPr>
                  </w:pPr>
                </w:p>
              </w:tc>
              <w:tc>
                <w:tcPr>
                  <w:tcW w:w="460" w:type="pct"/>
                  <w:tcBorders>
                    <w:tl2br w:val="nil"/>
                    <w:tr2bl w:val="nil"/>
                  </w:tcBorders>
                  <w:tcMar>
                    <w:top w:w="0" w:type="dxa"/>
                    <w:left w:w="0" w:type="dxa"/>
                    <w:bottom w:w="0" w:type="dxa"/>
                    <w:right w:w="0" w:type="dxa"/>
                  </w:tcMar>
                  <w:vAlign w:val="center"/>
                </w:tcPr>
                <w:p w14:paraId="66CA9EC4">
                  <w:pPr>
                    <w:jc w:val="center"/>
                    <w:rPr>
                      <w:rFonts w:ascii="Times New Roman" w:hAnsi="Times New Roman" w:cs="Times New Roman"/>
                      <w:szCs w:val="21"/>
                    </w:rPr>
                  </w:pPr>
                  <w:r>
                    <w:rPr>
                      <w:rFonts w:hint="eastAsia" w:ascii="Times New Roman" w:hAnsi="Times New Roman" w:cs="Times New Roman"/>
                      <w:szCs w:val="21"/>
                    </w:rPr>
                    <w:t>宝氮二区</w:t>
                  </w:r>
                </w:p>
              </w:tc>
              <w:tc>
                <w:tcPr>
                  <w:tcW w:w="861" w:type="pct"/>
                  <w:tcBorders>
                    <w:tl2br w:val="nil"/>
                    <w:tr2bl w:val="nil"/>
                  </w:tcBorders>
                  <w:vAlign w:val="center"/>
                </w:tcPr>
                <w:p w14:paraId="0C4B7A26">
                  <w:pPr>
                    <w:jc w:val="center"/>
                    <w:rPr>
                      <w:rFonts w:ascii="Times New Roman" w:hAnsi="Times New Roman" w:cs="Times New Roman"/>
                      <w:szCs w:val="21"/>
                    </w:rPr>
                  </w:pPr>
                  <w:r>
                    <w:rPr>
                      <w:rFonts w:ascii="Times New Roman" w:hAnsi="Times New Roman" w:cs="Times New Roman"/>
                      <w:szCs w:val="21"/>
                    </w:rPr>
                    <w:t>34.36203523</w:t>
                  </w:r>
                </w:p>
              </w:tc>
              <w:tc>
                <w:tcPr>
                  <w:tcW w:w="969" w:type="pct"/>
                  <w:tcBorders>
                    <w:tl2br w:val="nil"/>
                    <w:tr2bl w:val="nil"/>
                  </w:tcBorders>
                  <w:vAlign w:val="center"/>
                </w:tcPr>
                <w:p w14:paraId="6C5EB154">
                  <w:pPr>
                    <w:jc w:val="center"/>
                    <w:rPr>
                      <w:rFonts w:ascii="Times New Roman" w:hAnsi="Times New Roman" w:cs="Times New Roman"/>
                      <w:szCs w:val="21"/>
                    </w:rPr>
                  </w:pPr>
                  <w:r>
                    <w:rPr>
                      <w:rFonts w:ascii="Times New Roman" w:hAnsi="Times New Roman" w:cs="Times New Roman"/>
                      <w:szCs w:val="21"/>
                    </w:rPr>
                    <w:t>107.09318385</w:t>
                  </w:r>
                </w:p>
              </w:tc>
              <w:tc>
                <w:tcPr>
                  <w:tcW w:w="355" w:type="pct"/>
                  <w:tcBorders>
                    <w:tl2br w:val="nil"/>
                    <w:tr2bl w:val="nil"/>
                  </w:tcBorders>
                  <w:tcMar>
                    <w:top w:w="0" w:type="dxa"/>
                    <w:left w:w="0" w:type="dxa"/>
                    <w:bottom w:w="0" w:type="dxa"/>
                    <w:right w:w="0" w:type="dxa"/>
                  </w:tcMar>
                  <w:vAlign w:val="center"/>
                </w:tcPr>
                <w:p w14:paraId="32EC3003">
                  <w:pPr>
                    <w:jc w:val="center"/>
                    <w:rPr>
                      <w:rFonts w:ascii="Times New Roman" w:hAnsi="Times New Roman" w:cs="Times New Roman"/>
                      <w:szCs w:val="21"/>
                    </w:rPr>
                  </w:pPr>
                  <w:r>
                    <w:rPr>
                      <w:rFonts w:hint="eastAsia" w:ascii="Times New Roman" w:hAnsi="Times New Roman" w:cs="Times New Roman"/>
                      <w:szCs w:val="21"/>
                    </w:rPr>
                    <w:t>SE</w:t>
                  </w:r>
                </w:p>
              </w:tc>
              <w:tc>
                <w:tcPr>
                  <w:tcW w:w="301" w:type="pct"/>
                  <w:tcBorders>
                    <w:tl2br w:val="nil"/>
                    <w:tr2bl w:val="nil"/>
                  </w:tcBorders>
                  <w:tcMar>
                    <w:top w:w="0" w:type="dxa"/>
                    <w:left w:w="0" w:type="dxa"/>
                    <w:bottom w:w="0" w:type="dxa"/>
                    <w:right w:w="0" w:type="dxa"/>
                  </w:tcMar>
                  <w:vAlign w:val="center"/>
                </w:tcPr>
                <w:p w14:paraId="28FAA842">
                  <w:pPr>
                    <w:jc w:val="center"/>
                    <w:rPr>
                      <w:rFonts w:ascii="Times New Roman" w:hAnsi="Times New Roman" w:cs="Times New Roman"/>
                      <w:szCs w:val="21"/>
                    </w:rPr>
                  </w:pPr>
                  <w:r>
                    <w:rPr>
                      <w:rFonts w:hint="eastAsia" w:ascii="Times New Roman" w:hAnsi="Times New Roman" w:cs="Times New Roman"/>
                      <w:szCs w:val="21"/>
                    </w:rPr>
                    <w:t>245</w:t>
                  </w:r>
                </w:p>
              </w:tc>
              <w:tc>
                <w:tcPr>
                  <w:tcW w:w="463" w:type="pct"/>
                  <w:tcBorders>
                    <w:tl2br w:val="nil"/>
                    <w:tr2bl w:val="nil"/>
                  </w:tcBorders>
                  <w:tcMar>
                    <w:top w:w="0" w:type="dxa"/>
                    <w:left w:w="0" w:type="dxa"/>
                    <w:bottom w:w="0" w:type="dxa"/>
                    <w:right w:w="0" w:type="dxa"/>
                  </w:tcMar>
                  <w:vAlign w:val="center"/>
                </w:tcPr>
                <w:p w14:paraId="48BAC43B">
                  <w:pPr>
                    <w:jc w:val="center"/>
                    <w:rPr>
                      <w:rFonts w:ascii="Times New Roman" w:hAnsi="Times New Roman" w:cs="Times New Roman"/>
                      <w:szCs w:val="21"/>
                    </w:rPr>
                  </w:pPr>
                  <w:r>
                    <w:rPr>
                      <w:rFonts w:hint="eastAsia" w:ascii="Times New Roman" w:hAnsi="Times New Roman" w:cs="Times New Roman"/>
                      <w:szCs w:val="21"/>
                    </w:rPr>
                    <w:t>居民</w:t>
                  </w:r>
                </w:p>
              </w:tc>
              <w:tc>
                <w:tcPr>
                  <w:tcW w:w="344" w:type="pct"/>
                  <w:tcBorders>
                    <w:tl2br w:val="nil"/>
                    <w:tr2bl w:val="nil"/>
                  </w:tcBorders>
                  <w:tcMar>
                    <w:top w:w="0" w:type="dxa"/>
                    <w:left w:w="0" w:type="dxa"/>
                    <w:bottom w:w="0" w:type="dxa"/>
                    <w:right w:w="0" w:type="dxa"/>
                  </w:tcMar>
                  <w:vAlign w:val="center"/>
                </w:tcPr>
                <w:p w14:paraId="10260B3A">
                  <w:pPr>
                    <w:jc w:val="center"/>
                    <w:rPr>
                      <w:rFonts w:hint="default" w:ascii="Times New Roman" w:hAnsi="Times New Roman" w:cs="Times New Roman" w:eastAsiaTheme="minorEastAsia"/>
                      <w:color w:val="FF0000"/>
                      <w:szCs w:val="21"/>
                      <w:lang w:val="en-US" w:eastAsia="zh-CN"/>
                    </w:rPr>
                  </w:pPr>
                  <w:r>
                    <w:rPr>
                      <w:rFonts w:hint="eastAsia" w:ascii="Times New Roman" w:hAnsi="Times New Roman" w:cs="Times New Roman"/>
                      <w:color w:val="FF0000"/>
                      <w:szCs w:val="21"/>
                      <w:lang w:val="en-US" w:eastAsia="zh-CN"/>
                    </w:rPr>
                    <w:t>530</w:t>
                  </w:r>
                </w:p>
              </w:tc>
              <w:tc>
                <w:tcPr>
                  <w:tcW w:w="965" w:type="pct"/>
                  <w:vMerge w:val="continue"/>
                  <w:tcBorders>
                    <w:tl2br w:val="nil"/>
                    <w:tr2bl w:val="nil"/>
                  </w:tcBorders>
                  <w:tcMar>
                    <w:top w:w="0" w:type="dxa"/>
                    <w:left w:w="0" w:type="dxa"/>
                    <w:bottom w:w="0" w:type="dxa"/>
                    <w:right w:w="0" w:type="dxa"/>
                  </w:tcMar>
                  <w:vAlign w:val="center"/>
                </w:tcPr>
                <w:p w14:paraId="0B8F4DE9">
                  <w:pPr>
                    <w:jc w:val="center"/>
                    <w:rPr>
                      <w:rFonts w:ascii="Times New Roman" w:hAnsi="Times New Roman" w:cs="Times New Roman"/>
                      <w:szCs w:val="21"/>
                    </w:rPr>
                  </w:pPr>
                </w:p>
              </w:tc>
            </w:tr>
            <w:tr w14:paraId="3DC7B9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280" w:type="pct"/>
                  <w:vMerge w:val="continue"/>
                  <w:tcBorders>
                    <w:tl2br w:val="nil"/>
                    <w:tr2bl w:val="nil"/>
                  </w:tcBorders>
                  <w:tcMar>
                    <w:top w:w="0" w:type="dxa"/>
                    <w:left w:w="0" w:type="dxa"/>
                    <w:bottom w:w="0" w:type="dxa"/>
                    <w:right w:w="0" w:type="dxa"/>
                  </w:tcMar>
                  <w:vAlign w:val="center"/>
                </w:tcPr>
                <w:p w14:paraId="13D29CDD">
                  <w:pPr>
                    <w:jc w:val="center"/>
                    <w:rPr>
                      <w:rFonts w:ascii="Times New Roman" w:hAnsi="Times New Roman" w:cs="Times New Roman"/>
                      <w:szCs w:val="21"/>
                    </w:rPr>
                  </w:pPr>
                </w:p>
              </w:tc>
              <w:tc>
                <w:tcPr>
                  <w:tcW w:w="460" w:type="pct"/>
                  <w:tcBorders>
                    <w:tl2br w:val="nil"/>
                    <w:tr2bl w:val="nil"/>
                  </w:tcBorders>
                  <w:tcMar>
                    <w:top w:w="0" w:type="dxa"/>
                    <w:left w:w="0" w:type="dxa"/>
                    <w:bottom w:w="0" w:type="dxa"/>
                    <w:right w:w="0" w:type="dxa"/>
                  </w:tcMar>
                  <w:vAlign w:val="center"/>
                </w:tcPr>
                <w:p w14:paraId="7B1BA95C">
                  <w:pPr>
                    <w:jc w:val="center"/>
                    <w:rPr>
                      <w:rFonts w:ascii="Times New Roman" w:hAnsi="Times New Roman" w:cs="Times New Roman"/>
                      <w:szCs w:val="21"/>
                    </w:rPr>
                  </w:pPr>
                  <w:r>
                    <w:rPr>
                      <w:rFonts w:hint="eastAsia" w:ascii="Times New Roman" w:hAnsi="Times New Roman" w:cs="Times New Roman"/>
                      <w:szCs w:val="21"/>
                    </w:rPr>
                    <w:t>海棠湾小区</w:t>
                  </w:r>
                </w:p>
              </w:tc>
              <w:tc>
                <w:tcPr>
                  <w:tcW w:w="861" w:type="pct"/>
                  <w:tcBorders>
                    <w:tl2br w:val="nil"/>
                    <w:tr2bl w:val="nil"/>
                  </w:tcBorders>
                  <w:vAlign w:val="center"/>
                </w:tcPr>
                <w:p w14:paraId="1555DEB8">
                  <w:pPr>
                    <w:jc w:val="center"/>
                    <w:rPr>
                      <w:rFonts w:ascii="Times New Roman" w:hAnsi="Times New Roman" w:cs="Times New Roman"/>
                      <w:szCs w:val="21"/>
                    </w:rPr>
                  </w:pPr>
                  <w:r>
                    <w:rPr>
                      <w:rFonts w:ascii="Times New Roman" w:hAnsi="Times New Roman" w:cs="Times New Roman"/>
                      <w:szCs w:val="21"/>
                    </w:rPr>
                    <w:t>34.36591579</w:t>
                  </w:r>
                </w:p>
              </w:tc>
              <w:tc>
                <w:tcPr>
                  <w:tcW w:w="969" w:type="pct"/>
                  <w:tcBorders>
                    <w:tl2br w:val="nil"/>
                    <w:tr2bl w:val="nil"/>
                  </w:tcBorders>
                  <w:vAlign w:val="center"/>
                </w:tcPr>
                <w:p w14:paraId="3B2B5BBC">
                  <w:pPr>
                    <w:jc w:val="center"/>
                    <w:rPr>
                      <w:rFonts w:ascii="Times New Roman" w:hAnsi="Times New Roman" w:cs="Times New Roman"/>
                      <w:szCs w:val="21"/>
                    </w:rPr>
                  </w:pPr>
                  <w:r>
                    <w:rPr>
                      <w:rFonts w:ascii="Times New Roman" w:hAnsi="Times New Roman" w:cs="Times New Roman"/>
                      <w:szCs w:val="21"/>
                    </w:rPr>
                    <w:t>107.09219584</w:t>
                  </w:r>
                </w:p>
              </w:tc>
              <w:tc>
                <w:tcPr>
                  <w:tcW w:w="355" w:type="pct"/>
                  <w:tcBorders>
                    <w:tl2br w:val="nil"/>
                    <w:tr2bl w:val="nil"/>
                  </w:tcBorders>
                  <w:tcMar>
                    <w:top w:w="0" w:type="dxa"/>
                    <w:left w:w="0" w:type="dxa"/>
                    <w:bottom w:w="0" w:type="dxa"/>
                    <w:right w:w="0" w:type="dxa"/>
                  </w:tcMar>
                  <w:vAlign w:val="center"/>
                </w:tcPr>
                <w:p w14:paraId="67109A25">
                  <w:pPr>
                    <w:jc w:val="center"/>
                    <w:rPr>
                      <w:rFonts w:ascii="Times New Roman" w:hAnsi="Times New Roman" w:cs="Times New Roman"/>
                      <w:szCs w:val="21"/>
                    </w:rPr>
                  </w:pPr>
                  <w:r>
                    <w:rPr>
                      <w:rFonts w:hint="eastAsia" w:ascii="Times New Roman" w:hAnsi="Times New Roman" w:cs="Times New Roman"/>
                      <w:szCs w:val="21"/>
                    </w:rPr>
                    <w:t>N</w:t>
                  </w:r>
                </w:p>
              </w:tc>
              <w:tc>
                <w:tcPr>
                  <w:tcW w:w="301" w:type="pct"/>
                  <w:tcBorders>
                    <w:tl2br w:val="nil"/>
                    <w:tr2bl w:val="nil"/>
                  </w:tcBorders>
                  <w:tcMar>
                    <w:top w:w="0" w:type="dxa"/>
                    <w:left w:w="0" w:type="dxa"/>
                    <w:bottom w:w="0" w:type="dxa"/>
                    <w:right w:w="0" w:type="dxa"/>
                  </w:tcMar>
                  <w:vAlign w:val="center"/>
                </w:tcPr>
                <w:p w14:paraId="35559F60">
                  <w:pPr>
                    <w:jc w:val="center"/>
                    <w:rPr>
                      <w:rFonts w:ascii="Times New Roman" w:hAnsi="Times New Roman" w:cs="Times New Roman"/>
                      <w:szCs w:val="21"/>
                    </w:rPr>
                  </w:pPr>
                  <w:r>
                    <w:rPr>
                      <w:rFonts w:hint="eastAsia" w:ascii="Times New Roman" w:hAnsi="Times New Roman" w:cs="Times New Roman"/>
                      <w:szCs w:val="21"/>
                    </w:rPr>
                    <w:t>160</w:t>
                  </w:r>
                </w:p>
              </w:tc>
              <w:tc>
                <w:tcPr>
                  <w:tcW w:w="463" w:type="pct"/>
                  <w:tcBorders>
                    <w:tl2br w:val="nil"/>
                    <w:tr2bl w:val="nil"/>
                  </w:tcBorders>
                  <w:tcMar>
                    <w:top w:w="0" w:type="dxa"/>
                    <w:left w:w="0" w:type="dxa"/>
                    <w:bottom w:w="0" w:type="dxa"/>
                    <w:right w:w="0" w:type="dxa"/>
                  </w:tcMar>
                  <w:vAlign w:val="center"/>
                </w:tcPr>
                <w:p w14:paraId="509A2A7F">
                  <w:pPr>
                    <w:jc w:val="center"/>
                    <w:rPr>
                      <w:rFonts w:ascii="Times New Roman" w:hAnsi="Times New Roman" w:cs="Times New Roman"/>
                      <w:szCs w:val="21"/>
                    </w:rPr>
                  </w:pPr>
                  <w:r>
                    <w:rPr>
                      <w:rFonts w:hint="eastAsia" w:ascii="Times New Roman" w:hAnsi="Times New Roman" w:cs="Times New Roman"/>
                      <w:szCs w:val="21"/>
                    </w:rPr>
                    <w:t>居民</w:t>
                  </w:r>
                </w:p>
              </w:tc>
              <w:tc>
                <w:tcPr>
                  <w:tcW w:w="344" w:type="pct"/>
                  <w:tcBorders>
                    <w:tl2br w:val="nil"/>
                    <w:tr2bl w:val="nil"/>
                  </w:tcBorders>
                  <w:tcMar>
                    <w:top w:w="0" w:type="dxa"/>
                    <w:left w:w="0" w:type="dxa"/>
                    <w:bottom w:w="0" w:type="dxa"/>
                    <w:right w:w="0" w:type="dxa"/>
                  </w:tcMar>
                  <w:vAlign w:val="center"/>
                </w:tcPr>
                <w:p w14:paraId="6C01F30E">
                  <w:pPr>
                    <w:jc w:val="center"/>
                    <w:rPr>
                      <w:rFonts w:hint="default" w:ascii="Times New Roman" w:hAnsi="Times New Roman" w:cs="Times New Roman" w:eastAsiaTheme="minorEastAsia"/>
                      <w:color w:val="FF0000"/>
                      <w:szCs w:val="21"/>
                      <w:lang w:val="en-US" w:eastAsia="zh-CN"/>
                    </w:rPr>
                  </w:pPr>
                  <w:r>
                    <w:rPr>
                      <w:rFonts w:hint="eastAsia" w:ascii="Times New Roman" w:hAnsi="Times New Roman" w:cs="Times New Roman"/>
                      <w:color w:val="FF0000"/>
                      <w:szCs w:val="21"/>
                      <w:lang w:val="en-US" w:eastAsia="zh-CN"/>
                    </w:rPr>
                    <w:t>2570</w:t>
                  </w:r>
                </w:p>
              </w:tc>
              <w:tc>
                <w:tcPr>
                  <w:tcW w:w="965" w:type="pct"/>
                  <w:vMerge w:val="continue"/>
                  <w:tcBorders>
                    <w:tl2br w:val="nil"/>
                    <w:tr2bl w:val="nil"/>
                  </w:tcBorders>
                  <w:tcMar>
                    <w:top w:w="0" w:type="dxa"/>
                    <w:left w:w="0" w:type="dxa"/>
                    <w:bottom w:w="0" w:type="dxa"/>
                    <w:right w:w="0" w:type="dxa"/>
                  </w:tcMar>
                  <w:vAlign w:val="center"/>
                </w:tcPr>
                <w:p w14:paraId="3DBCD1F8">
                  <w:pPr>
                    <w:jc w:val="center"/>
                    <w:rPr>
                      <w:rFonts w:ascii="Times New Roman" w:hAnsi="Times New Roman" w:cs="Times New Roman"/>
                      <w:szCs w:val="21"/>
                    </w:rPr>
                  </w:pPr>
                </w:p>
              </w:tc>
            </w:tr>
            <w:tr w14:paraId="51D240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280" w:type="pct"/>
                  <w:vMerge w:val="continue"/>
                  <w:tcBorders>
                    <w:tl2br w:val="nil"/>
                    <w:tr2bl w:val="nil"/>
                  </w:tcBorders>
                  <w:tcMar>
                    <w:top w:w="0" w:type="dxa"/>
                    <w:left w:w="0" w:type="dxa"/>
                    <w:bottom w:w="0" w:type="dxa"/>
                    <w:right w:w="0" w:type="dxa"/>
                  </w:tcMar>
                  <w:vAlign w:val="center"/>
                </w:tcPr>
                <w:p w14:paraId="71CB16F4">
                  <w:pPr>
                    <w:jc w:val="center"/>
                    <w:rPr>
                      <w:rFonts w:ascii="Times New Roman" w:hAnsi="Times New Roman" w:cs="Times New Roman"/>
                      <w:szCs w:val="21"/>
                    </w:rPr>
                  </w:pPr>
                </w:p>
              </w:tc>
              <w:tc>
                <w:tcPr>
                  <w:tcW w:w="460" w:type="pct"/>
                  <w:tcBorders>
                    <w:tl2br w:val="nil"/>
                    <w:tr2bl w:val="nil"/>
                  </w:tcBorders>
                  <w:tcMar>
                    <w:top w:w="0" w:type="dxa"/>
                    <w:left w:w="0" w:type="dxa"/>
                    <w:bottom w:w="0" w:type="dxa"/>
                    <w:right w:w="0" w:type="dxa"/>
                  </w:tcMar>
                  <w:vAlign w:val="center"/>
                </w:tcPr>
                <w:p w14:paraId="16B1424C">
                  <w:pPr>
                    <w:jc w:val="center"/>
                    <w:rPr>
                      <w:rFonts w:ascii="Times New Roman" w:hAnsi="Times New Roman" w:cs="Times New Roman"/>
                      <w:szCs w:val="21"/>
                    </w:rPr>
                  </w:pPr>
                  <w:r>
                    <w:rPr>
                      <w:rFonts w:hint="eastAsia" w:ascii="Times New Roman" w:hAnsi="Times New Roman" w:cs="Times New Roman"/>
                      <w:szCs w:val="21"/>
                    </w:rPr>
                    <w:t>E米阳光小区</w:t>
                  </w:r>
                </w:p>
              </w:tc>
              <w:tc>
                <w:tcPr>
                  <w:tcW w:w="861" w:type="pct"/>
                  <w:tcBorders>
                    <w:tl2br w:val="nil"/>
                    <w:tr2bl w:val="nil"/>
                  </w:tcBorders>
                  <w:vAlign w:val="center"/>
                </w:tcPr>
                <w:p w14:paraId="277E187B">
                  <w:pPr>
                    <w:jc w:val="center"/>
                    <w:rPr>
                      <w:rFonts w:ascii="Times New Roman" w:hAnsi="Times New Roman" w:cs="Times New Roman"/>
                      <w:szCs w:val="21"/>
                    </w:rPr>
                  </w:pPr>
                  <w:r>
                    <w:rPr>
                      <w:rFonts w:ascii="Times New Roman" w:hAnsi="Times New Roman" w:cs="Times New Roman"/>
                      <w:szCs w:val="21"/>
                    </w:rPr>
                    <w:t>34.36556228</w:t>
                  </w:r>
                </w:p>
              </w:tc>
              <w:tc>
                <w:tcPr>
                  <w:tcW w:w="969" w:type="pct"/>
                  <w:tcBorders>
                    <w:tl2br w:val="nil"/>
                    <w:tr2bl w:val="nil"/>
                  </w:tcBorders>
                  <w:vAlign w:val="center"/>
                </w:tcPr>
                <w:p w14:paraId="74C6D409">
                  <w:pPr>
                    <w:jc w:val="center"/>
                    <w:rPr>
                      <w:rFonts w:ascii="Times New Roman" w:hAnsi="Times New Roman" w:cs="Times New Roman"/>
                      <w:szCs w:val="21"/>
                    </w:rPr>
                  </w:pPr>
                  <w:r>
                    <w:rPr>
                      <w:rFonts w:ascii="Times New Roman" w:hAnsi="Times New Roman" w:cs="Times New Roman"/>
                      <w:szCs w:val="21"/>
                    </w:rPr>
                    <w:t>107.09425834</w:t>
                  </w:r>
                </w:p>
              </w:tc>
              <w:tc>
                <w:tcPr>
                  <w:tcW w:w="355" w:type="pct"/>
                  <w:tcBorders>
                    <w:tl2br w:val="nil"/>
                    <w:tr2bl w:val="nil"/>
                  </w:tcBorders>
                  <w:tcMar>
                    <w:top w:w="0" w:type="dxa"/>
                    <w:left w:w="0" w:type="dxa"/>
                    <w:bottom w:w="0" w:type="dxa"/>
                    <w:right w:w="0" w:type="dxa"/>
                  </w:tcMar>
                  <w:vAlign w:val="center"/>
                </w:tcPr>
                <w:p w14:paraId="1851BF59">
                  <w:pPr>
                    <w:jc w:val="center"/>
                    <w:rPr>
                      <w:rFonts w:ascii="Times New Roman" w:hAnsi="Times New Roman" w:cs="Times New Roman"/>
                      <w:szCs w:val="21"/>
                    </w:rPr>
                  </w:pPr>
                  <w:r>
                    <w:rPr>
                      <w:rFonts w:hint="eastAsia" w:ascii="Times New Roman" w:hAnsi="Times New Roman" w:cs="Times New Roman"/>
                      <w:szCs w:val="21"/>
                    </w:rPr>
                    <w:t>NE</w:t>
                  </w:r>
                </w:p>
              </w:tc>
              <w:tc>
                <w:tcPr>
                  <w:tcW w:w="301" w:type="pct"/>
                  <w:tcBorders>
                    <w:tl2br w:val="nil"/>
                    <w:tr2bl w:val="nil"/>
                  </w:tcBorders>
                  <w:tcMar>
                    <w:top w:w="0" w:type="dxa"/>
                    <w:left w:w="0" w:type="dxa"/>
                    <w:bottom w:w="0" w:type="dxa"/>
                    <w:right w:w="0" w:type="dxa"/>
                  </w:tcMar>
                  <w:vAlign w:val="center"/>
                </w:tcPr>
                <w:p w14:paraId="5B7A9A35">
                  <w:pPr>
                    <w:jc w:val="center"/>
                    <w:rPr>
                      <w:rFonts w:ascii="Times New Roman" w:hAnsi="Times New Roman" w:cs="Times New Roman"/>
                      <w:szCs w:val="21"/>
                    </w:rPr>
                  </w:pPr>
                  <w:r>
                    <w:rPr>
                      <w:rFonts w:hint="eastAsia" w:ascii="Times New Roman" w:hAnsi="Times New Roman" w:cs="Times New Roman"/>
                      <w:szCs w:val="21"/>
                    </w:rPr>
                    <w:t>230</w:t>
                  </w:r>
                </w:p>
              </w:tc>
              <w:tc>
                <w:tcPr>
                  <w:tcW w:w="463" w:type="pct"/>
                  <w:tcBorders>
                    <w:tl2br w:val="nil"/>
                    <w:tr2bl w:val="nil"/>
                  </w:tcBorders>
                  <w:tcMar>
                    <w:top w:w="0" w:type="dxa"/>
                    <w:left w:w="0" w:type="dxa"/>
                    <w:bottom w:w="0" w:type="dxa"/>
                    <w:right w:w="0" w:type="dxa"/>
                  </w:tcMar>
                  <w:vAlign w:val="center"/>
                </w:tcPr>
                <w:p w14:paraId="26D0B2DD">
                  <w:pPr>
                    <w:jc w:val="center"/>
                    <w:rPr>
                      <w:rFonts w:ascii="Times New Roman" w:hAnsi="Times New Roman" w:cs="Times New Roman"/>
                      <w:szCs w:val="21"/>
                    </w:rPr>
                  </w:pPr>
                  <w:r>
                    <w:rPr>
                      <w:rFonts w:hint="eastAsia" w:ascii="Times New Roman" w:hAnsi="Times New Roman" w:cs="Times New Roman"/>
                      <w:szCs w:val="21"/>
                    </w:rPr>
                    <w:t>居民</w:t>
                  </w:r>
                </w:p>
              </w:tc>
              <w:tc>
                <w:tcPr>
                  <w:tcW w:w="344" w:type="pct"/>
                  <w:tcBorders>
                    <w:tl2br w:val="nil"/>
                    <w:tr2bl w:val="nil"/>
                  </w:tcBorders>
                  <w:tcMar>
                    <w:top w:w="0" w:type="dxa"/>
                    <w:left w:w="0" w:type="dxa"/>
                    <w:bottom w:w="0" w:type="dxa"/>
                    <w:right w:w="0" w:type="dxa"/>
                  </w:tcMar>
                  <w:vAlign w:val="center"/>
                </w:tcPr>
                <w:p w14:paraId="0008F516">
                  <w:pPr>
                    <w:jc w:val="center"/>
                    <w:rPr>
                      <w:rFonts w:hint="default" w:ascii="Times New Roman" w:hAnsi="Times New Roman" w:cs="Times New Roman" w:eastAsiaTheme="minorEastAsia"/>
                      <w:color w:val="FF0000"/>
                      <w:szCs w:val="21"/>
                      <w:lang w:val="en-US" w:eastAsia="zh-CN"/>
                    </w:rPr>
                  </w:pPr>
                  <w:r>
                    <w:rPr>
                      <w:rFonts w:hint="eastAsia" w:ascii="Times New Roman" w:hAnsi="Times New Roman" w:cs="Times New Roman"/>
                      <w:color w:val="FF0000"/>
                      <w:szCs w:val="21"/>
                      <w:lang w:val="en-US" w:eastAsia="zh-CN"/>
                    </w:rPr>
                    <w:t>1087</w:t>
                  </w:r>
                </w:p>
              </w:tc>
              <w:tc>
                <w:tcPr>
                  <w:tcW w:w="965" w:type="pct"/>
                  <w:vMerge w:val="continue"/>
                  <w:tcBorders>
                    <w:tl2br w:val="nil"/>
                    <w:tr2bl w:val="nil"/>
                  </w:tcBorders>
                  <w:tcMar>
                    <w:top w:w="0" w:type="dxa"/>
                    <w:left w:w="0" w:type="dxa"/>
                    <w:bottom w:w="0" w:type="dxa"/>
                    <w:right w:w="0" w:type="dxa"/>
                  </w:tcMar>
                  <w:vAlign w:val="center"/>
                </w:tcPr>
                <w:p w14:paraId="32D309D9">
                  <w:pPr>
                    <w:jc w:val="center"/>
                    <w:rPr>
                      <w:rFonts w:ascii="Times New Roman" w:hAnsi="Times New Roman" w:cs="Times New Roman"/>
                      <w:szCs w:val="21"/>
                    </w:rPr>
                  </w:pPr>
                </w:p>
              </w:tc>
            </w:tr>
            <w:tr w14:paraId="3DF07A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280" w:type="pct"/>
                  <w:vMerge w:val="continue"/>
                  <w:tcBorders>
                    <w:tl2br w:val="nil"/>
                    <w:tr2bl w:val="nil"/>
                  </w:tcBorders>
                  <w:tcMar>
                    <w:top w:w="0" w:type="dxa"/>
                    <w:left w:w="0" w:type="dxa"/>
                    <w:bottom w:w="0" w:type="dxa"/>
                    <w:right w:w="0" w:type="dxa"/>
                  </w:tcMar>
                  <w:vAlign w:val="center"/>
                </w:tcPr>
                <w:p w14:paraId="3E584DE9">
                  <w:pPr>
                    <w:jc w:val="center"/>
                    <w:rPr>
                      <w:rFonts w:ascii="Times New Roman" w:hAnsi="Times New Roman" w:cs="Times New Roman"/>
                      <w:szCs w:val="21"/>
                    </w:rPr>
                  </w:pPr>
                </w:p>
              </w:tc>
              <w:tc>
                <w:tcPr>
                  <w:tcW w:w="460" w:type="pct"/>
                  <w:tcBorders>
                    <w:tl2br w:val="nil"/>
                    <w:tr2bl w:val="nil"/>
                  </w:tcBorders>
                  <w:tcMar>
                    <w:top w:w="0" w:type="dxa"/>
                    <w:left w:w="0" w:type="dxa"/>
                    <w:bottom w:w="0" w:type="dxa"/>
                    <w:right w:w="0" w:type="dxa"/>
                  </w:tcMar>
                  <w:vAlign w:val="center"/>
                </w:tcPr>
                <w:p w14:paraId="1841D185">
                  <w:pPr>
                    <w:jc w:val="center"/>
                    <w:rPr>
                      <w:rFonts w:ascii="Times New Roman" w:hAnsi="Times New Roman" w:cs="Times New Roman"/>
                      <w:szCs w:val="21"/>
                    </w:rPr>
                  </w:pPr>
                  <w:r>
                    <w:rPr>
                      <w:rFonts w:hint="eastAsia" w:ascii="Times New Roman" w:hAnsi="Times New Roman" w:cs="Times New Roman"/>
                      <w:szCs w:val="21"/>
                    </w:rPr>
                    <w:t>铭尚西域印象</w:t>
                  </w:r>
                </w:p>
              </w:tc>
              <w:tc>
                <w:tcPr>
                  <w:tcW w:w="861" w:type="pct"/>
                  <w:tcBorders>
                    <w:tl2br w:val="nil"/>
                    <w:tr2bl w:val="nil"/>
                  </w:tcBorders>
                  <w:vAlign w:val="center"/>
                </w:tcPr>
                <w:p w14:paraId="12331ACC">
                  <w:pPr>
                    <w:jc w:val="center"/>
                    <w:rPr>
                      <w:rFonts w:ascii="Times New Roman" w:hAnsi="Times New Roman" w:cs="Times New Roman"/>
                      <w:szCs w:val="21"/>
                    </w:rPr>
                  </w:pPr>
                  <w:r>
                    <w:rPr>
                      <w:rFonts w:ascii="Times New Roman" w:hAnsi="Times New Roman" w:cs="Times New Roman"/>
                      <w:szCs w:val="21"/>
                    </w:rPr>
                    <w:t>34.36536798</w:t>
                  </w:r>
                </w:p>
              </w:tc>
              <w:tc>
                <w:tcPr>
                  <w:tcW w:w="969" w:type="pct"/>
                  <w:tcBorders>
                    <w:tl2br w:val="nil"/>
                    <w:tr2bl w:val="nil"/>
                  </w:tcBorders>
                  <w:vAlign w:val="center"/>
                </w:tcPr>
                <w:p w14:paraId="3645AFAE">
                  <w:pPr>
                    <w:jc w:val="center"/>
                    <w:rPr>
                      <w:rFonts w:ascii="Times New Roman" w:hAnsi="Times New Roman" w:cs="Times New Roman"/>
                      <w:szCs w:val="21"/>
                    </w:rPr>
                  </w:pPr>
                  <w:r>
                    <w:rPr>
                      <w:rFonts w:ascii="Times New Roman" w:hAnsi="Times New Roman" w:cs="Times New Roman"/>
                      <w:szCs w:val="21"/>
                    </w:rPr>
                    <w:t>107.09604136</w:t>
                  </w:r>
                </w:p>
              </w:tc>
              <w:tc>
                <w:tcPr>
                  <w:tcW w:w="355" w:type="pct"/>
                  <w:tcBorders>
                    <w:tl2br w:val="nil"/>
                    <w:tr2bl w:val="nil"/>
                  </w:tcBorders>
                  <w:tcMar>
                    <w:top w:w="0" w:type="dxa"/>
                    <w:left w:w="0" w:type="dxa"/>
                    <w:bottom w:w="0" w:type="dxa"/>
                    <w:right w:w="0" w:type="dxa"/>
                  </w:tcMar>
                  <w:vAlign w:val="center"/>
                </w:tcPr>
                <w:p w14:paraId="24B8E9C7">
                  <w:pPr>
                    <w:jc w:val="center"/>
                    <w:rPr>
                      <w:rFonts w:ascii="Times New Roman" w:hAnsi="Times New Roman" w:cs="Times New Roman"/>
                      <w:szCs w:val="21"/>
                    </w:rPr>
                  </w:pPr>
                  <w:r>
                    <w:rPr>
                      <w:rFonts w:hint="eastAsia" w:ascii="Times New Roman" w:hAnsi="Times New Roman" w:cs="Times New Roman"/>
                      <w:szCs w:val="21"/>
                    </w:rPr>
                    <w:t>NE</w:t>
                  </w:r>
                </w:p>
              </w:tc>
              <w:tc>
                <w:tcPr>
                  <w:tcW w:w="301" w:type="pct"/>
                  <w:tcBorders>
                    <w:tl2br w:val="nil"/>
                    <w:tr2bl w:val="nil"/>
                  </w:tcBorders>
                  <w:tcMar>
                    <w:top w:w="0" w:type="dxa"/>
                    <w:left w:w="0" w:type="dxa"/>
                    <w:bottom w:w="0" w:type="dxa"/>
                    <w:right w:w="0" w:type="dxa"/>
                  </w:tcMar>
                  <w:vAlign w:val="center"/>
                </w:tcPr>
                <w:p w14:paraId="72C110AE">
                  <w:pPr>
                    <w:jc w:val="center"/>
                    <w:rPr>
                      <w:rFonts w:ascii="Times New Roman" w:hAnsi="Times New Roman" w:cs="Times New Roman"/>
                      <w:szCs w:val="21"/>
                    </w:rPr>
                  </w:pPr>
                  <w:r>
                    <w:rPr>
                      <w:rFonts w:hint="eastAsia" w:ascii="Times New Roman" w:hAnsi="Times New Roman" w:cs="Times New Roman"/>
                      <w:szCs w:val="21"/>
                    </w:rPr>
                    <w:t>370</w:t>
                  </w:r>
                </w:p>
              </w:tc>
              <w:tc>
                <w:tcPr>
                  <w:tcW w:w="463" w:type="pct"/>
                  <w:tcBorders>
                    <w:tl2br w:val="nil"/>
                    <w:tr2bl w:val="nil"/>
                  </w:tcBorders>
                  <w:tcMar>
                    <w:top w:w="0" w:type="dxa"/>
                    <w:left w:w="0" w:type="dxa"/>
                    <w:bottom w:w="0" w:type="dxa"/>
                    <w:right w:w="0" w:type="dxa"/>
                  </w:tcMar>
                  <w:vAlign w:val="center"/>
                </w:tcPr>
                <w:p w14:paraId="1A791608">
                  <w:pPr>
                    <w:jc w:val="center"/>
                    <w:rPr>
                      <w:rFonts w:ascii="Times New Roman" w:hAnsi="Times New Roman" w:cs="Times New Roman"/>
                      <w:szCs w:val="21"/>
                    </w:rPr>
                  </w:pPr>
                  <w:r>
                    <w:rPr>
                      <w:rFonts w:ascii="Times New Roman" w:hAnsi="Times New Roman" w:cs="Times New Roman"/>
                      <w:szCs w:val="21"/>
                    </w:rPr>
                    <w:t>居民</w:t>
                  </w:r>
                </w:p>
              </w:tc>
              <w:tc>
                <w:tcPr>
                  <w:tcW w:w="344" w:type="pct"/>
                  <w:tcBorders>
                    <w:tl2br w:val="nil"/>
                    <w:tr2bl w:val="nil"/>
                  </w:tcBorders>
                  <w:tcMar>
                    <w:top w:w="0" w:type="dxa"/>
                    <w:left w:w="0" w:type="dxa"/>
                    <w:bottom w:w="0" w:type="dxa"/>
                    <w:right w:w="0" w:type="dxa"/>
                  </w:tcMar>
                  <w:vAlign w:val="center"/>
                </w:tcPr>
                <w:p w14:paraId="10D17F14">
                  <w:pPr>
                    <w:jc w:val="center"/>
                    <w:rPr>
                      <w:rFonts w:hint="default" w:ascii="Times New Roman" w:hAnsi="Times New Roman" w:cs="Times New Roman" w:eastAsiaTheme="minorEastAsia"/>
                      <w:color w:val="FF0000"/>
                      <w:szCs w:val="21"/>
                      <w:lang w:val="en-US" w:eastAsia="zh-CN"/>
                    </w:rPr>
                  </w:pPr>
                  <w:r>
                    <w:rPr>
                      <w:rFonts w:hint="eastAsia" w:ascii="Times New Roman" w:hAnsi="Times New Roman" w:cs="Times New Roman"/>
                      <w:color w:val="FF0000"/>
                      <w:szCs w:val="21"/>
                      <w:lang w:val="en-US" w:eastAsia="zh-CN"/>
                    </w:rPr>
                    <w:t>1200</w:t>
                  </w:r>
                </w:p>
              </w:tc>
              <w:tc>
                <w:tcPr>
                  <w:tcW w:w="965" w:type="pct"/>
                  <w:vMerge w:val="continue"/>
                  <w:tcBorders>
                    <w:tl2br w:val="nil"/>
                    <w:tr2bl w:val="nil"/>
                  </w:tcBorders>
                  <w:tcMar>
                    <w:top w:w="0" w:type="dxa"/>
                    <w:left w:w="0" w:type="dxa"/>
                    <w:bottom w:w="0" w:type="dxa"/>
                    <w:right w:w="0" w:type="dxa"/>
                  </w:tcMar>
                  <w:vAlign w:val="center"/>
                </w:tcPr>
                <w:p w14:paraId="217F8974">
                  <w:pPr>
                    <w:jc w:val="center"/>
                    <w:rPr>
                      <w:rFonts w:ascii="Times New Roman" w:hAnsi="Times New Roman" w:cs="Times New Roman"/>
                      <w:szCs w:val="21"/>
                    </w:rPr>
                  </w:pPr>
                </w:p>
              </w:tc>
            </w:tr>
          </w:tbl>
          <w:p w14:paraId="312C284D">
            <w:pPr>
              <w:pStyle w:val="12"/>
              <w:spacing w:line="420" w:lineRule="exact"/>
              <w:ind w:firstLine="480" w:firstLineChars="200"/>
              <w:rPr>
                <w:rFonts w:ascii="Times New Roman" w:hAnsi="Times New Roman" w:eastAsia="宋体" w:cs="Times New Roman"/>
                <w:kern w:val="0"/>
                <w:szCs w:val="21"/>
              </w:rPr>
            </w:pPr>
          </w:p>
        </w:tc>
      </w:tr>
      <w:tr w14:paraId="6BD8CC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0" w:hRule="atLeast"/>
          <w:jc w:val="center"/>
        </w:trPr>
        <w:tc>
          <w:tcPr>
            <w:tcW w:w="443" w:type="pct"/>
            <w:tcBorders>
              <w:top w:val="single" w:color="auto" w:sz="4" w:space="0"/>
              <w:left w:val="single" w:color="auto" w:sz="8" w:space="0"/>
              <w:bottom w:val="single" w:color="auto" w:sz="4" w:space="0"/>
              <w:right w:val="single" w:color="auto" w:sz="4" w:space="0"/>
            </w:tcBorders>
            <w:shd w:val="clear" w:color="auto" w:fill="auto"/>
            <w:tcMar>
              <w:left w:w="28" w:type="dxa"/>
              <w:right w:w="28" w:type="dxa"/>
            </w:tcMar>
            <w:vAlign w:val="center"/>
          </w:tcPr>
          <w:p w14:paraId="4BFD2718">
            <w:pPr>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lang w:bidi="ar"/>
              </w:rPr>
              <w:t>污染</w:t>
            </w:r>
          </w:p>
          <w:p w14:paraId="51AB2C75">
            <w:pPr>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lang w:bidi="ar"/>
              </w:rPr>
              <w:t>物排</w:t>
            </w:r>
          </w:p>
          <w:p w14:paraId="0206A3C4">
            <w:pPr>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lang w:bidi="ar"/>
              </w:rPr>
              <w:t>放控</w:t>
            </w:r>
          </w:p>
          <w:p w14:paraId="4518B8D0">
            <w:pPr>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lang w:bidi="ar"/>
              </w:rPr>
              <w:t>制标</w:t>
            </w:r>
          </w:p>
          <w:p w14:paraId="464E658C">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 w:val="24"/>
                <w:lang w:bidi="ar"/>
              </w:rPr>
              <w:t>准</w:t>
            </w:r>
          </w:p>
        </w:tc>
        <w:tc>
          <w:tcPr>
            <w:tcW w:w="4556" w:type="pct"/>
            <w:tcBorders>
              <w:top w:val="single" w:color="auto" w:sz="4" w:space="0"/>
              <w:left w:val="single" w:color="auto" w:sz="4" w:space="0"/>
              <w:bottom w:val="single" w:color="auto" w:sz="4" w:space="0"/>
              <w:right w:val="single" w:color="auto" w:sz="8" w:space="0"/>
            </w:tcBorders>
            <w:shd w:val="clear" w:color="auto" w:fill="auto"/>
            <w:vAlign w:val="center"/>
          </w:tcPr>
          <w:p w14:paraId="63C318C9">
            <w:pPr>
              <w:numPr>
                <w:ilvl w:val="0"/>
                <w:numId w:val="4"/>
              </w:numPr>
              <w:adjustRightInd w:val="0"/>
              <w:snapToGrid w:val="0"/>
              <w:spacing w:line="360" w:lineRule="auto"/>
              <w:ind w:firstLine="422"/>
              <w:rPr>
                <w:rFonts w:ascii="Times New Roman" w:hAnsi="Times New Roman" w:eastAsia="新宋体" w:cs="Times New Roman"/>
                <w:b/>
                <w:bCs/>
                <w:sz w:val="24"/>
              </w:rPr>
            </w:pPr>
            <w:r>
              <w:rPr>
                <w:rFonts w:ascii="Times New Roman" w:hAnsi="Times New Roman" w:eastAsia="新宋体" w:cs="Times New Roman"/>
                <w:b/>
                <w:bCs/>
                <w:sz w:val="24"/>
              </w:rPr>
              <w:t>废气</w:t>
            </w:r>
          </w:p>
          <w:p w14:paraId="50CEF78B">
            <w:pPr>
              <w:adjustRightInd w:val="0"/>
              <w:snapToGrid w:val="0"/>
              <w:spacing w:line="360" w:lineRule="auto"/>
              <w:ind w:firstLine="480" w:firstLineChars="200"/>
              <w:rPr>
                <w:rFonts w:ascii="Times New Roman" w:hAnsi="Times New Roman" w:cs="Times New Roman"/>
                <w:kern w:val="0"/>
                <w:sz w:val="24"/>
                <w:lang w:val="pt-BR"/>
              </w:rPr>
            </w:pPr>
            <w:r>
              <w:rPr>
                <w:rFonts w:ascii="Times New Roman" w:hAnsi="Times New Roman" w:cs="Times New Roman"/>
                <w:kern w:val="0"/>
                <w:sz w:val="24"/>
              </w:rPr>
              <w:t>①</w:t>
            </w:r>
            <w:r>
              <w:rPr>
                <w:rFonts w:hint="eastAsia" w:ascii="Times New Roman" w:hAnsi="Times New Roman" w:cs="Times New Roman"/>
                <w:kern w:val="0"/>
                <w:sz w:val="24"/>
              </w:rPr>
              <w:t>喷砂工序</w:t>
            </w:r>
            <w:r>
              <w:rPr>
                <w:rFonts w:ascii="Times New Roman" w:hAnsi="Times New Roman" w:cs="Times New Roman"/>
                <w:kern w:val="0"/>
                <w:sz w:val="24"/>
              </w:rPr>
              <w:t>颗粒物排放执行《大气污染物综合排放标准》（GB16297-1996）中</w:t>
            </w:r>
            <w:r>
              <w:rPr>
                <w:rFonts w:hint="eastAsia" w:ascii="Times New Roman" w:hAnsi="Times New Roman" w:cs="Times New Roman"/>
                <w:kern w:val="0"/>
                <w:sz w:val="24"/>
              </w:rPr>
              <w:t>表2</w:t>
            </w:r>
            <w:r>
              <w:rPr>
                <w:rFonts w:ascii="Times New Roman" w:hAnsi="Times New Roman" w:cs="Times New Roman"/>
                <w:kern w:val="0"/>
                <w:sz w:val="24"/>
              </w:rPr>
              <w:t>的二级标准</w:t>
            </w:r>
            <w:r>
              <w:rPr>
                <w:rFonts w:hint="eastAsia" w:ascii="Times New Roman" w:hAnsi="Times New Roman" w:cs="Times New Roman"/>
                <w:kern w:val="0"/>
                <w:sz w:val="24"/>
              </w:rPr>
              <w:t>以及无组织排放限值</w:t>
            </w:r>
            <w:r>
              <w:rPr>
                <w:rFonts w:ascii="Times New Roman" w:hAnsi="Times New Roman" w:cs="Times New Roman"/>
                <w:kern w:val="0"/>
                <w:sz w:val="24"/>
              </w:rPr>
              <w:t>要求</w:t>
            </w:r>
            <w:r>
              <w:rPr>
                <w:rFonts w:ascii="Times New Roman" w:hAnsi="Times New Roman" w:cs="Times New Roman"/>
                <w:kern w:val="0"/>
                <w:sz w:val="24"/>
                <w:lang w:val="pt-BR"/>
              </w:rPr>
              <w:t>。</w:t>
            </w:r>
          </w:p>
          <w:p w14:paraId="5B41C6B3">
            <w:pPr>
              <w:adjustRightInd w:val="0"/>
              <w:snapToGrid w:val="0"/>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lang w:val="pt-BR"/>
              </w:rPr>
              <w:t>②</w:t>
            </w:r>
            <w:r>
              <w:rPr>
                <w:rFonts w:ascii="Times New Roman" w:hAnsi="Times New Roman" w:cs="Times New Roman"/>
                <w:kern w:val="0"/>
                <w:sz w:val="24"/>
              </w:rPr>
              <w:t>喷</w:t>
            </w:r>
            <w:r>
              <w:rPr>
                <w:rFonts w:hint="eastAsia" w:ascii="Times New Roman" w:hAnsi="Times New Roman" w:cs="Times New Roman"/>
                <w:kern w:val="0"/>
                <w:sz w:val="24"/>
              </w:rPr>
              <w:t>漆</w:t>
            </w:r>
            <w:r>
              <w:rPr>
                <w:rFonts w:ascii="Times New Roman" w:hAnsi="Times New Roman" w:cs="Times New Roman"/>
                <w:kern w:val="0"/>
                <w:sz w:val="24"/>
              </w:rPr>
              <w:t>工序漆雾颗粒执行《大气污染物综合排放标准》（GB16297-1996）中表2的二级排放标准要求以及无组织排放限值；喷</w:t>
            </w:r>
            <w:r>
              <w:rPr>
                <w:rFonts w:hint="eastAsia" w:ascii="Times New Roman" w:hAnsi="Times New Roman" w:cs="Times New Roman"/>
                <w:kern w:val="0"/>
                <w:sz w:val="24"/>
              </w:rPr>
              <w:t>漆</w:t>
            </w:r>
            <w:r>
              <w:rPr>
                <w:rFonts w:hint="eastAsia"/>
                <w:sz w:val="24"/>
              </w:rPr>
              <w:t>及烘干</w:t>
            </w:r>
            <w:r>
              <w:rPr>
                <w:rFonts w:ascii="Times New Roman" w:hAnsi="Times New Roman" w:cs="Times New Roman"/>
                <w:kern w:val="0"/>
                <w:sz w:val="24"/>
              </w:rPr>
              <w:t>过程中产生的非甲烷总烃排放执行《挥发性有机物排放控制标准》（DB61/T1061-2017）中表面涂装的相关标准以及无组织排放限值。</w:t>
            </w:r>
          </w:p>
          <w:p w14:paraId="2153F934">
            <w:pPr>
              <w:adjustRightInd w:val="0"/>
              <w:snapToGrid w:val="0"/>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③厂界无组织非甲烷总烃执行《挥发性有机物排放控制标准》（DB61/T1061-2017）中无组织相关排放标准；厂区内无组织非甲烷总烃排放执行《挥发性有机物无组织排放控制标准》（GB37822-2019）中厂区内VOCs无组织特别排放限值；厂界无组织颗粒物执行《大气污染物综合排放标准》（GB16297-1996）表2中无组织相关排放标准。</w:t>
            </w:r>
          </w:p>
          <w:p w14:paraId="1F0A2F1D">
            <w:pPr>
              <w:adjustRightInd w:val="0"/>
              <w:snapToGrid w:val="0"/>
              <w:jc w:val="center"/>
              <w:rPr>
                <w:rFonts w:ascii="Times New Roman" w:hAnsi="Times New Roman" w:cs="Times New Roman"/>
                <w:b/>
                <w:szCs w:val="21"/>
                <w:vertAlign w:val="superscript"/>
              </w:rPr>
            </w:pPr>
            <w:r>
              <w:rPr>
                <w:rFonts w:ascii="Times New Roman" w:hAnsi="Times New Roman" w:cs="Times New Roman"/>
                <w:b/>
                <w:szCs w:val="21"/>
              </w:rPr>
              <w:t>表3-</w:t>
            </w:r>
            <w:r>
              <w:rPr>
                <w:rFonts w:hint="eastAsia" w:ascii="Times New Roman" w:hAnsi="Times New Roman" w:cs="Times New Roman"/>
                <w:b/>
                <w:szCs w:val="21"/>
              </w:rPr>
              <w:t xml:space="preserve">6  </w:t>
            </w:r>
            <w:r>
              <w:rPr>
                <w:rFonts w:ascii="Times New Roman" w:hAnsi="Times New Roman" w:cs="Times New Roman"/>
                <w:b/>
                <w:szCs w:val="21"/>
              </w:rPr>
              <w:t xml:space="preserve">  </w:t>
            </w:r>
            <w:r>
              <w:rPr>
                <w:rFonts w:ascii="Times New Roman" w:hAnsi="Times New Roman" w:cs="Times New Roman"/>
                <w:b/>
                <w:kern w:val="0"/>
                <w:szCs w:val="21"/>
              </w:rPr>
              <w:t>废气排放标准</w:t>
            </w:r>
            <w:r>
              <w:rPr>
                <w:rFonts w:ascii="Times New Roman" w:hAnsi="Times New Roman" w:cs="Times New Roman"/>
                <w:b/>
                <w:szCs w:val="21"/>
              </w:rPr>
              <w:t xml:space="preserve">   单位：mg/m</w:t>
            </w:r>
            <w:r>
              <w:rPr>
                <w:rFonts w:ascii="Times New Roman" w:hAnsi="Times New Roman" w:cs="Times New Roman"/>
                <w:b/>
                <w:szCs w:val="21"/>
                <w:vertAlign w:val="superscript"/>
              </w:rPr>
              <w:t>3</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2330"/>
              <w:gridCol w:w="1458"/>
              <w:gridCol w:w="1361"/>
              <w:gridCol w:w="1778"/>
            </w:tblGrid>
            <w:tr w14:paraId="48E42F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02" w:type="pct"/>
                  <w:tcBorders>
                    <w:bottom w:val="single" w:color="auto" w:sz="12" w:space="0"/>
                  </w:tcBorders>
                  <w:vAlign w:val="center"/>
                </w:tcPr>
                <w:p w14:paraId="4FC45C21">
                  <w:pPr>
                    <w:adjustRightInd w:val="0"/>
                    <w:snapToGrid w:val="0"/>
                    <w:jc w:val="center"/>
                    <w:rPr>
                      <w:rFonts w:ascii="Times New Roman" w:hAnsi="Times New Roman" w:cs="Times New Roman"/>
                      <w:b/>
                      <w:szCs w:val="21"/>
                    </w:rPr>
                  </w:pPr>
                  <w:r>
                    <w:rPr>
                      <w:rFonts w:ascii="Times New Roman" w:hAnsi="Times New Roman" w:cs="Times New Roman"/>
                      <w:b/>
                      <w:szCs w:val="21"/>
                    </w:rPr>
                    <w:t>工序</w:t>
                  </w:r>
                </w:p>
              </w:tc>
              <w:tc>
                <w:tcPr>
                  <w:tcW w:w="1411" w:type="pct"/>
                  <w:tcBorders>
                    <w:bottom w:val="single" w:color="auto" w:sz="12" w:space="0"/>
                  </w:tcBorders>
                  <w:vAlign w:val="center"/>
                </w:tcPr>
                <w:p w14:paraId="6615F8CE">
                  <w:pPr>
                    <w:adjustRightInd w:val="0"/>
                    <w:snapToGrid w:val="0"/>
                    <w:jc w:val="center"/>
                    <w:rPr>
                      <w:rFonts w:ascii="Times New Roman" w:hAnsi="Times New Roman" w:cs="Times New Roman"/>
                      <w:b/>
                      <w:szCs w:val="21"/>
                    </w:rPr>
                  </w:pPr>
                  <w:r>
                    <w:rPr>
                      <w:rFonts w:ascii="Times New Roman" w:hAnsi="Times New Roman" w:cs="Times New Roman"/>
                      <w:b/>
                      <w:szCs w:val="21"/>
                    </w:rPr>
                    <w:t>标准名称</w:t>
                  </w:r>
                </w:p>
              </w:tc>
              <w:tc>
                <w:tcPr>
                  <w:tcW w:w="883" w:type="pct"/>
                  <w:tcBorders>
                    <w:bottom w:val="single" w:color="auto" w:sz="12" w:space="0"/>
                  </w:tcBorders>
                  <w:vAlign w:val="center"/>
                </w:tcPr>
                <w:p w14:paraId="0FB7AAD0">
                  <w:pPr>
                    <w:adjustRightInd w:val="0"/>
                    <w:snapToGrid w:val="0"/>
                    <w:jc w:val="center"/>
                    <w:rPr>
                      <w:rFonts w:ascii="Times New Roman" w:hAnsi="Times New Roman" w:cs="Times New Roman"/>
                      <w:b/>
                      <w:szCs w:val="21"/>
                    </w:rPr>
                  </w:pPr>
                  <w:r>
                    <w:rPr>
                      <w:rFonts w:ascii="Times New Roman" w:hAnsi="Times New Roman" w:cs="Times New Roman"/>
                      <w:b/>
                      <w:szCs w:val="21"/>
                    </w:rPr>
                    <w:t>污染物</w:t>
                  </w:r>
                </w:p>
              </w:tc>
              <w:tc>
                <w:tcPr>
                  <w:tcW w:w="824" w:type="pct"/>
                  <w:tcBorders>
                    <w:bottom w:val="single" w:color="auto" w:sz="12" w:space="0"/>
                  </w:tcBorders>
                  <w:vAlign w:val="center"/>
                </w:tcPr>
                <w:p w14:paraId="008E6A0F">
                  <w:pPr>
                    <w:adjustRightInd w:val="0"/>
                    <w:snapToGrid w:val="0"/>
                    <w:jc w:val="center"/>
                    <w:rPr>
                      <w:rFonts w:ascii="Times New Roman" w:hAnsi="Times New Roman" w:cs="Times New Roman"/>
                      <w:b/>
                      <w:szCs w:val="21"/>
                    </w:rPr>
                  </w:pPr>
                  <w:r>
                    <w:rPr>
                      <w:rFonts w:ascii="Times New Roman" w:hAnsi="Times New Roman" w:cs="Times New Roman"/>
                      <w:b/>
                      <w:szCs w:val="21"/>
                    </w:rPr>
                    <w:t>排放限值</w:t>
                  </w:r>
                </w:p>
              </w:tc>
              <w:tc>
                <w:tcPr>
                  <w:tcW w:w="1077" w:type="pct"/>
                  <w:tcBorders>
                    <w:bottom w:val="single" w:color="auto" w:sz="12" w:space="0"/>
                  </w:tcBorders>
                  <w:vAlign w:val="center"/>
                </w:tcPr>
                <w:p w14:paraId="7177D27A">
                  <w:pPr>
                    <w:adjustRightInd w:val="0"/>
                    <w:snapToGrid w:val="0"/>
                    <w:jc w:val="center"/>
                    <w:rPr>
                      <w:rFonts w:ascii="Times New Roman" w:hAnsi="Times New Roman" w:cs="Times New Roman"/>
                      <w:b/>
                      <w:szCs w:val="21"/>
                    </w:rPr>
                  </w:pPr>
                  <w:r>
                    <w:rPr>
                      <w:rFonts w:ascii="Times New Roman" w:hAnsi="Times New Roman" w:cs="Times New Roman"/>
                      <w:b/>
                      <w:szCs w:val="21"/>
                    </w:rPr>
                    <w:t>监控位置</w:t>
                  </w:r>
                </w:p>
              </w:tc>
            </w:tr>
            <w:tr w14:paraId="1B3580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02" w:type="pct"/>
                  <w:vMerge w:val="restart"/>
                  <w:tcBorders>
                    <w:top w:val="single" w:color="auto" w:sz="12" w:space="0"/>
                    <w:left w:val="nil"/>
                  </w:tcBorders>
                  <w:vAlign w:val="center"/>
                </w:tcPr>
                <w:p w14:paraId="0FBB2C83">
                  <w:pPr>
                    <w:pStyle w:val="8"/>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喷砂</w:t>
                  </w:r>
                </w:p>
              </w:tc>
              <w:tc>
                <w:tcPr>
                  <w:tcW w:w="1411" w:type="pct"/>
                  <w:vMerge w:val="restart"/>
                  <w:tcBorders>
                    <w:top w:val="single" w:color="auto" w:sz="12" w:space="0"/>
                  </w:tcBorders>
                  <w:vAlign w:val="center"/>
                </w:tcPr>
                <w:p w14:paraId="663B2773">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《大气污染物综合排放标准》（GB16297-1996）中的二级标准要求</w:t>
                  </w:r>
                </w:p>
              </w:tc>
              <w:tc>
                <w:tcPr>
                  <w:tcW w:w="883" w:type="pct"/>
                  <w:vMerge w:val="restart"/>
                  <w:tcBorders>
                    <w:top w:val="single" w:color="auto" w:sz="12" w:space="0"/>
                  </w:tcBorders>
                  <w:vAlign w:val="center"/>
                </w:tcPr>
                <w:p w14:paraId="7514F535">
                  <w:pPr>
                    <w:adjustRightInd w:val="0"/>
                    <w:snapToGrid w:val="0"/>
                    <w:jc w:val="center"/>
                    <w:rPr>
                      <w:rFonts w:ascii="Times New Roman" w:hAnsi="Times New Roman" w:cs="Times New Roman"/>
                      <w:bCs/>
                      <w:szCs w:val="21"/>
                    </w:rPr>
                  </w:pPr>
                  <w:r>
                    <w:rPr>
                      <w:rFonts w:ascii="Times New Roman" w:hAnsi="Times New Roman" w:cs="Times New Roman"/>
                      <w:bCs/>
                      <w:szCs w:val="21"/>
                    </w:rPr>
                    <w:t>颗粒物</w:t>
                  </w:r>
                </w:p>
              </w:tc>
              <w:tc>
                <w:tcPr>
                  <w:tcW w:w="824" w:type="pct"/>
                  <w:tcBorders>
                    <w:top w:val="single" w:color="auto" w:sz="12" w:space="0"/>
                    <w:bottom w:val="single" w:color="auto" w:sz="4" w:space="0"/>
                  </w:tcBorders>
                  <w:vAlign w:val="center"/>
                </w:tcPr>
                <w:p w14:paraId="4AA53FD0">
                  <w:pPr>
                    <w:adjustRightInd w:val="0"/>
                    <w:snapToGrid w:val="0"/>
                    <w:jc w:val="center"/>
                    <w:rPr>
                      <w:rFonts w:ascii="Times New Roman" w:hAnsi="Times New Roman" w:cs="Times New Roman"/>
                      <w:szCs w:val="21"/>
                    </w:rPr>
                  </w:pPr>
                  <w:r>
                    <w:rPr>
                      <w:rFonts w:ascii="Times New Roman" w:hAnsi="Times New Roman" w:cs="Times New Roman"/>
                      <w:bCs/>
                      <w:szCs w:val="21"/>
                    </w:rPr>
                    <w:t>120mg/m</w:t>
                  </w:r>
                  <w:r>
                    <w:rPr>
                      <w:rFonts w:ascii="Times New Roman" w:hAnsi="Times New Roman" w:cs="Times New Roman"/>
                      <w:bCs/>
                      <w:szCs w:val="21"/>
                      <w:vertAlign w:val="superscript"/>
                    </w:rPr>
                    <w:t>3</w:t>
                  </w:r>
                </w:p>
              </w:tc>
              <w:tc>
                <w:tcPr>
                  <w:tcW w:w="1077" w:type="pct"/>
                  <w:tcBorders>
                    <w:top w:val="single" w:color="auto" w:sz="12" w:space="0"/>
                    <w:right w:val="nil"/>
                  </w:tcBorders>
                  <w:vAlign w:val="center"/>
                </w:tcPr>
                <w:p w14:paraId="2360EB03">
                  <w:pPr>
                    <w:adjustRightInd w:val="0"/>
                    <w:snapToGrid w:val="0"/>
                    <w:jc w:val="center"/>
                    <w:rPr>
                      <w:rFonts w:ascii="Times New Roman" w:hAnsi="Times New Roman" w:cs="Times New Roman"/>
                      <w:bCs/>
                      <w:szCs w:val="21"/>
                    </w:rPr>
                  </w:pPr>
                  <w:r>
                    <w:rPr>
                      <w:rFonts w:ascii="Times New Roman" w:hAnsi="Times New Roman" w:cs="Times New Roman"/>
                      <w:bCs/>
                      <w:szCs w:val="21"/>
                    </w:rPr>
                    <w:t>15m高排气筒DA00</w:t>
                  </w:r>
                  <w:r>
                    <w:rPr>
                      <w:rFonts w:hint="eastAsia" w:ascii="Times New Roman" w:hAnsi="Times New Roman" w:cs="Times New Roman"/>
                      <w:bCs/>
                      <w:szCs w:val="21"/>
                    </w:rPr>
                    <w:t>2</w:t>
                  </w:r>
                </w:p>
              </w:tc>
            </w:tr>
            <w:tr w14:paraId="1AAC6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02" w:type="pct"/>
                  <w:vMerge w:val="continue"/>
                  <w:tcBorders>
                    <w:left w:val="nil"/>
                    <w:bottom w:val="single" w:color="auto" w:sz="4" w:space="0"/>
                  </w:tcBorders>
                  <w:vAlign w:val="center"/>
                </w:tcPr>
                <w:p w14:paraId="4B1C67F1">
                  <w:pPr>
                    <w:pStyle w:val="25"/>
                    <w:adjustRightInd w:val="0"/>
                    <w:snapToGrid w:val="0"/>
                    <w:ind w:firstLine="0" w:firstLineChars="0"/>
                    <w:jc w:val="center"/>
                    <w:rPr>
                      <w:rFonts w:ascii="Times New Roman" w:hAnsi="Times New Roman" w:cs="Times New Roman"/>
                      <w:szCs w:val="21"/>
                    </w:rPr>
                  </w:pPr>
                </w:p>
              </w:tc>
              <w:tc>
                <w:tcPr>
                  <w:tcW w:w="1411" w:type="pct"/>
                  <w:vMerge w:val="continue"/>
                  <w:tcBorders>
                    <w:bottom w:val="single" w:color="auto" w:sz="4" w:space="0"/>
                  </w:tcBorders>
                  <w:vAlign w:val="center"/>
                </w:tcPr>
                <w:p w14:paraId="7BAD3B62">
                  <w:pPr>
                    <w:pStyle w:val="25"/>
                    <w:adjustRightInd w:val="0"/>
                    <w:snapToGrid w:val="0"/>
                    <w:ind w:firstLine="0" w:firstLineChars="0"/>
                    <w:jc w:val="center"/>
                    <w:rPr>
                      <w:rFonts w:ascii="Times New Roman" w:hAnsi="Times New Roman" w:cs="Times New Roman"/>
                      <w:szCs w:val="21"/>
                    </w:rPr>
                  </w:pPr>
                </w:p>
              </w:tc>
              <w:tc>
                <w:tcPr>
                  <w:tcW w:w="883" w:type="pct"/>
                  <w:vMerge w:val="continue"/>
                  <w:tcBorders>
                    <w:bottom w:val="single" w:color="auto" w:sz="4" w:space="0"/>
                  </w:tcBorders>
                  <w:vAlign w:val="center"/>
                </w:tcPr>
                <w:p w14:paraId="66018624">
                  <w:pPr>
                    <w:pStyle w:val="25"/>
                    <w:adjustRightInd w:val="0"/>
                    <w:snapToGrid w:val="0"/>
                    <w:ind w:firstLine="0" w:firstLineChars="0"/>
                    <w:jc w:val="center"/>
                    <w:rPr>
                      <w:rFonts w:ascii="Times New Roman" w:hAnsi="Times New Roman" w:cs="Times New Roman"/>
                      <w:szCs w:val="21"/>
                    </w:rPr>
                  </w:pPr>
                </w:p>
              </w:tc>
              <w:tc>
                <w:tcPr>
                  <w:tcW w:w="824" w:type="pct"/>
                  <w:tcBorders>
                    <w:top w:val="single" w:color="auto" w:sz="4" w:space="0"/>
                    <w:bottom w:val="single" w:color="auto" w:sz="4" w:space="0"/>
                  </w:tcBorders>
                  <w:vAlign w:val="center"/>
                </w:tcPr>
                <w:p w14:paraId="3481574C">
                  <w:pPr>
                    <w:adjustRightInd w:val="0"/>
                    <w:snapToGrid w:val="0"/>
                    <w:jc w:val="center"/>
                    <w:rPr>
                      <w:rFonts w:ascii="Times New Roman" w:hAnsi="Times New Roman" w:cs="Times New Roman"/>
                      <w:szCs w:val="21"/>
                    </w:rPr>
                  </w:pPr>
                  <w:r>
                    <w:rPr>
                      <w:rFonts w:ascii="Times New Roman" w:hAnsi="Times New Roman" w:cs="Times New Roman"/>
                      <w:bCs/>
                      <w:szCs w:val="21"/>
                    </w:rPr>
                    <w:t>1.0mg/m</w:t>
                  </w:r>
                  <w:r>
                    <w:rPr>
                      <w:rFonts w:ascii="Times New Roman" w:hAnsi="Times New Roman" w:cs="Times New Roman"/>
                      <w:bCs/>
                      <w:szCs w:val="21"/>
                      <w:vertAlign w:val="superscript"/>
                    </w:rPr>
                    <w:t>3</w:t>
                  </w:r>
                </w:p>
              </w:tc>
              <w:tc>
                <w:tcPr>
                  <w:tcW w:w="1077" w:type="pct"/>
                  <w:tcBorders>
                    <w:bottom w:val="single" w:color="auto" w:sz="4" w:space="0"/>
                    <w:right w:val="nil"/>
                  </w:tcBorders>
                  <w:vAlign w:val="center"/>
                </w:tcPr>
                <w:p w14:paraId="1088EABB">
                  <w:pPr>
                    <w:adjustRightInd w:val="0"/>
                    <w:snapToGrid w:val="0"/>
                    <w:jc w:val="center"/>
                    <w:rPr>
                      <w:rFonts w:ascii="Times New Roman" w:hAnsi="Times New Roman" w:cs="Times New Roman"/>
                      <w:szCs w:val="21"/>
                    </w:rPr>
                  </w:pPr>
                  <w:r>
                    <w:rPr>
                      <w:rFonts w:ascii="Times New Roman" w:hAnsi="Times New Roman" w:cs="Times New Roman"/>
                      <w:bCs/>
                      <w:szCs w:val="21"/>
                    </w:rPr>
                    <w:t>厂界</w:t>
                  </w:r>
                </w:p>
              </w:tc>
            </w:tr>
            <w:tr w14:paraId="7E7C7C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802" w:type="pct"/>
                  <w:vMerge w:val="restart"/>
                  <w:tcBorders>
                    <w:top w:val="single" w:color="auto" w:sz="4" w:space="0"/>
                    <w:left w:val="nil"/>
                  </w:tcBorders>
                  <w:vAlign w:val="center"/>
                </w:tcPr>
                <w:p w14:paraId="2BCE51E6">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喷</w:t>
                  </w:r>
                  <w:r>
                    <w:rPr>
                      <w:rFonts w:hint="eastAsia" w:ascii="Times New Roman" w:hAnsi="Times New Roman" w:cs="Times New Roman"/>
                      <w:kern w:val="0"/>
                      <w:szCs w:val="21"/>
                    </w:rPr>
                    <w:t>漆以及</w:t>
                  </w:r>
                </w:p>
                <w:p w14:paraId="5C94204E">
                  <w:pPr>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烘干</w:t>
                  </w:r>
                </w:p>
              </w:tc>
              <w:tc>
                <w:tcPr>
                  <w:tcW w:w="1411" w:type="pct"/>
                  <w:tcBorders>
                    <w:top w:val="single" w:color="auto" w:sz="4" w:space="0"/>
                    <w:bottom w:val="single" w:color="auto" w:sz="4" w:space="0"/>
                  </w:tcBorders>
                  <w:vAlign w:val="center"/>
                </w:tcPr>
                <w:p w14:paraId="0E5A857A">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《挥发性有机物排放控制标准》（DB61/T1061-2017）</w:t>
                  </w:r>
                </w:p>
              </w:tc>
              <w:tc>
                <w:tcPr>
                  <w:tcW w:w="883" w:type="pct"/>
                  <w:tcBorders>
                    <w:top w:val="single" w:color="auto" w:sz="4" w:space="0"/>
                    <w:bottom w:val="single" w:color="auto" w:sz="4" w:space="0"/>
                  </w:tcBorders>
                  <w:vAlign w:val="center"/>
                </w:tcPr>
                <w:p w14:paraId="021E6816">
                  <w:pPr>
                    <w:adjustRightInd w:val="0"/>
                    <w:snapToGrid w:val="0"/>
                    <w:jc w:val="center"/>
                    <w:rPr>
                      <w:rFonts w:ascii="Times New Roman" w:hAnsi="Times New Roman" w:cs="Times New Roman"/>
                      <w:bCs/>
                      <w:szCs w:val="21"/>
                    </w:rPr>
                  </w:pPr>
                  <w:r>
                    <w:rPr>
                      <w:rFonts w:ascii="Times New Roman" w:hAnsi="Times New Roman" w:cs="Times New Roman"/>
                      <w:bCs/>
                      <w:szCs w:val="21"/>
                    </w:rPr>
                    <w:t>非甲烷总烃</w:t>
                  </w:r>
                </w:p>
              </w:tc>
              <w:tc>
                <w:tcPr>
                  <w:tcW w:w="824" w:type="pct"/>
                  <w:tcBorders>
                    <w:top w:val="single" w:color="auto" w:sz="4" w:space="0"/>
                    <w:bottom w:val="single" w:color="auto" w:sz="4" w:space="0"/>
                  </w:tcBorders>
                  <w:vAlign w:val="center"/>
                </w:tcPr>
                <w:p w14:paraId="274A5A4F">
                  <w:pPr>
                    <w:adjustRightInd w:val="0"/>
                    <w:snapToGrid w:val="0"/>
                    <w:jc w:val="center"/>
                    <w:rPr>
                      <w:rFonts w:ascii="Times New Roman" w:hAnsi="Times New Roman" w:cs="Times New Roman"/>
                      <w:bCs/>
                      <w:szCs w:val="21"/>
                    </w:rPr>
                  </w:pPr>
                  <w:r>
                    <w:rPr>
                      <w:rFonts w:ascii="Times New Roman" w:hAnsi="Times New Roman" w:cs="Times New Roman"/>
                      <w:bCs/>
                      <w:szCs w:val="21"/>
                    </w:rPr>
                    <w:t>50mg/m</w:t>
                  </w:r>
                  <w:r>
                    <w:rPr>
                      <w:rFonts w:ascii="Times New Roman" w:hAnsi="Times New Roman" w:cs="Times New Roman"/>
                      <w:bCs/>
                      <w:szCs w:val="21"/>
                      <w:vertAlign w:val="superscript"/>
                    </w:rPr>
                    <w:t>3</w:t>
                  </w:r>
                </w:p>
              </w:tc>
              <w:tc>
                <w:tcPr>
                  <w:tcW w:w="1077" w:type="pct"/>
                  <w:vMerge w:val="restart"/>
                  <w:tcBorders>
                    <w:top w:val="single" w:color="auto" w:sz="4" w:space="0"/>
                    <w:right w:val="nil"/>
                  </w:tcBorders>
                  <w:vAlign w:val="center"/>
                </w:tcPr>
                <w:p w14:paraId="01979B63">
                  <w:pPr>
                    <w:adjustRightInd w:val="0"/>
                    <w:snapToGrid w:val="0"/>
                    <w:jc w:val="center"/>
                    <w:rPr>
                      <w:rFonts w:ascii="Times New Roman" w:hAnsi="Times New Roman" w:cs="Times New Roman"/>
                      <w:bCs/>
                      <w:szCs w:val="21"/>
                    </w:rPr>
                  </w:pPr>
                  <w:r>
                    <w:rPr>
                      <w:rFonts w:ascii="Times New Roman" w:hAnsi="Times New Roman" w:cs="Times New Roman"/>
                      <w:bCs/>
                      <w:szCs w:val="21"/>
                    </w:rPr>
                    <w:t>15m高排气筒DA00</w:t>
                  </w:r>
                  <w:r>
                    <w:rPr>
                      <w:rFonts w:hint="eastAsia" w:ascii="Times New Roman" w:hAnsi="Times New Roman" w:cs="Times New Roman"/>
                      <w:bCs/>
                      <w:szCs w:val="21"/>
                    </w:rPr>
                    <w:t>3</w:t>
                  </w:r>
                </w:p>
              </w:tc>
            </w:tr>
            <w:tr w14:paraId="7AB1BF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802" w:type="pct"/>
                  <w:vMerge w:val="continue"/>
                  <w:tcBorders>
                    <w:left w:val="nil"/>
                    <w:tl2br w:val="nil"/>
                    <w:tr2bl w:val="nil"/>
                  </w:tcBorders>
                  <w:vAlign w:val="center"/>
                </w:tcPr>
                <w:p w14:paraId="177F8E4A">
                  <w:pPr>
                    <w:adjustRightInd w:val="0"/>
                    <w:snapToGrid w:val="0"/>
                    <w:jc w:val="center"/>
                    <w:rPr>
                      <w:rFonts w:ascii="Times New Roman" w:hAnsi="Times New Roman" w:cs="Times New Roman"/>
                      <w:kern w:val="0"/>
                      <w:szCs w:val="21"/>
                    </w:rPr>
                  </w:pPr>
                </w:p>
              </w:tc>
              <w:tc>
                <w:tcPr>
                  <w:tcW w:w="1411" w:type="pct"/>
                  <w:vMerge w:val="restart"/>
                  <w:tcBorders>
                    <w:top w:val="single" w:color="auto" w:sz="4" w:space="0"/>
                    <w:tl2br w:val="nil"/>
                    <w:tr2bl w:val="nil"/>
                  </w:tcBorders>
                  <w:vAlign w:val="center"/>
                </w:tcPr>
                <w:p w14:paraId="027BA710">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《大气污染物综合排放标准》（GB16297-1996）</w:t>
                  </w:r>
                </w:p>
              </w:tc>
              <w:tc>
                <w:tcPr>
                  <w:tcW w:w="883" w:type="pct"/>
                  <w:vMerge w:val="restart"/>
                  <w:tcBorders>
                    <w:top w:val="single" w:color="auto" w:sz="4" w:space="0"/>
                    <w:tl2br w:val="nil"/>
                    <w:tr2bl w:val="nil"/>
                  </w:tcBorders>
                  <w:vAlign w:val="center"/>
                </w:tcPr>
                <w:p w14:paraId="6E8C568C">
                  <w:pPr>
                    <w:adjustRightInd w:val="0"/>
                    <w:snapToGrid w:val="0"/>
                    <w:jc w:val="center"/>
                    <w:rPr>
                      <w:rFonts w:ascii="Times New Roman" w:hAnsi="Times New Roman" w:cs="Times New Roman"/>
                      <w:bCs/>
                      <w:szCs w:val="21"/>
                    </w:rPr>
                  </w:pPr>
                  <w:r>
                    <w:rPr>
                      <w:rFonts w:ascii="Times New Roman" w:hAnsi="Times New Roman" w:cs="Times New Roman"/>
                      <w:bCs/>
                      <w:szCs w:val="21"/>
                    </w:rPr>
                    <w:t>颗粒物</w:t>
                  </w:r>
                </w:p>
              </w:tc>
              <w:tc>
                <w:tcPr>
                  <w:tcW w:w="824" w:type="pct"/>
                  <w:tcBorders>
                    <w:top w:val="single" w:color="auto" w:sz="4" w:space="0"/>
                    <w:tl2br w:val="nil"/>
                    <w:tr2bl w:val="nil"/>
                  </w:tcBorders>
                  <w:vAlign w:val="center"/>
                </w:tcPr>
                <w:p w14:paraId="26599DA0">
                  <w:pPr>
                    <w:adjustRightInd w:val="0"/>
                    <w:snapToGrid w:val="0"/>
                    <w:jc w:val="center"/>
                    <w:rPr>
                      <w:rFonts w:ascii="Times New Roman" w:hAnsi="Times New Roman" w:cs="Times New Roman"/>
                      <w:bCs/>
                      <w:szCs w:val="21"/>
                    </w:rPr>
                  </w:pPr>
                  <w:r>
                    <w:rPr>
                      <w:rFonts w:ascii="Times New Roman" w:hAnsi="Times New Roman" w:cs="Times New Roman"/>
                      <w:bCs/>
                      <w:szCs w:val="21"/>
                    </w:rPr>
                    <w:t>120mg/m</w:t>
                  </w:r>
                  <w:r>
                    <w:rPr>
                      <w:rFonts w:ascii="Times New Roman" w:hAnsi="Times New Roman" w:cs="Times New Roman"/>
                      <w:bCs/>
                      <w:szCs w:val="21"/>
                      <w:vertAlign w:val="superscript"/>
                    </w:rPr>
                    <w:t>3</w:t>
                  </w:r>
                </w:p>
                <w:p w14:paraId="6B4A44B5">
                  <w:pPr>
                    <w:adjustRightInd w:val="0"/>
                    <w:snapToGrid w:val="0"/>
                    <w:jc w:val="center"/>
                    <w:rPr>
                      <w:rFonts w:ascii="Times New Roman" w:hAnsi="Times New Roman" w:cs="Times New Roman"/>
                      <w:bCs/>
                      <w:szCs w:val="21"/>
                    </w:rPr>
                  </w:pPr>
                  <w:r>
                    <w:rPr>
                      <w:rFonts w:ascii="Times New Roman" w:hAnsi="Times New Roman" w:cs="Times New Roman"/>
                      <w:bCs/>
                      <w:szCs w:val="21"/>
                    </w:rPr>
                    <w:t>3.5kg/h</w:t>
                  </w:r>
                </w:p>
              </w:tc>
              <w:tc>
                <w:tcPr>
                  <w:tcW w:w="1077" w:type="pct"/>
                  <w:vMerge w:val="continue"/>
                  <w:tcBorders>
                    <w:right w:val="nil"/>
                    <w:tl2br w:val="nil"/>
                    <w:tr2bl w:val="nil"/>
                  </w:tcBorders>
                  <w:vAlign w:val="center"/>
                </w:tcPr>
                <w:p w14:paraId="7595F69F">
                  <w:pPr>
                    <w:adjustRightInd w:val="0"/>
                    <w:snapToGrid w:val="0"/>
                    <w:jc w:val="center"/>
                    <w:rPr>
                      <w:rFonts w:ascii="Times New Roman" w:hAnsi="Times New Roman" w:cs="Times New Roman"/>
                      <w:bCs/>
                      <w:szCs w:val="21"/>
                    </w:rPr>
                  </w:pPr>
                </w:p>
              </w:tc>
            </w:tr>
            <w:tr w14:paraId="4C1B4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62" w:hRule="atLeast"/>
              </w:trPr>
              <w:tc>
                <w:tcPr>
                  <w:tcW w:w="802" w:type="pct"/>
                  <w:vMerge w:val="continue"/>
                  <w:tcBorders>
                    <w:left w:val="nil"/>
                    <w:tl2br w:val="nil"/>
                    <w:tr2bl w:val="nil"/>
                  </w:tcBorders>
                  <w:vAlign w:val="center"/>
                </w:tcPr>
                <w:p w14:paraId="3A867C8A">
                  <w:pPr>
                    <w:adjustRightInd w:val="0"/>
                    <w:snapToGrid w:val="0"/>
                    <w:jc w:val="center"/>
                    <w:rPr>
                      <w:rFonts w:ascii="Times New Roman" w:hAnsi="Times New Roman" w:cs="Times New Roman"/>
                      <w:kern w:val="0"/>
                      <w:szCs w:val="21"/>
                    </w:rPr>
                  </w:pPr>
                </w:p>
              </w:tc>
              <w:tc>
                <w:tcPr>
                  <w:tcW w:w="1411" w:type="pct"/>
                  <w:vMerge w:val="continue"/>
                  <w:tcBorders>
                    <w:tl2br w:val="nil"/>
                    <w:tr2bl w:val="nil"/>
                  </w:tcBorders>
                  <w:vAlign w:val="center"/>
                </w:tcPr>
                <w:p w14:paraId="76B7D3BC">
                  <w:pPr>
                    <w:adjustRightInd w:val="0"/>
                    <w:snapToGrid w:val="0"/>
                    <w:jc w:val="center"/>
                    <w:rPr>
                      <w:rFonts w:ascii="Times New Roman" w:hAnsi="Times New Roman" w:cs="Times New Roman"/>
                      <w:kern w:val="0"/>
                      <w:szCs w:val="21"/>
                    </w:rPr>
                  </w:pPr>
                </w:p>
              </w:tc>
              <w:tc>
                <w:tcPr>
                  <w:tcW w:w="883" w:type="pct"/>
                  <w:vMerge w:val="continue"/>
                  <w:tcBorders>
                    <w:tl2br w:val="nil"/>
                    <w:tr2bl w:val="nil"/>
                  </w:tcBorders>
                  <w:vAlign w:val="center"/>
                </w:tcPr>
                <w:p w14:paraId="001B8D65">
                  <w:pPr>
                    <w:adjustRightInd w:val="0"/>
                    <w:snapToGrid w:val="0"/>
                    <w:jc w:val="center"/>
                    <w:rPr>
                      <w:rFonts w:ascii="Times New Roman" w:hAnsi="Times New Roman" w:cs="Times New Roman"/>
                      <w:bCs/>
                      <w:szCs w:val="21"/>
                    </w:rPr>
                  </w:pPr>
                </w:p>
              </w:tc>
              <w:tc>
                <w:tcPr>
                  <w:tcW w:w="824" w:type="pct"/>
                  <w:tcBorders>
                    <w:tl2br w:val="nil"/>
                    <w:tr2bl w:val="nil"/>
                  </w:tcBorders>
                  <w:vAlign w:val="center"/>
                </w:tcPr>
                <w:p w14:paraId="4E07FD2A">
                  <w:pPr>
                    <w:adjustRightInd w:val="0"/>
                    <w:snapToGrid w:val="0"/>
                    <w:jc w:val="center"/>
                    <w:rPr>
                      <w:rFonts w:ascii="Times New Roman" w:hAnsi="Times New Roman" w:cs="Times New Roman"/>
                      <w:bCs/>
                      <w:szCs w:val="21"/>
                    </w:rPr>
                  </w:pPr>
                  <w:r>
                    <w:rPr>
                      <w:rFonts w:ascii="Times New Roman" w:hAnsi="Times New Roman" w:cs="Times New Roman"/>
                      <w:szCs w:val="21"/>
                    </w:rPr>
                    <w:t>1.0</w:t>
                  </w:r>
                  <w:r>
                    <w:rPr>
                      <w:rFonts w:ascii="Times New Roman" w:hAnsi="Times New Roman" w:cs="Times New Roman"/>
                      <w:bCs/>
                      <w:szCs w:val="21"/>
                    </w:rPr>
                    <w:t>mg/m</w:t>
                  </w:r>
                  <w:r>
                    <w:rPr>
                      <w:rFonts w:ascii="Times New Roman" w:hAnsi="Times New Roman" w:cs="Times New Roman"/>
                      <w:bCs/>
                      <w:szCs w:val="21"/>
                      <w:vertAlign w:val="superscript"/>
                    </w:rPr>
                    <w:t>3</w:t>
                  </w:r>
                </w:p>
              </w:tc>
              <w:tc>
                <w:tcPr>
                  <w:tcW w:w="1077" w:type="pct"/>
                  <w:tcBorders>
                    <w:tl2br w:val="nil"/>
                    <w:tr2bl w:val="nil"/>
                  </w:tcBorders>
                  <w:vAlign w:val="center"/>
                </w:tcPr>
                <w:p w14:paraId="6906EE73">
                  <w:pPr>
                    <w:adjustRightInd w:val="0"/>
                    <w:snapToGrid w:val="0"/>
                    <w:jc w:val="center"/>
                    <w:rPr>
                      <w:rFonts w:ascii="Times New Roman" w:hAnsi="Times New Roman" w:cs="Times New Roman"/>
                      <w:bCs/>
                      <w:szCs w:val="21"/>
                    </w:rPr>
                  </w:pPr>
                  <w:r>
                    <w:rPr>
                      <w:rFonts w:ascii="Times New Roman" w:hAnsi="Times New Roman" w:cs="Times New Roman"/>
                      <w:szCs w:val="21"/>
                    </w:rPr>
                    <w:t>厂界</w:t>
                  </w:r>
                </w:p>
              </w:tc>
            </w:tr>
            <w:tr w14:paraId="20DE2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802" w:type="pct"/>
                  <w:vMerge w:val="continue"/>
                  <w:tcBorders>
                    <w:left w:val="nil"/>
                    <w:tl2br w:val="nil"/>
                    <w:tr2bl w:val="nil"/>
                  </w:tcBorders>
                  <w:vAlign w:val="center"/>
                </w:tcPr>
                <w:p w14:paraId="44EFE52C">
                  <w:pPr>
                    <w:adjustRightInd w:val="0"/>
                    <w:snapToGrid w:val="0"/>
                    <w:jc w:val="center"/>
                    <w:rPr>
                      <w:rFonts w:ascii="Times New Roman" w:hAnsi="Times New Roman" w:cs="Times New Roman"/>
                      <w:kern w:val="0"/>
                      <w:szCs w:val="21"/>
                    </w:rPr>
                  </w:pPr>
                </w:p>
              </w:tc>
              <w:tc>
                <w:tcPr>
                  <w:tcW w:w="1411" w:type="pct"/>
                  <w:tcBorders>
                    <w:tl2br w:val="nil"/>
                    <w:tr2bl w:val="nil"/>
                  </w:tcBorders>
                  <w:vAlign w:val="center"/>
                </w:tcPr>
                <w:p w14:paraId="606E7F5E">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《挥发性有机物排放控制标准》（DB61/T1061-2017）</w:t>
                  </w:r>
                </w:p>
              </w:tc>
              <w:tc>
                <w:tcPr>
                  <w:tcW w:w="883" w:type="pct"/>
                  <w:tcBorders>
                    <w:tl2br w:val="nil"/>
                    <w:tr2bl w:val="nil"/>
                  </w:tcBorders>
                  <w:vAlign w:val="center"/>
                </w:tcPr>
                <w:p w14:paraId="57690609">
                  <w:pPr>
                    <w:adjustRightInd w:val="0"/>
                    <w:snapToGrid w:val="0"/>
                    <w:jc w:val="center"/>
                    <w:rPr>
                      <w:rFonts w:ascii="Times New Roman" w:hAnsi="Times New Roman" w:cs="Times New Roman"/>
                      <w:bCs/>
                      <w:szCs w:val="21"/>
                    </w:rPr>
                  </w:pPr>
                  <w:r>
                    <w:rPr>
                      <w:rFonts w:ascii="Times New Roman" w:hAnsi="Times New Roman" w:cs="Times New Roman"/>
                      <w:bCs/>
                      <w:szCs w:val="21"/>
                    </w:rPr>
                    <w:t>非甲烷总烃</w:t>
                  </w:r>
                </w:p>
              </w:tc>
              <w:tc>
                <w:tcPr>
                  <w:tcW w:w="824" w:type="pct"/>
                  <w:tcBorders>
                    <w:tl2br w:val="nil"/>
                    <w:tr2bl w:val="nil"/>
                  </w:tcBorders>
                  <w:vAlign w:val="center"/>
                </w:tcPr>
                <w:p w14:paraId="5B8768C1">
                  <w:pPr>
                    <w:adjustRightInd w:val="0"/>
                    <w:snapToGrid w:val="0"/>
                    <w:jc w:val="center"/>
                    <w:rPr>
                      <w:rFonts w:ascii="Times New Roman" w:hAnsi="Times New Roman" w:cs="Times New Roman"/>
                      <w:bCs/>
                      <w:szCs w:val="21"/>
                    </w:rPr>
                  </w:pPr>
                  <w:r>
                    <w:rPr>
                      <w:rFonts w:ascii="Times New Roman" w:hAnsi="Times New Roman" w:cs="Times New Roman"/>
                      <w:bCs/>
                      <w:szCs w:val="21"/>
                    </w:rPr>
                    <w:t>3mg/m</w:t>
                  </w:r>
                  <w:r>
                    <w:rPr>
                      <w:rFonts w:ascii="Times New Roman" w:hAnsi="Times New Roman" w:cs="Times New Roman"/>
                      <w:bCs/>
                      <w:szCs w:val="21"/>
                      <w:vertAlign w:val="superscript"/>
                    </w:rPr>
                    <w:t>3</w:t>
                  </w:r>
                </w:p>
              </w:tc>
              <w:tc>
                <w:tcPr>
                  <w:tcW w:w="1077" w:type="pct"/>
                  <w:tcBorders>
                    <w:tl2br w:val="nil"/>
                    <w:tr2bl w:val="nil"/>
                  </w:tcBorders>
                  <w:vAlign w:val="center"/>
                </w:tcPr>
                <w:p w14:paraId="26444D64">
                  <w:pPr>
                    <w:adjustRightInd w:val="0"/>
                    <w:snapToGrid w:val="0"/>
                    <w:jc w:val="center"/>
                    <w:rPr>
                      <w:rFonts w:ascii="Times New Roman" w:hAnsi="Times New Roman" w:cs="Times New Roman"/>
                      <w:bCs/>
                      <w:szCs w:val="21"/>
                    </w:rPr>
                  </w:pPr>
                  <w:r>
                    <w:rPr>
                      <w:rFonts w:ascii="Times New Roman" w:hAnsi="Times New Roman" w:cs="Times New Roman"/>
                      <w:bCs/>
                      <w:szCs w:val="21"/>
                    </w:rPr>
                    <w:t>厂界</w:t>
                  </w:r>
                </w:p>
              </w:tc>
            </w:tr>
            <w:tr w14:paraId="2493A0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802" w:type="pct"/>
                  <w:vMerge w:val="continue"/>
                  <w:tcBorders>
                    <w:left w:val="nil"/>
                    <w:tl2br w:val="nil"/>
                    <w:tr2bl w:val="nil"/>
                  </w:tcBorders>
                  <w:vAlign w:val="center"/>
                </w:tcPr>
                <w:p w14:paraId="1D020E56">
                  <w:pPr>
                    <w:adjustRightInd w:val="0"/>
                    <w:snapToGrid w:val="0"/>
                    <w:jc w:val="center"/>
                    <w:rPr>
                      <w:rFonts w:ascii="Times New Roman" w:hAnsi="Times New Roman" w:cs="Times New Roman"/>
                      <w:kern w:val="0"/>
                      <w:szCs w:val="21"/>
                    </w:rPr>
                  </w:pPr>
                </w:p>
              </w:tc>
              <w:tc>
                <w:tcPr>
                  <w:tcW w:w="1411" w:type="pct"/>
                  <w:tcBorders>
                    <w:tl2br w:val="nil"/>
                    <w:tr2bl w:val="nil"/>
                  </w:tcBorders>
                  <w:vAlign w:val="center"/>
                </w:tcPr>
                <w:p w14:paraId="26B74D7E">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《挥发性有机物无组织排放控制标准》（GB37822-2019）</w:t>
                  </w:r>
                </w:p>
              </w:tc>
              <w:tc>
                <w:tcPr>
                  <w:tcW w:w="883" w:type="pct"/>
                  <w:tcBorders>
                    <w:tl2br w:val="nil"/>
                    <w:tr2bl w:val="nil"/>
                  </w:tcBorders>
                  <w:vAlign w:val="center"/>
                </w:tcPr>
                <w:p w14:paraId="537E6B5B">
                  <w:pPr>
                    <w:adjustRightInd w:val="0"/>
                    <w:snapToGrid w:val="0"/>
                    <w:jc w:val="center"/>
                    <w:rPr>
                      <w:rFonts w:ascii="Times New Roman" w:hAnsi="Times New Roman" w:cs="Times New Roman"/>
                      <w:bCs/>
                      <w:szCs w:val="21"/>
                    </w:rPr>
                  </w:pPr>
                  <w:r>
                    <w:rPr>
                      <w:rFonts w:ascii="Times New Roman" w:hAnsi="Times New Roman" w:cs="Times New Roman"/>
                      <w:bCs/>
                      <w:szCs w:val="21"/>
                    </w:rPr>
                    <w:t>非甲烷总烃</w:t>
                  </w:r>
                </w:p>
              </w:tc>
              <w:tc>
                <w:tcPr>
                  <w:tcW w:w="824" w:type="pct"/>
                  <w:tcBorders>
                    <w:tl2br w:val="nil"/>
                    <w:tr2bl w:val="nil"/>
                  </w:tcBorders>
                  <w:vAlign w:val="center"/>
                </w:tcPr>
                <w:p w14:paraId="4773BA11">
                  <w:pPr>
                    <w:adjustRightInd w:val="0"/>
                    <w:snapToGrid w:val="0"/>
                    <w:jc w:val="center"/>
                    <w:rPr>
                      <w:rFonts w:ascii="Times New Roman" w:hAnsi="Times New Roman" w:cs="Times New Roman"/>
                      <w:bCs/>
                      <w:szCs w:val="21"/>
                    </w:rPr>
                  </w:pPr>
                  <w:r>
                    <w:rPr>
                      <w:rFonts w:ascii="Times New Roman" w:hAnsi="Times New Roman" w:cs="Times New Roman"/>
                      <w:bCs/>
                      <w:szCs w:val="21"/>
                    </w:rPr>
                    <w:t>6mg/m</w:t>
                  </w:r>
                  <w:r>
                    <w:rPr>
                      <w:rFonts w:ascii="Times New Roman" w:hAnsi="Times New Roman" w:cs="Times New Roman"/>
                      <w:bCs/>
                      <w:szCs w:val="21"/>
                      <w:vertAlign w:val="superscript"/>
                    </w:rPr>
                    <w:t>3</w:t>
                  </w:r>
                </w:p>
              </w:tc>
              <w:tc>
                <w:tcPr>
                  <w:tcW w:w="1077" w:type="pct"/>
                  <w:tcBorders>
                    <w:tl2br w:val="nil"/>
                    <w:tr2bl w:val="nil"/>
                  </w:tcBorders>
                  <w:vAlign w:val="center"/>
                </w:tcPr>
                <w:p w14:paraId="2C9AECB6">
                  <w:pPr>
                    <w:adjustRightInd w:val="0"/>
                    <w:snapToGrid w:val="0"/>
                    <w:jc w:val="center"/>
                    <w:rPr>
                      <w:rFonts w:ascii="Times New Roman" w:hAnsi="Times New Roman" w:cs="Times New Roman"/>
                      <w:bCs/>
                      <w:szCs w:val="21"/>
                    </w:rPr>
                  </w:pPr>
                  <w:r>
                    <w:rPr>
                      <w:rFonts w:ascii="Times New Roman" w:hAnsi="Times New Roman" w:cs="Times New Roman"/>
                      <w:bCs/>
                      <w:szCs w:val="21"/>
                    </w:rPr>
                    <w:t>厂区内</w:t>
                  </w:r>
                </w:p>
              </w:tc>
            </w:tr>
          </w:tbl>
          <w:p w14:paraId="358F0325">
            <w:pPr>
              <w:numPr>
                <w:ilvl w:val="0"/>
                <w:numId w:val="4"/>
              </w:numPr>
              <w:adjustRightInd w:val="0"/>
              <w:snapToGrid w:val="0"/>
              <w:spacing w:line="360" w:lineRule="auto"/>
              <w:ind w:firstLine="422"/>
              <w:rPr>
                <w:rFonts w:ascii="Times New Roman" w:hAnsi="Times New Roman" w:cs="Times New Roman"/>
                <w:b/>
                <w:sz w:val="24"/>
              </w:rPr>
            </w:pPr>
            <w:r>
              <w:rPr>
                <w:rFonts w:ascii="Times New Roman" w:hAnsi="Times New Roman" w:cs="Times New Roman"/>
                <w:b/>
                <w:sz w:val="24"/>
              </w:rPr>
              <w:t>废水</w:t>
            </w:r>
          </w:p>
          <w:p w14:paraId="7AEFB7B5">
            <w:pPr>
              <w:adjustRightInd w:val="0"/>
              <w:snapToGrid w:val="0"/>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本项目</w:t>
            </w:r>
            <w:r>
              <w:rPr>
                <w:rFonts w:hint="eastAsia" w:ascii="Times New Roman" w:hAnsi="Times New Roman" w:cs="Times New Roman"/>
                <w:kern w:val="0"/>
                <w:sz w:val="24"/>
              </w:rPr>
              <w:t>无生产废水且不新增人员，不新增</w:t>
            </w:r>
            <w:r>
              <w:rPr>
                <w:rFonts w:ascii="Times New Roman" w:hAnsi="Times New Roman" w:cs="Times New Roman"/>
                <w:kern w:val="0"/>
                <w:sz w:val="24"/>
              </w:rPr>
              <w:t>生活污水</w:t>
            </w:r>
            <w:r>
              <w:rPr>
                <w:rFonts w:hint="eastAsia" w:ascii="Times New Roman" w:hAnsi="Times New Roman" w:cs="Times New Roman"/>
                <w:kern w:val="0"/>
                <w:sz w:val="24"/>
              </w:rPr>
              <w:t>量。</w:t>
            </w:r>
          </w:p>
          <w:p w14:paraId="5C6A97B2">
            <w:pPr>
              <w:adjustRightInd w:val="0"/>
              <w:snapToGrid w:val="0"/>
              <w:spacing w:line="360" w:lineRule="auto"/>
              <w:ind w:left="420"/>
              <w:rPr>
                <w:rFonts w:ascii="Times New Roman" w:hAnsi="Times New Roman" w:cs="Times New Roman"/>
                <w:b/>
                <w:sz w:val="24"/>
              </w:rPr>
            </w:pPr>
            <w:r>
              <w:rPr>
                <w:rFonts w:ascii="Times New Roman" w:hAnsi="Times New Roman" w:cs="Times New Roman"/>
                <w:b/>
                <w:sz w:val="24"/>
              </w:rPr>
              <w:t>3、噪声</w:t>
            </w:r>
          </w:p>
          <w:p w14:paraId="46B1D9C8">
            <w:pPr>
              <w:tabs>
                <w:tab w:val="left" w:pos="5180"/>
                <w:tab w:val="left" w:pos="6639"/>
              </w:tabs>
              <w:adjustRightInd w:val="0"/>
              <w:snapToGrid w:val="0"/>
              <w:spacing w:line="360" w:lineRule="auto"/>
              <w:ind w:firstLine="480" w:firstLineChars="200"/>
              <w:rPr>
                <w:rFonts w:ascii="Times New Roman" w:hAnsi="Times New Roman" w:cs="Times New Roman"/>
                <w:kern w:val="0"/>
                <w:sz w:val="24"/>
              </w:rPr>
            </w:pPr>
            <w:r>
              <w:rPr>
                <w:rFonts w:ascii="Times New Roman" w:hAnsi="Times New Roman" w:cs="Times New Roman"/>
                <w:sz w:val="24"/>
              </w:rPr>
              <w:t>本项目位于</w:t>
            </w:r>
            <w:r>
              <w:rPr>
                <w:rFonts w:hint="eastAsia" w:ascii="Times New Roman" w:hAnsi="Times New Roman" w:cs="Times New Roman"/>
                <w:sz w:val="24"/>
              </w:rPr>
              <w:t>姜谭经济技术开发区</w:t>
            </w:r>
            <w:r>
              <w:rPr>
                <w:rFonts w:ascii="Times New Roman" w:hAnsi="Times New Roman" w:cs="Times New Roman"/>
                <w:sz w:val="24"/>
              </w:rPr>
              <w:t>内，属于</w:t>
            </w:r>
            <w:r>
              <w:rPr>
                <w:rFonts w:hint="eastAsia" w:ascii="Times New Roman" w:hAnsi="Times New Roman" w:cs="Times New Roman"/>
                <w:sz w:val="24"/>
              </w:rPr>
              <w:t>3</w:t>
            </w:r>
            <w:r>
              <w:rPr>
                <w:rFonts w:ascii="Times New Roman" w:hAnsi="Times New Roman" w:cs="Times New Roman"/>
                <w:sz w:val="24"/>
              </w:rPr>
              <w:t>类声功能区，因此，厂界执行《工业企业厂界环境噪声排放标准》（GB12348-2008）中3类标准。</w:t>
            </w:r>
          </w:p>
          <w:p w14:paraId="72C3CFC0">
            <w:pPr>
              <w:jc w:val="center"/>
              <w:rPr>
                <w:rFonts w:ascii="Times New Roman" w:hAnsi="Times New Roman" w:cs="Times New Roman"/>
                <w:bCs/>
                <w:szCs w:val="21"/>
              </w:rPr>
            </w:pPr>
            <w:r>
              <w:rPr>
                <w:rFonts w:ascii="Times New Roman" w:hAnsi="Times New Roman" w:cs="Times New Roman"/>
                <w:b/>
                <w:szCs w:val="21"/>
              </w:rPr>
              <w:t>表3-</w:t>
            </w:r>
            <w:r>
              <w:rPr>
                <w:rFonts w:hint="eastAsia" w:ascii="Times New Roman" w:hAnsi="Times New Roman" w:cs="Times New Roman"/>
                <w:b/>
                <w:szCs w:val="21"/>
              </w:rPr>
              <w:t xml:space="preserve">7  </w:t>
            </w:r>
            <w:r>
              <w:rPr>
                <w:rFonts w:ascii="Times New Roman" w:hAnsi="Times New Roman" w:cs="Times New Roman"/>
                <w:b/>
                <w:szCs w:val="21"/>
              </w:rPr>
              <w:t xml:space="preserve">  工业企业厂界环境噪声排放标准   单位：dB（A）</w:t>
            </w:r>
          </w:p>
          <w:tbl>
            <w:tblPr>
              <w:tblStyle w:val="26"/>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850"/>
              <w:gridCol w:w="2660"/>
              <w:gridCol w:w="2742"/>
            </w:tblGrid>
            <w:tr w14:paraId="21CD2D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1726" w:type="pct"/>
                  <w:tcBorders>
                    <w:tl2br w:val="nil"/>
                    <w:tr2bl w:val="nil"/>
                  </w:tcBorders>
                  <w:vAlign w:val="center"/>
                </w:tcPr>
                <w:p w14:paraId="6345ED12">
                  <w:pPr>
                    <w:jc w:val="center"/>
                    <w:outlineLvl w:val="0"/>
                    <w:rPr>
                      <w:rFonts w:ascii="Times New Roman" w:hAnsi="Times New Roman" w:cs="Times New Roman"/>
                      <w:bCs/>
                      <w:szCs w:val="21"/>
                    </w:rPr>
                  </w:pPr>
                  <w:r>
                    <w:rPr>
                      <w:rFonts w:ascii="Times New Roman" w:hAnsi="Times New Roman" w:cs="Times New Roman"/>
                      <w:bCs/>
                      <w:szCs w:val="21"/>
                    </w:rPr>
                    <w:t>类别</w:t>
                  </w:r>
                </w:p>
              </w:tc>
              <w:tc>
                <w:tcPr>
                  <w:tcW w:w="1611" w:type="pct"/>
                  <w:tcBorders>
                    <w:tl2br w:val="nil"/>
                    <w:tr2bl w:val="nil"/>
                  </w:tcBorders>
                  <w:vAlign w:val="center"/>
                </w:tcPr>
                <w:p w14:paraId="306701E5">
                  <w:pPr>
                    <w:keepNext/>
                    <w:jc w:val="center"/>
                    <w:rPr>
                      <w:rFonts w:ascii="Times New Roman" w:hAnsi="Times New Roman" w:cs="Times New Roman"/>
                      <w:bCs/>
                      <w:szCs w:val="21"/>
                    </w:rPr>
                  </w:pPr>
                  <w:r>
                    <w:rPr>
                      <w:rFonts w:ascii="Times New Roman" w:hAnsi="Times New Roman" w:cs="Times New Roman"/>
                      <w:bCs/>
                      <w:szCs w:val="21"/>
                    </w:rPr>
                    <w:t>昼间</w:t>
                  </w:r>
                </w:p>
              </w:tc>
              <w:tc>
                <w:tcPr>
                  <w:tcW w:w="1661" w:type="pct"/>
                  <w:tcBorders>
                    <w:tl2br w:val="nil"/>
                    <w:tr2bl w:val="nil"/>
                  </w:tcBorders>
                  <w:vAlign w:val="center"/>
                </w:tcPr>
                <w:p w14:paraId="61370D2F">
                  <w:pPr>
                    <w:keepNext/>
                    <w:jc w:val="center"/>
                    <w:rPr>
                      <w:rFonts w:ascii="Times New Roman" w:hAnsi="Times New Roman" w:cs="Times New Roman"/>
                      <w:bCs/>
                      <w:szCs w:val="21"/>
                    </w:rPr>
                  </w:pPr>
                  <w:r>
                    <w:rPr>
                      <w:rFonts w:ascii="Times New Roman" w:hAnsi="Times New Roman" w:cs="Times New Roman"/>
                      <w:bCs/>
                      <w:szCs w:val="21"/>
                    </w:rPr>
                    <w:t>夜间</w:t>
                  </w:r>
                </w:p>
              </w:tc>
            </w:tr>
            <w:tr w14:paraId="1D74AE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 w:hRule="atLeast"/>
                <w:jc w:val="center"/>
              </w:trPr>
              <w:tc>
                <w:tcPr>
                  <w:tcW w:w="1726" w:type="pct"/>
                  <w:tcBorders>
                    <w:tl2br w:val="nil"/>
                    <w:tr2bl w:val="nil"/>
                  </w:tcBorders>
                  <w:vAlign w:val="center"/>
                </w:tcPr>
                <w:p w14:paraId="2EE8F2A2">
                  <w:pPr>
                    <w:jc w:val="center"/>
                    <w:outlineLvl w:val="0"/>
                    <w:rPr>
                      <w:rFonts w:ascii="Times New Roman" w:hAnsi="Times New Roman" w:cs="Times New Roman"/>
                      <w:bCs/>
                      <w:szCs w:val="21"/>
                    </w:rPr>
                  </w:pPr>
                  <w:r>
                    <w:rPr>
                      <w:rFonts w:hint="eastAsia" w:ascii="Times New Roman" w:hAnsi="Times New Roman" w:cs="Times New Roman"/>
                      <w:bCs/>
                      <w:szCs w:val="21"/>
                    </w:rPr>
                    <w:t>3</w:t>
                  </w:r>
                  <w:r>
                    <w:rPr>
                      <w:rFonts w:ascii="Times New Roman" w:hAnsi="Times New Roman" w:cs="Times New Roman"/>
                      <w:bCs/>
                      <w:szCs w:val="21"/>
                    </w:rPr>
                    <w:t>类</w:t>
                  </w:r>
                </w:p>
              </w:tc>
              <w:tc>
                <w:tcPr>
                  <w:tcW w:w="1611" w:type="pct"/>
                  <w:tcBorders>
                    <w:tl2br w:val="nil"/>
                    <w:tr2bl w:val="nil"/>
                  </w:tcBorders>
                  <w:vAlign w:val="center"/>
                </w:tcPr>
                <w:p w14:paraId="6FEB3CAA">
                  <w:pPr>
                    <w:keepNext/>
                    <w:jc w:val="center"/>
                    <w:rPr>
                      <w:rFonts w:ascii="Times New Roman" w:hAnsi="Times New Roman" w:cs="Times New Roman"/>
                      <w:bCs/>
                      <w:szCs w:val="21"/>
                    </w:rPr>
                  </w:pPr>
                  <w:r>
                    <w:rPr>
                      <w:rFonts w:ascii="Times New Roman" w:hAnsi="Times New Roman" w:cs="Times New Roman"/>
                      <w:bCs/>
                      <w:szCs w:val="21"/>
                    </w:rPr>
                    <w:t>65</w:t>
                  </w:r>
                </w:p>
              </w:tc>
              <w:tc>
                <w:tcPr>
                  <w:tcW w:w="1661" w:type="pct"/>
                  <w:tcBorders>
                    <w:tl2br w:val="nil"/>
                    <w:tr2bl w:val="nil"/>
                  </w:tcBorders>
                  <w:vAlign w:val="center"/>
                </w:tcPr>
                <w:p w14:paraId="47A85013">
                  <w:pPr>
                    <w:keepNext/>
                    <w:jc w:val="center"/>
                    <w:rPr>
                      <w:rFonts w:ascii="Times New Roman" w:hAnsi="Times New Roman" w:cs="Times New Roman"/>
                      <w:bCs/>
                      <w:szCs w:val="21"/>
                    </w:rPr>
                  </w:pPr>
                  <w:r>
                    <w:rPr>
                      <w:rFonts w:ascii="Times New Roman" w:hAnsi="Times New Roman" w:cs="Times New Roman"/>
                      <w:bCs/>
                      <w:szCs w:val="21"/>
                    </w:rPr>
                    <w:t>55</w:t>
                  </w:r>
                </w:p>
              </w:tc>
            </w:tr>
          </w:tbl>
          <w:p w14:paraId="3D0220DF">
            <w:pPr>
              <w:pStyle w:val="2"/>
              <w:adjustRightInd w:val="0"/>
              <w:snapToGrid w:val="0"/>
              <w:spacing w:line="360" w:lineRule="auto"/>
              <w:ind w:left="0" w:leftChars="0" w:firstLine="482" w:firstLineChars="200"/>
              <w:rPr>
                <w:rFonts w:ascii="Times New Roman" w:hAnsi="Times New Roman" w:cs="Times New Roman"/>
                <w:b/>
                <w:sz w:val="24"/>
              </w:rPr>
            </w:pPr>
            <w:r>
              <w:rPr>
                <w:rFonts w:ascii="Times New Roman" w:hAnsi="Times New Roman" w:cs="Times New Roman"/>
                <w:b/>
                <w:sz w:val="24"/>
              </w:rPr>
              <w:t>4、固废</w:t>
            </w:r>
          </w:p>
          <w:p w14:paraId="3A508000">
            <w:pPr>
              <w:adjustRightInd w:val="0"/>
              <w:snapToGrid w:val="0"/>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①本项目对固体废物应进行分类贮存，采取防渗、防漏措施，一般工业固体废物的处理、处置均应满足《中华人民共和国固体废物污染环境防治法》中的有关规定要求。</w:t>
            </w:r>
          </w:p>
          <w:p w14:paraId="349148A5">
            <w:pPr>
              <w:adjustRightInd w:val="0"/>
              <w:snapToGrid w:val="0"/>
              <w:spacing w:line="360" w:lineRule="auto"/>
              <w:ind w:firstLine="480" w:firstLineChars="200"/>
              <w:rPr>
                <w:rFonts w:ascii="Times New Roman" w:hAnsi="Times New Roman" w:eastAsia="宋体" w:cs="Times New Roman"/>
                <w:kern w:val="0"/>
                <w:szCs w:val="21"/>
              </w:rPr>
            </w:pPr>
            <w:r>
              <w:rPr>
                <w:rFonts w:ascii="Times New Roman" w:hAnsi="Times New Roman" w:eastAsia="宋体" w:cs="Times New Roman"/>
                <w:kern w:val="0"/>
                <w:sz w:val="24"/>
              </w:rPr>
              <w:t>②危险废物执行《危险废物贮存污染控制标准》（GB18597-2023）</w:t>
            </w:r>
            <w:r>
              <w:rPr>
                <w:rFonts w:ascii="Times New Roman" w:hAnsi="Times New Roman" w:cs="Times New Roman"/>
                <w:sz w:val="24"/>
              </w:rPr>
              <w:t>、《</w:t>
            </w:r>
            <w:r>
              <w:fldChar w:fldCharType="begin"/>
            </w:r>
            <w:r>
              <w:instrText xml:space="preserve"> HYPERLINK "https://www.mee.gov.cn/ywgz/fgbz/bz/bzwb/gthw/wxfwjbffbz/202302/W020230224650971041729.pdf" </w:instrText>
            </w:r>
            <w:r>
              <w:fldChar w:fldCharType="separate"/>
            </w:r>
            <w:r>
              <w:rPr>
                <w:rFonts w:ascii="Times New Roman" w:hAnsi="Times New Roman" w:cs="Times New Roman"/>
                <w:sz w:val="24"/>
              </w:rPr>
              <w:t>危险废物识别标志设置技术规范》（HJ 1276—2022）</w:t>
            </w:r>
            <w:r>
              <w:rPr>
                <w:rFonts w:ascii="Times New Roman" w:hAnsi="Times New Roman" w:cs="Times New Roman"/>
                <w:sz w:val="24"/>
              </w:rPr>
              <w:fldChar w:fldCharType="end"/>
            </w:r>
            <w:r>
              <w:rPr>
                <w:rFonts w:ascii="Times New Roman" w:hAnsi="Times New Roman" w:eastAsia="宋体" w:cs="Times New Roman"/>
                <w:kern w:val="0"/>
                <w:sz w:val="24"/>
              </w:rPr>
              <w:t>。</w:t>
            </w:r>
          </w:p>
        </w:tc>
      </w:tr>
      <w:tr w14:paraId="001397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4" w:hRule="atLeast"/>
          <w:jc w:val="center"/>
        </w:trPr>
        <w:tc>
          <w:tcPr>
            <w:tcW w:w="443" w:type="pct"/>
            <w:tcBorders>
              <w:top w:val="single" w:color="auto" w:sz="4" w:space="0"/>
              <w:left w:val="single" w:color="auto" w:sz="8" w:space="0"/>
              <w:bottom w:val="single" w:color="auto" w:sz="8" w:space="0"/>
              <w:right w:val="single" w:color="auto" w:sz="4" w:space="0"/>
            </w:tcBorders>
            <w:shd w:val="clear" w:color="auto" w:fill="auto"/>
            <w:vAlign w:val="center"/>
          </w:tcPr>
          <w:p w14:paraId="6C6B3669">
            <w:pPr>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lang w:bidi="ar"/>
              </w:rPr>
              <w:t>总量</w:t>
            </w:r>
          </w:p>
          <w:p w14:paraId="4DDD40AE">
            <w:pPr>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lang w:bidi="ar"/>
              </w:rPr>
              <w:t>控制</w:t>
            </w:r>
          </w:p>
          <w:p w14:paraId="71AFB489">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 w:val="24"/>
                <w:lang w:bidi="ar"/>
              </w:rPr>
              <w:t>指标</w:t>
            </w:r>
          </w:p>
        </w:tc>
        <w:tc>
          <w:tcPr>
            <w:tcW w:w="4556" w:type="pct"/>
            <w:tcBorders>
              <w:top w:val="single" w:color="auto" w:sz="4" w:space="0"/>
              <w:left w:val="single" w:color="auto" w:sz="4" w:space="0"/>
              <w:bottom w:val="single" w:color="auto" w:sz="8" w:space="0"/>
              <w:right w:val="single" w:color="auto" w:sz="8" w:space="0"/>
            </w:tcBorders>
            <w:shd w:val="clear" w:color="auto" w:fill="auto"/>
            <w:vAlign w:val="center"/>
          </w:tcPr>
          <w:p w14:paraId="47A9463F">
            <w:pPr>
              <w:adjustRightInd w:val="0"/>
              <w:snapToGrid w:val="0"/>
              <w:spacing w:line="360" w:lineRule="auto"/>
              <w:ind w:firstLine="420" w:firstLineChars="200"/>
              <w:rPr>
                <w:rFonts w:ascii="Times New Roman" w:hAnsi="Times New Roman" w:eastAsia="宋体" w:cs="Times New Roman"/>
                <w:szCs w:val="21"/>
                <w:lang w:bidi="ar"/>
              </w:rPr>
            </w:pPr>
          </w:p>
          <w:p w14:paraId="1B1E2618">
            <w:pPr>
              <w:adjustRightInd w:val="0"/>
              <w:snapToGrid w:val="0"/>
              <w:spacing w:line="360" w:lineRule="auto"/>
              <w:ind w:firstLine="420" w:firstLineChars="200"/>
              <w:rPr>
                <w:rFonts w:ascii="Times New Roman" w:hAnsi="Times New Roman" w:eastAsia="宋体" w:cs="Times New Roman"/>
                <w:szCs w:val="21"/>
                <w:lang w:bidi="ar"/>
              </w:rPr>
            </w:pPr>
          </w:p>
          <w:p w14:paraId="3233CD35">
            <w:pPr>
              <w:adjustRightInd w:val="0"/>
              <w:snapToGrid w:val="0"/>
              <w:spacing w:line="360" w:lineRule="auto"/>
              <w:ind w:firstLine="480" w:firstLineChars="200"/>
              <w:rPr>
                <w:rFonts w:ascii="Times New Roman" w:hAnsi="Times New Roman" w:eastAsia="宋体" w:cs="Times New Roman"/>
                <w:sz w:val="24"/>
                <w:lang w:bidi="ar"/>
              </w:rPr>
            </w:pPr>
            <w:r>
              <w:rPr>
                <w:rFonts w:ascii="Times New Roman" w:hAnsi="Times New Roman" w:eastAsia="宋体" w:cs="Times New Roman"/>
                <w:sz w:val="24"/>
                <w:lang w:bidi="ar"/>
              </w:rPr>
              <w:t>根据2022年1月国务院印发的《</w:t>
            </w:r>
            <w:r>
              <w:rPr>
                <w:rFonts w:hint="eastAsia" w:ascii="Times New Roman" w:hAnsi="Times New Roman" w:eastAsia="宋体" w:cs="Times New Roman"/>
                <w:sz w:val="24"/>
                <w:lang w:bidi="ar"/>
              </w:rPr>
              <w:t>“</w:t>
            </w:r>
            <w:r>
              <w:rPr>
                <w:rFonts w:ascii="Times New Roman" w:hAnsi="Times New Roman" w:eastAsia="宋体" w:cs="Times New Roman"/>
                <w:sz w:val="24"/>
                <w:lang w:bidi="ar"/>
              </w:rPr>
              <w:t>十四五</w:t>
            </w:r>
            <w:r>
              <w:rPr>
                <w:rFonts w:hint="eastAsia" w:ascii="Times New Roman" w:hAnsi="Times New Roman" w:eastAsia="宋体" w:cs="Times New Roman"/>
                <w:sz w:val="24"/>
                <w:lang w:bidi="ar"/>
              </w:rPr>
              <w:t>”</w:t>
            </w:r>
            <w:r>
              <w:rPr>
                <w:rFonts w:ascii="Times New Roman" w:hAnsi="Times New Roman" w:eastAsia="宋体" w:cs="Times New Roman"/>
                <w:sz w:val="24"/>
                <w:lang w:bidi="ar"/>
              </w:rPr>
              <w:t>节能减排综合工作方案》，环境污染物总量控制指标分别为COD、氨氮、NO</w:t>
            </w:r>
            <w:r>
              <w:rPr>
                <w:rFonts w:ascii="Times New Roman" w:hAnsi="Times New Roman" w:eastAsia="宋体" w:cs="Times New Roman"/>
                <w:sz w:val="24"/>
                <w:vertAlign w:val="subscript"/>
                <w:lang w:bidi="ar"/>
              </w:rPr>
              <w:t>X</w:t>
            </w:r>
            <w:r>
              <w:rPr>
                <w:rFonts w:ascii="Times New Roman" w:hAnsi="Times New Roman" w:eastAsia="宋体" w:cs="Times New Roman"/>
                <w:sz w:val="24"/>
                <w:lang w:bidi="ar"/>
              </w:rPr>
              <w:t>和挥发性有机物。</w:t>
            </w:r>
          </w:p>
          <w:p w14:paraId="66C8CDC0">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w:t>
            </w:r>
            <w:r>
              <w:rPr>
                <w:rFonts w:hint="eastAsia" w:ascii="Times New Roman" w:hAnsi="Times New Roman" w:cs="Times New Roman"/>
                <w:sz w:val="24"/>
              </w:rPr>
              <w:t>不新增生活污水。</w:t>
            </w:r>
            <w:r>
              <w:rPr>
                <w:rFonts w:ascii="Times New Roman" w:hAnsi="Times New Roman" w:cs="Times New Roman"/>
                <w:sz w:val="24"/>
              </w:rPr>
              <w:t>因此，不</w:t>
            </w:r>
            <w:r>
              <w:rPr>
                <w:rFonts w:hint="eastAsia" w:ascii="Times New Roman" w:hAnsi="Times New Roman" w:cs="Times New Roman"/>
                <w:sz w:val="24"/>
              </w:rPr>
              <w:t>需管控废水</w:t>
            </w:r>
            <w:r>
              <w:rPr>
                <w:rFonts w:ascii="Times New Roman" w:hAnsi="Times New Roman" w:cs="Times New Roman"/>
                <w:sz w:val="24"/>
              </w:rPr>
              <w:t>总量指标。</w:t>
            </w:r>
          </w:p>
          <w:p w14:paraId="507FB1C9">
            <w:pPr>
              <w:adjustRightInd w:val="0"/>
              <w:snapToGrid w:val="0"/>
              <w:spacing w:line="360" w:lineRule="auto"/>
              <w:ind w:firstLine="480" w:firstLineChars="200"/>
              <w:rPr>
                <w:color w:val="FF0000"/>
              </w:rPr>
            </w:pPr>
            <w:commentRangeStart w:id="36"/>
            <w:commentRangeStart w:id="37"/>
            <w:r>
              <w:rPr>
                <w:rFonts w:ascii="Times New Roman" w:hAnsi="Times New Roman" w:cs="Times New Roman"/>
                <w:sz w:val="24"/>
              </w:rPr>
              <w:t>运营期涉及的废气总量控制指标主要为</w:t>
            </w:r>
            <w:r>
              <w:rPr>
                <w:rFonts w:hint="eastAsia" w:ascii="Times New Roman" w:hAnsi="Times New Roman" w:cs="Times New Roman"/>
                <w:sz w:val="24"/>
              </w:rPr>
              <w:t>喷漆</w:t>
            </w:r>
            <w:r>
              <w:rPr>
                <w:rFonts w:ascii="Times New Roman" w:hAnsi="Times New Roman" w:cs="Times New Roman"/>
                <w:sz w:val="24"/>
              </w:rPr>
              <w:t>、</w:t>
            </w:r>
            <w:r>
              <w:rPr>
                <w:rFonts w:hint="eastAsia" w:ascii="Times New Roman" w:hAnsi="Times New Roman" w:cs="Times New Roman"/>
                <w:sz w:val="24"/>
              </w:rPr>
              <w:t>烘干</w:t>
            </w:r>
            <w:r>
              <w:rPr>
                <w:rFonts w:ascii="Times New Roman" w:hAnsi="Times New Roman" w:cs="Times New Roman"/>
                <w:sz w:val="24"/>
              </w:rPr>
              <w:t>工序产生的有机废气（以非甲烷总烃计），根据源强核算结果，</w:t>
            </w:r>
            <w:r>
              <w:rPr>
                <w:rFonts w:hint="eastAsia" w:ascii="Times New Roman" w:hAnsi="Times New Roman" w:cs="Times New Roman"/>
                <w:color w:val="FF0000"/>
                <w:sz w:val="24"/>
                <w:lang w:eastAsia="zh-CN"/>
              </w:rPr>
              <w:t>在建项目</w:t>
            </w:r>
            <w:r>
              <w:rPr>
                <w:rFonts w:hint="default" w:ascii="Times New Roman" w:hAnsi="Times New Roman" w:cs="Times New Roman"/>
                <w:color w:val="FF0000"/>
                <w:sz w:val="24"/>
                <w:lang w:val="en-US" w:eastAsia="zh-CN"/>
              </w:rPr>
              <w:t>非甲烷总烃的排放量约为0.</w:t>
            </w:r>
            <w:r>
              <w:rPr>
                <w:rFonts w:hint="eastAsia" w:ascii="Times New Roman" w:hAnsi="Times New Roman" w:cs="Times New Roman"/>
                <w:color w:val="FF0000"/>
                <w:sz w:val="24"/>
                <w:lang w:val="en-US" w:eastAsia="zh-CN"/>
              </w:rPr>
              <w:t>045</w:t>
            </w:r>
            <w:r>
              <w:rPr>
                <w:rFonts w:hint="default" w:ascii="Times New Roman" w:hAnsi="Times New Roman" w:cs="Times New Roman"/>
                <w:color w:val="FF0000"/>
                <w:sz w:val="24"/>
                <w:lang w:val="en-US" w:eastAsia="zh-CN"/>
              </w:rPr>
              <w:t>t/a</w:t>
            </w:r>
            <w:r>
              <w:rPr>
                <w:rFonts w:hint="eastAsia" w:ascii="Times New Roman" w:hAnsi="Times New Roman" w:cs="Times New Roman"/>
                <w:color w:val="FF0000"/>
                <w:sz w:val="24"/>
                <w:lang w:val="en-US" w:eastAsia="zh-CN"/>
              </w:rPr>
              <w:t>，扩建项目</w:t>
            </w:r>
            <w:r>
              <w:rPr>
                <w:rFonts w:ascii="Times New Roman" w:hAnsi="Times New Roman" w:cs="Times New Roman"/>
                <w:color w:val="FF0000"/>
                <w:sz w:val="24"/>
              </w:rPr>
              <w:t>非甲烷总烃的排放量约为0.</w:t>
            </w:r>
            <w:r>
              <w:rPr>
                <w:rFonts w:hint="eastAsia" w:ascii="Times New Roman" w:hAnsi="Times New Roman" w:cs="Times New Roman"/>
                <w:color w:val="FF0000"/>
                <w:sz w:val="24"/>
                <w:lang w:val="en-US" w:eastAsia="zh-CN"/>
              </w:rPr>
              <w:t>356</w:t>
            </w:r>
            <w:r>
              <w:rPr>
                <w:rFonts w:ascii="Times New Roman" w:hAnsi="Times New Roman" w:cs="Times New Roman"/>
                <w:color w:val="FF0000"/>
                <w:sz w:val="24"/>
              </w:rPr>
              <w:t>t/a</w:t>
            </w:r>
            <w:r>
              <w:rPr>
                <w:rFonts w:hint="eastAsia" w:ascii="Times New Roman" w:hAnsi="Times New Roman" w:cs="Times New Roman"/>
                <w:color w:val="FF0000"/>
                <w:sz w:val="24"/>
                <w:lang w:eastAsia="zh-CN"/>
              </w:rPr>
              <w:t>。</w:t>
            </w:r>
            <w:r>
              <w:rPr>
                <w:rFonts w:ascii="Times New Roman" w:hAnsi="Times New Roman" w:cs="Times New Roman"/>
                <w:color w:val="FF0000"/>
                <w:sz w:val="24"/>
              </w:rPr>
              <w:t>因此，</w:t>
            </w:r>
            <w:r>
              <w:rPr>
                <w:rFonts w:hint="eastAsia" w:ascii="Times New Roman" w:hAnsi="Times New Roman" w:cs="Times New Roman"/>
                <w:color w:val="FF0000"/>
                <w:sz w:val="24"/>
                <w:lang w:eastAsia="zh-CN"/>
              </w:rPr>
              <w:t>全厂</w:t>
            </w:r>
            <w:r>
              <w:rPr>
                <w:rFonts w:ascii="Times New Roman" w:hAnsi="Times New Roman" w:cs="Times New Roman"/>
                <w:color w:val="FF0000"/>
                <w:sz w:val="24"/>
              </w:rPr>
              <w:t>挥发性有机物的总量控制指标为0.</w:t>
            </w:r>
            <w:r>
              <w:rPr>
                <w:rFonts w:hint="eastAsia" w:ascii="Times New Roman" w:hAnsi="Times New Roman" w:cs="Times New Roman"/>
                <w:color w:val="FF0000"/>
                <w:sz w:val="24"/>
                <w:lang w:val="en-US" w:eastAsia="zh-CN"/>
              </w:rPr>
              <w:t>401</w:t>
            </w:r>
            <w:r>
              <w:rPr>
                <w:rFonts w:ascii="Times New Roman" w:hAnsi="Times New Roman" w:cs="Times New Roman"/>
                <w:color w:val="FF0000"/>
                <w:sz w:val="24"/>
              </w:rPr>
              <w:t>t/a</w:t>
            </w:r>
            <w:r>
              <w:rPr>
                <w:rFonts w:hint="eastAsia" w:ascii="Times New Roman" w:hAnsi="Times New Roman" w:cs="Times New Roman"/>
                <w:color w:val="FF0000"/>
                <w:sz w:val="24"/>
              </w:rPr>
              <w:t>。</w:t>
            </w:r>
            <w:commentRangeEnd w:id="36"/>
            <w:r>
              <w:rPr>
                <w:color w:val="FF0000"/>
              </w:rPr>
              <w:commentReference w:id="36"/>
            </w:r>
            <w:commentRangeEnd w:id="37"/>
            <w:r>
              <w:commentReference w:id="37"/>
            </w:r>
          </w:p>
          <w:p w14:paraId="7598AF48">
            <w:pPr>
              <w:pStyle w:val="2"/>
            </w:pPr>
          </w:p>
        </w:tc>
      </w:tr>
    </w:tbl>
    <w:p w14:paraId="5B46AE79">
      <w:pPr>
        <w:pStyle w:val="21"/>
        <w:jc w:val="center"/>
        <w:outlineLvl w:val="0"/>
        <w:rPr>
          <w:rFonts w:hint="default" w:ascii="Times New Roman" w:hAnsi="Times New Roman" w:eastAsia="黑体"/>
          <w:sz w:val="30"/>
          <w:szCs w:val="30"/>
        </w:rPr>
      </w:pPr>
      <w:r>
        <w:rPr>
          <w:rFonts w:hint="default" w:ascii="Times New Roman" w:hAnsi="Times New Roman" w:eastAsia="黑体"/>
          <w:snapToGrid w:val="0"/>
          <w:sz w:val="36"/>
          <w:szCs w:val="36"/>
          <w:lang w:bidi="ar"/>
        </w:rPr>
        <w:br w:type="page"/>
      </w:r>
      <w:r>
        <w:rPr>
          <w:rFonts w:hint="default" w:ascii="Times New Roman" w:hAnsi="Times New Roman" w:eastAsia="黑体"/>
          <w:snapToGrid w:val="0"/>
          <w:sz w:val="30"/>
          <w:szCs w:val="30"/>
        </w:rPr>
        <w:t>四、主要环境影响和保护措施</w:t>
      </w:r>
    </w:p>
    <w:tbl>
      <w:tblPr>
        <w:tblStyle w:val="26"/>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8565"/>
      </w:tblGrid>
      <w:tr w14:paraId="1728FC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7" w:type="pct"/>
            <w:tcBorders>
              <w:top w:val="single" w:color="auto" w:sz="8" w:space="0"/>
              <w:left w:val="single" w:color="auto" w:sz="8" w:space="0"/>
              <w:bottom w:val="single" w:color="auto" w:sz="4" w:space="0"/>
              <w:right w:val="single" w:color="auto" w:sz="4" w:space="0"/>
            </w:tcBorders>
            <w:shd w:val="clear" w:color="auto" w:fill="auto"/>
            <w:tcMar>
              <w:left w:w="28" w:type="dxa"/>
              <w:right w:w="28" w:type="dxa"/>
            </w:tcMar>
            <w:vAlign w:val="center"/>
          </w:tcPr>
          <w:p w14:paraId="2BE84284">
            <w:pPr>
              <w:pStyle w:val="21"/>
              <w:adjustRightInd w:val="0"/>
              <w:snapToGrid w:val="0"/>
              <w:spacing w:beforeAutospacing="0" w:afterAutospacing="0"/>
              <w:jc w:val="center"/>
              <w:rPr>
                <w:rFonts w:hint="default" w:ascii="Times New Roman" w:hAnsi="Times New Roman"/>
                <w:kern w:val="2"/>
                <w:szCs w:val="24"/>
              </w:rPr>
            </w:pPr>
            <w:r>
              <w:rPr>
                <w:rFonts w:hint="default" w:ascii="Times New Roman" w:hAnsi="Times New Roman"/>
                <w:kern w:val="2"/>
                <w:szCs w:val="24"/>
              </w:rPr>
              <w:t>施工</w:t>
            </w:r>
          </w:p>
          <w:p w14:paraId="6D1A2FB6">
            <w:pPr>
              <w:pStyle w:val="21"/>
              <w:adjustRightInd w:val="0"/>
              <w:snapToGrid w:val="0"/>
              <w:spacing w:beforeAutospacing="0" w:afterAutospacing="0"/>
              <w:jc w:val="center"/>
              <w:rPr>
                <w:rFonts w:hint="default" w:ascii="Times New Roman" w:hAnsi="Times New Roman"/>
                <w:kern w:val="2"/>
                <w:szCs w:val="24"/>
              </w:rPr>
            </w:pPr>
            <w:r>
              <w:rPr>
                <w:rFonts w:hint="default" w:ascii="Times New Roman" w:hAnsi="Times New Roman"/>
                <w:kern w:val="2"/>
                <w:szCs w:val="24"/>
              </w:rPr>
              <w:t>期环</w:t>
            </w:r>
          </w:p>
          <w:p w14:paraId="75895657">
            <w:pPr>
              <w:pStyle w:val="21"/>
              <w:adjustRightInd w:val="0"/>
              <w:snapToGrid w:val="0"/>
              <w:spacing w:beforeAutospacing="0" w:afterAutospacing="0"/>
              <w:jc w:val="center"/>
              <w:rPr>
                <w:rFonts w:hint="default" w:ascii="Times New Roman" w:hAnsi="Times New Roman"/>
                <w:kern w:val="2"/>
                <w:szCs w:val="24"/>
              </w:rPr>
            </w:pPr>
            <w:r>
              <w:rPr>
                <w:rFonts w:hint="default" w:ascii="Times New Roman" w:hAnsi="Times New Roman"/>
                <w:kern w:val="2"/>
                <w:szCs w:val="24"/>
              </w:rPr>
              <w:t>境保</w:t>
            </w:r>
          </w:p>
          <w:p w14:paraId="05F47ABB">
            <w:pPr>
              <w:pStyle w:val="21"/>
              <w:adjustRightInd w:val="0"/>
              <w:snapToGrid w:val="0"/>
              <w:spacing w:beforeAutospacing="0" w:afterAutospacing="0"/>
              <w:jc w:val="center"/>
              <w:rPr>
                <w:rFonts w:hint="default" w:ascii="Times New Roman" w:hAnsi="Times New Roman"/>
                <w:kern w:val="2"/>
                <w:szCs w:val="24"/>
              </w:rPr>
            </w:pPr>
            <w:r>
              <w:rPr>
                <w:rFonts w:hint="default" w:ascii="Times New Roman" w:hAnsi="Times New Roman"/>
                <w:kern w:val="2"/>
                <w:szCs w:val="24"/>
              </w:rPr>
              <w:t>护措</w:t>
            </w:r>
          </w:p>
          <w:p w14:paraId="7085C51A">
            <w:pPr>
              <w:pStyle w:val="21"/>
              <w:adjustRightInd w:val="0"/>
              <w:snapToGrid w:val="0"/>
              <w:spacing w:beforeAutospacing="0" w:afterAutospacing="0"/>
              <w:jc w:val="center"/>
              <w:rPr>
                <w:rFonts w:hint="default" w:ascii="Times New Roman" w:hAnsi="Times New Roman"/>
                <w:bCs/>
                <w:kern w:val="2"/>
                <w:sz w:val="21"/>
                <w:szCs w:val="21"/>
              </w:rPr>
            </w:pPr>
            <w:r>
              <w:rPr>
                <w:rFonts w:hint="default" w:ascii="Times New Roman" w:hAnsi="Times New Roman"/>
                <w:kern w:val="2"/>
                <w:szCs w:val="24"/>
              </w:rPr>
              <w:t>施</w:t>
            </w:r>
          </w:p>
        </w:tc>
        <w:tc>
          <w:tcPr>
            <w:tcW w:w="4582" w:type="pct"/>
            <w:tcBorders>
              <w:top w:val="single" w:color="auto" w:sz="8" w:space="0"/>
              <w:left w:val="single" w:color="auto" w:sz="4" w:space="0"/>
              <w:bottom w:val="single" w:color="auto" w:sz="4" w:space="0"/>
              <w:right w:val="single" w:color="auto" w:sz="8" w:space="0"/>
            </w:tcBorders>
            <w:shd w:val="clear" w:color="auto" w:fill="auto"/>
            <w:vAlign w:val="center"/>
          </w:tcPr>
          <w:p w14:paraId="37F7E1BC">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本项目利用宝鸡市秦成工贸（集团）有限责任公司</w:t>
            </w:r>
            <w:r>
              <w:rPr>
                <w:rFonts w:hint="eastAsia" w:ascii="Times New Roman" w:hAnsi="Times New Roman" w:eastAsia="宋体" w:cs="Times New Roman"/>
                <w:sz w:val="24"/>
              </w:rPr>
              <w:t>标准化</w:t>
            </w:r>
            <w:r>
              <w:rPr>
                <w:rFonts w:ascii="Times New Roman" w:hAnsi="Times New Roman" w:eastAsia="宋体" w:cs="Times New Roman"/>
                <w:sz w:val="24"/>
              </w:rPr>
              <w:t>厂房</w:t>
            </w:r>
            <w:r>
              <w:rPr>
                <w:rFonts w:hint="eastAsia" w:ascii="Times New Roman" w:hAnsi="Times New Roman" w:cs="Times New Roman"/>
                <w:sz w:val="24"/>
              </w:rPr>
              <w:t>进行项目建设，建设期不涉及土建工程。</w:t>
            </w:r>
          </w:p>
          <w:p w14:paraId="3808819F">
            <w:pPr>
              <w:adjustRightInd w:val="0"/>
              <w:snapToGrid w:val="0"/>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一、施工期废气环境影响分析</w:t>
            </w:r>
          </w:p>
          <w:p w14:paraId="5F765C25">
            <w:pPr>
              <w:adjustRightInd w:val="0"/>
              <w:snapToGrid w:val="0"/>
              <w:spacing w:line="360" w:lineRule="auto"/>
              <w:ind w:firstLine="480" w:firstLineChars="200"/>
              <w:rPr>
                <w:rFonts w:ascii="Times New Roman" w:hAnsi="Times New Roman" w:cs="Times New Roman"/>
                <w:sz w:val="24"/>
              </w:rPr>
            </w:pPr>
            <w:r>
              <w:rPr>
                <w:rFonts w:hint="eastAsia"/>
                <w:bCs/>
                <w:sz w:val="24"/>
              </w:rPr>
              <w:t>项目租用现有厂房进行建设，施工期主要为设备安装，不涉及土方作业，评价要求在进行设备基础施工上将车间密闭，定期洒水降尘，施工材料焊接和切割在车间内进行，不得露天焊接和切割。</w:t>
            </w:r>
            <w:r>
              <w:rPr>
                <w:rFonts w:ascii="Times New Roman" w:hAnsi="Times New Roman" w:cs="Times New Roman"/>
                <w:sz w:val="24"/>
              </w:rPr>
              <w:t>随着施工期的结束，废气的影响将消失，对周围环境影响也将消失。</w:t>
            </w:r>
          </w:p>
          <w:p w14:paraId="0B4F2230">
            <w:pPr>
              <w:adjustRightInd w:val="0"/>
              <w:snapToGrid w:val="0"/>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二、施工期废水环境影响分析</w:t>
            </w:r>
          </w:p>
          <w:p w14:paraId="57B6FCAE">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w:t>
            </w:r>
            <w:r>
              <w:rPr>
                <w:rFonts w:hint="eastAsia" w:ascii="Times New Roman" w:hAnsi="Times New Roman" w:cs="Times New Roman"/>
                <w:sz w:val="24"/>
              </w:rPr>
              <w:t>施工期</w:t>
            </w:r>
            <w:r>
              <w:rPr>
                <w:rFonts w:ascii="Times New Roman" w:hAnsi="Times New Roman" w:cs="Times New Roman"/>
                <w:sz w:val="24"/>
              </w:rPr>
              <w:t>短，施工人员少，施工过程中人员产生的生活污水依托</w:t>
            </w:r>
            <w:r>
              <w:rPr>
                <w:rFonts w:hint="eastAsia" w:ascii="Times New Roman" w:hAnsi="Times New Roman" w:cs="Times New Roman"/>
                <w:kern w:val="0"/>
                <w:sz w:val="24"/>
              </w:rPr>
              <w:t>厂区现有</w:t>
            </w:r>
            <w:r>
              <w:rPr>
                <w:rFonts w:ascii="Times New Roman" w:hAnsi="Times New Roman" w:cs="Times New Roman"/>
                <w:sz w:val="24"/>
              </w:rPr>
              <w:t>化粪池处理后</w:t>
            </w:r>
            <w:r>
              <w:rPr>
                <w:rFonts w:hint="eastAsia" w:ascii="Times New Roman" w:hAnsi="Times New Roman" w:cs="Times New Roman"/>
                <w:sz w:val="24"/>
              </w:rPr>
              <w:t>排至高新污水处理厂</w:t>
            </w:r>
            <w:r>
              <w:rPr>
                <w:rFonts w:ascii="Times New Roman" w:hAnsi="Times New Roman" w:cs="Times New Roman"/>
                <w:sz w:val="24"/>
              </w:rPr>
              <w:t>，对周围环境影响较小。</w:t>
            </w:r>
          </w:p>
          <w:p w14:paraId="1B455473">
            <w:pPr>
              <w:adjustRightInd w:val="0"/>
              <w:snapToGrid w:val="0"/>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三、施工期噪声环境影响分析</w:t>
            </w:r>
          </w:p>
          <w:p w14:paraId="5D43410F">
            <w:pPr>
              <w:adjustRightInd w:val="0"/>
              <w:snapToGrid w:val="0"/>
              <w:spacing w:line="360" w:lineRule="auto"/>
              <w:ind w:firstLine="480" w:firstLineChars="200"/>
              <w:rPr>
                <w:rFonts w:ascii="Times New Roman" w:hAnsi="Times New Roman" w:cs="Times New Roman"/>
                <w:szCs w:val="21"/>
              </w:rPr>
            </w:pPr>
            <w:r>
              <w:rPr>
                <w:rFonts w:ascii="Times New Roman" w:hAnsi="Times New Roman" w:cs="Times New Roman"/>
                <w:sz w:val="24"/>
              </w:rPr>
              <w:t>根据类比调查，</w:t>
            </w:r>
            <w:r>
              <w:rPr>
                <w:rFonts w:hint="eastAsia" w:ascii="Times New Roman" w:hAnsi="Times New Roman" w:cs="Times New Roman"/>
                <w:sz w:val="24"/>
              </w:rPr>
              <w:t>施工</w:t>
            </w:r>
            <w:r>
              <w:rPr>
                <w:rFonts w:ascii="Times New Roman" w:hAnsi="Times New Roman" w:cs="Times New Roman"/>
                <w:sz w:val="24"/>
              </w:rPr>
              <w:t>阶段主要噪声设备及噪声级见下表。</w:t>
            </w:r>
          </w:p>
          <w:p w14:paraId="2CF437B6">
            <w:pPr>
              <w:widowControl/>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表4-1    不同施工机械环境噪声源及噪声影响预测结果</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9"/>
              <w:gridCol w:w="1285"/>
              <w:gridCol w:w="1303"/>
              <w:gridCol w:w="1218"/>
              <w:gridCol w:w="870"/>
              <w:gridCol w:w="870"/>
              <w:gridCol w:w="875"/>
              <w:gridCol w:w="879"/>
            </w:tblGrid>
            <w:tr w14:paraId="678F44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1" w:hRule="atLeast"/>
                <w:jc w:val="center"/>
              </w:trPr>
              <w:tc>
                <w:tcPr>
                  <w:tcW w:w="628" w:type="pct"/>
                  <w:vMerge w:val="restart"/>
                  <w:tcBorders>
                    <w:tl2br w:val="nil"/>
                    <w:tr2bl w:val="nil"/>
                  </w:tcBorders>
                  <w:vAlign w:val="center"/>
                </w:tcPr>
                <w:p w14:paraId="140C1596">
                  <w:pPr>
                    <w:adjustRightInd w:val="0"/>
                    <w:snapToGrid w:val="0"/>
                    <w:jc w:val="center"/>
                    <w:rPr>
                      <w:rFonts w:ascii="Times New Roman" w:hAnsi="Times New Roman" w:cs="Times New Roman"/>
                      <w:szCs w:val="21"/>
                    </w:rPr>
                  </w:pPr>
                  <w:r>
                    <w:rPr>
                      <w:rFonts w:ascii="Times New Roman" w:hAnsi="Times New Roman" w:cs="Times New Roman"/>
                      <w:szCs w:val="21"/>
                    </w:rPr>
                    <w:t>施工</w:t>
                  </w:r>
                </w:p>
                <w:p w14:paraId="7B3A81C2">
                  <w:pPr>
                    <w:adjustRightInd w:val="0"/>
                    <w:snapToGrid w:val="0"/>
                    <w:jc w:val="center"/>
                    <w:rPr>
                      <w:rFonts w:ascii="Times New Roman" w:hAnsi="Times New Roman" w:cs="Times New Roman"/>
                      <w:szCs w:val="21"/>
                    </w:rPr>
                  </w:pPr>
                  <w:r>
                    <w:rPr>
                      <w:rFonts w:ascii="Times New Roman" w:hAnsi="Times New Roman" w:cs="Times New Roman"/>
                      <w:szCs w:val="21"/>
                    </w:rPr>
                    <w:t>阶段</w:t>
                  </w:r>
                </w:p>
              </w:tc>
              <w:tc>
                <w:tcPr>
                  <w:tcW w:w="769" w:type="pct"/>
                  <w:vMerge w:val="restart"/>
                  <w:tcBorders>
                    <w:tl2br w:val="nil"/>
                    <w:tr2bl w:val="nil"/>
                  </w:tcBorders>
                  <w:vAlign w:val="center"/>
                </w:tcPr>
                <w:p w14:paraId="7B9E5573">
                  <w:pPr>
                    <w:adjustRightInd w:val="0"/>
                    <w:snapToGrid w:val="0"/>
                    <w:jc w:val="center"/>
                    <w:rPr>
                      <w:rFonts w:ascii="Times New Roman" w:hAnsi="Times New Roman" w:cs="Times New Roman"/>
                      <w:szCs w:val="21"/>
                    </w:rPr>
                  </w:pPr>
                  <w:r>
                    <w:rPr>
                      <w:rFonts w:ascii="Times New Roman" w:hAnsi="Times New Roman" w:cs="Times New Roman"/>
                      <w:szCs w:val="21"/>
                    </w:rPr>
                    <w:t>设备名称</w:t>
                  </w:r>
                </w:p>
              </w:tc>
              <w:tc>
                <w:tcPr>
                  <w:tcW w:w="780" w:type="pct"/>
                  <w:vMerge w:val="restart"/>
                  <w:tcBorders>
                    <w:tl2br w:val="nil"/>
                    <w:tr2bl w:val="nil"/>
                  </w:tcBorders>
                  <w:vAlign w:val="center"/>
                </w:tcPr>
                <w:p w14:paraId="50A2F59E">
                  <w:pPr>
                    <w:adjustRightInd w:val="0"/>
                    <w:snapToGrid w:val="0"/>
                    <w:jc w:val="center"/>
                    <w:rPr>
                      <w:rFonts w:ascii="Times New Roman" w:hAnsi="Times New Roman" w:cs="Times New Roman"/>
                      <w:szCs w:val="21"/>
                    </w:rPr>
                  </w:pPr>
                  <w:r>
                    <w:rPr>
                      <w:rFonts w:ascii="Times New Roman" w:hAnsi="Times New Roman" w:cs="Times New Roman"/>
                      <w:szCs w:val="21"/>
                    </w:rPr>
                    <w:t>声源声级</w:t>
                  </w:r>
                </w:p>
                <w:p w14:paraId="536D9426">
                  <w:pPr>
                    <w:adjustRightInd w:val="0"/>
                    <w:snapToGrid w:val="0"/>
                    <w:jc w:val="center"/>
                    <w:rPr>
                      <w:rFonts w:ascii="Times New Roman" w:hAnsi="Times New Roman" w:eastAsia="宋体" w:cs="Times New Roman"/>
                      <w:szCs w:val="21"/>
                    </w:rPr>
                  </w:pPr>
                  <w:r>
                    <w:rPr>
                      <w:rFonts w:ascii="Times New Roman" w:hAnsi="Times New Roman" w:cs="Times New Roman"/>
                      <w:szCs w:val="21"/>
                    </w:rPr>
                    <w:t>dB（A）</w:t>
                  </w:r>
                </w:p>
              </w:tc>
              <w:tc>
                <w:tcPr>
                  <w:tcW w:w="729" w:type="pct"/>
                  <w:vMerge w:val="restart"/>
                  <w:tcBorders>
                    <w:tl2br w:val="nil"/>
                    <w:tr2bl w:val="nil"/>
                  </w:tcBorders>
                  <w:vAlign w:val="center"/>
                </w:tcPr>
                <w:p w14:paraId="1679DE95">
                  <w:pPr>
                    <w:adjustRightInd w:val="0"/>
                    <w:snapToGrid w:val="0"/>
                    <w:jc w:val="center"/>
                    <w:rPr>
                      <w:rFonts w:ascii="Times New Roman" w:hAnsi="Times New Roman" w:cs="Times New Roman"/>
                      <w:szCs w:val="21"/>
                    </w:rPr>
                  </w:pPr>
                  <w:r>
                    <w:rPr>
                      <w:rFonts w:ascii="Times New Roman" w:hAnsi="Times New Roman" w:cs="Times New Roman"/>
                      <w:szCs w:val="21"/>
                    </w:rPr>
                    <w:t>距声源</w:t>
                  </w:r>
                </w:p>
                <w:p w14:paraId="12C6757B">
                  <w:pPr>
                    <w:adjustRightInd w:val="0"/>
                    <w:snapToGrid w:val="0"/>
                    <w:jc w:val="center"/>
                    <w:rPr>
                      <w:rFonts w:ascii="Times New Roman" w:hAnsi="Times New Roman" w:eastAsia="宋体" w:cs="Times New Roman"/>
                      <w:szCs w:val="21"/>
                    </w:rPr>
                  </w:pPr>
                  <w:r>
                    <w:rPr>
                      <w:rFonts w:ascii="Times New Roman" w:hAnsi="Times New Roman" w:cs="Times New Roman"/>
                      <w:szCs w:val="21"/>
                    </w:rPr>
                    <w:t>距离（m）</w:t>
                  </w:r>
                </w:p>
              </w:tc>
              <w:tc>
                <w:tcPr>
                  <w:tcW w:w="1042" w:type="pct"/>
                  <w:gridSpan w:val="2"/>
                  <w:tcBorders>
                    <w:tl2br w:val="nil"/>
                    <w:tr2bl w:val="nil"/>
                  </w:tcBorders>
                  <w:vAlign w:val="center"/>
                </w:tcPr>
                <w:p w14:paraId="3B662A91">
                  <w:pPr>
                    <w:adjustRightInd w:val="0"/>
                    <w:snapToGrid w:val="0"/>
                    <w:jc w:val="center"/>
                    <w:rPr>
                      <w:rFonts w:ascii="Times New Roman" w:hAnsi="Times New Roman" w:cs="Times New Roman"/>
                      <w:szCs w:val="21"/>
                    </w:rPr>
                  </w:pPr>
                  <w:r>
                    <w:rPr>
                      <w:rFonts w:ascii="Times New Roman" w:hAnsi="Times New Roman" w:cs="Times New Roman"/>
                      <w:szCs w:val="21"/>
                    </w:rPr>
                    <w:t>评价标准</w:t>
                  </w:r>
                </w:p>
                <w:p w14:paraId="70099FEF">
                  <w:pPr>
                    <w:adjustRightInd w:val="0"/>
                    <w:snapToGrid w:val="0"/>
                    <w:jc w:val="center"/>
                    <w:rPr>
                      <w:rFonts w:ascii="Times New Roman" w:hAnsi="Times New Roman" w:eastAsia="宋体" w:cs="Times New Roman"/>
                      <w:szCs w:val="21"/>
                    </w:rPr>
                  </w:pPr>
                  <w:r>
                    <w:rPr>
                      <w:rFonts w:ascii="Times New Roman" w:hAnsi="Times New Roman" w:cs="Times New Roman"/>
                      <w:szCs w:val="21"/>
                    </w:rPr>
                    <w:t>dB（A）</w:t>
                  </w:r>
                </w:p>
              </w:tc>
              <w:tc>
                <w:tcPr>
                  <w:tcW w:w="1050" w:type="pct"/>
                  <w:gridSpan w:val="2"/>
                  <w:tcBorders>
                    <w:tl2br w:val="nil"/>
                    <w:tr2bl w:val="nil"/>
                  </w:tcBorders>
                  <w:vAlign w:val="center"/>
                </w:tcPr>
                <w:p w14:paraId="5F49C87D">
                  <w:pPr>
                    <w:adjustRightInd w:val="0"/>
                    <w:snapToGrid w:val="0"/>
                    <w:jc w:val="center"/>
                    <w:rPr>
                      <w:rFonts w:ascii="Times New Roman" w:hAnsi="Times New Roman" w:eastAsia="宋体" w:cs="Times New Roman"/>
                      <w:szCs w:val="21"/>
                    </w:rPr>
                  </w:pPr>
                  <w:r>
                    <w:rPr>
                      <w:rFonts w:ascii="Times New Roman" w:hAnsi="Times New Roman" w:cs="Times New Roman"/>
                      <w:szCs w:val="21"/>
                    </w:rPr>
                    <w:t>最大超标范围（m）</w:t>
                  </w:r>
                </w:p>
              </w:tc>
            </w:tr>
            <w:tr w14:paraId="40F5F5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28" w:type="pct"/>
                  <w:vMerge w:val="continue"/>
                  <w:tcBorders>
                    <w:tl2br w:val="nil"/>
                    <w:tr2bl w:val="nil"/>
                  </w:tcBorders>
                  <w:vAlign w:val="center"/>
                </w:tcPr>
                <w:p w14:paraId="65A6736D">
                  <w:pPr>
                    <w:widowControl/>
                    <w:adjustRightInd w:val="0"/>
                    <w:snapToGrid w:val="0"/>
                    <w:jc w:val="center"/>
                    <w:rPr>
                      <w:rFonts w:ascii="Times New Roman" w:hAnsi="Times New Roman" w:cs="Times New Roman"/>
                      <w:szCs w:val="21"/>
                    </w:rPr>
                  </w:pPr>
                </w:p>
              </w:tc>
              <w:tc>
                <w:tcPr>
                  <w:tcW w:w="769" w:type="pct"/>
                  <w:vMerge w:val="continue"/>
                  <w:tcBorders>
                    <w:tl2br w:val="nil"/>
                    <w:tr2bl w:val="nil"/>
                  </w:tcBorders>
                  <w:vAlign w:val="center"/>
                </w:tcPr>
                <w:p w14:paraId="25AD8014">
                  <w:pPr>
                    <w:widowControl/>
                    <w:adjustRightInd w:val="0"/>
                    <w:snapToGrid w:val="0"/>
                    <w:jc w:val="center"/>
                    <w:rPr>
                      <w:rFonts w:ascii="Times New Roman" w:hAnsi="Times New Roman" w:cs="Times New Roman"/>
                      <w:szCs w:val="21"/>
                    </w:rPr>
                  </w:pPr>
                </w:p>
              </w:tc>
              <w:tc>
                <w:tcPr>
                  <w:tcW w:w="780" w:type="pct"/>
                  <w:vMerge w:val="continue"/>
                  <w:tcBorders>
                    <w:tl2br w:val="nil"/>
                    <w:tr2bl w:val="nil"/>
                  </w:tcBorders>
                  <w:vAlign w:val="center"/>
                </w:tcPr>
                <w:p w14:paraId="344EF41D">
                  <w:pPr>
                    <w:widowControl/>
                    <w:adjustRightInd w:val="0"/>
                    <w:snapToGrid w:val="0"/>
                    <w:jc w:val="center"/>
                    <w:rPr>
                      <w:rFonts w:ascii="Times New Roman" w:hAnsi="Times New Roman" w:cs="Times New Roman"/>
                      <w:szCs w:val="21"/>
                    </w:rPr>
                  </w:pPr>
                </w:p>
              </w:tc>
              <w:tc>
                <w:tcPr>
                  <w:tcW w:w="729" w:type="pct"/>
                  <w:vMerge w:val="continue"/>
                  <w:tcBorders>
                    <w:tl2br w:val="nil"/>
                    <w:tr2bl w:val="nil"/>
                  </w:tcBorders>
                  <w:vAlign w:val="center"/>
                </w:tcPr>
                <w:p w14:paraId="620DE59D">
                  <w:pPr>
                    <w:widowControl/>
                    <w:adjustRightInd w:val="0"/>
                    <w:snapToGrid w:val="0"/>
                    <w:jc w:val="center"/>
                    <w:rPr>
                      <w:rFonts w:ascii="Times New Roman" w:hAnsi="Times New Roman" w:cs="Times New Roman"/>
                      <w:szCs w:val="21"/>
                    </w:rPr>
                  </w:pPr>
                </w:p>
              </w:tc>
              <w:tc>
                <w:tcPr>
                  <w:tcW w:w="521" w:type="pct"/>
                  <w:tcBorders>
                    <w:tl2br w:val="nil"/>
                    <w:tr2bl w:val="nil"/>
                  </w:tcBorders>
                  <w:vAlign w:val="center"/>
                </w:tcPr>
                <w:p w14:paraId="4F02739C">
                  <w:pPr>
                    <w:adjustRightInd w:val="0"/>
                    <w:snapToGrid w:val="0"/>
                    <w:jc w:val="center"/>
                    <w:rPr>
                      <w:rFonts w:ascii="Times New Roman" w:hAnsi="Times New Roman" w:cs="Times New Roman"/>
                      <w:szCs w:val="21"/>
                    </w:rPr>
                  </w:pPr>
                  <w:r>
                    <w:rPr>
                      <w:rFonts w:ascii="Times New Roman" w:hAnsi="Times New Roman" w:cs="Times New Roman"/>
                      <w:szCs w:val="21"/>
                    </w:rPr>
                    <w:t>昼间</w:t>
                  </w:r>
                </w:p>
              </w:tc>
              <w:tc>
                <w:tcPr>
                  <w:tcW w:w="521" w:type="pct"/>
                  <w:tcBorders>
                    <w:tl2br w:val="nil"/>
                    <w:tr2bl w:val="nil"/>
                  </w:tcBorders>
                  <w:vAlign w:val="center"/>
                </w:tcPr>
                <w:p w14:paraId="53A8C84F">
                  <w:pPr>
                    <w:adjustRightInd w:val="0"/>
                    <w:snapToGrid w:val="0"/>
                    <w:jc w:val="center"/>
                    <w:rPr>
                      <w:rFonts w:ascii="Times New Roman" w:hAnsi="Times New Roman" w:cs="Times New Roman"/>
                      <w:szCs w:val="21"/>
                    </w:rPr>
                  </w:pPr>
                  <w:r>
                    <w:rPr>
                      <w:rFonts w:ascii="Times New Roman" w:hAnsi="Times New Roman" w:cs="Times New Roman"/>
                      <w:szCs w:val="21"/>
                    </w:rPr>
                    <w:t>夜间</w:t>
                  </w:r>
                </w:p>
              </w:tc>
              <w:tc>
                <w:tcPr>
                  <w:tcW w:w="524" w:type="pct"/>
                  <w:tcBorders>
                    <w:tl2br w:val="nil"/>
                    <w:tr2bl w:val="nil"/>
                  </w:tcBorders>
                  <w:vAlign w:val="center"/>
                </w:tcPr>
                <w:p w14:paraId="5F39E5E4">
                  <w:pPr>
                    <w:adjustRightInd w:val="0"/>
                    <w:snapToGrid w:val="0"/>
                    <w:jc w:val="center"/>
                    <w:rPr>
                      <w:rFonts w:ascii="Times New Roman" w:hAnsi="Times New Roman" w:cs="Times New Roman"/>
                      <w:szCs w:val="21"/>
                    </w:rPr>
                  </w:pPr>
                  <w:r>
                    <w:rPr>
                      <w:rFonts w:ascii="Times New Roman" w:hAnsi="Times New Roman" w:cs="Times New Roman"/>
                      <w:szCs w:val="21"/>
                    </w:rPr>
                    <w:t>昼间</w:t>
                  </w:r>
                </w:p>
              </w:tc>
              <w:tc>
                <w:tcPr>
                  <w:tcW w:w="525" w:type="pct"/>
                  <w:tcBorders>
                    <w:tl2br w:val="nil"/>
                    <w:tr2bl w:val="nil"/>
                  </w:tcBorders>
                  <w:vAlign w:val="center"/>
                </w:tcPr>
                <w:p w14:paraId="62B84FB6">
                  <w:pPr>
                    <w:adjustRightInd w:val="0"/>
                    <w:snapToGrid w:val="0"/>
                    <w:jc w:val="center"/>
                    <w:rPr>
                      <w:rFonts w:ascii="Times New Roman" w:hAnsi="Times New Roman" w:cs="Times New Roman"/>
                      <w:szCs w:val="21"/>
                    </w:rPr>
                  </w:pPr>
                  <w:r>
                    <w:rPr>
                      <w:rFonts w:ascii="Times New Roman" w:hAnsi="Times New Roman" w:cs="Times New Roman"/>
                      <w:szCs w:val="21"/>
                    </w:rPr>
                    <w:t>夜间</w:t>
                  </w:r>
                </w:p>
              </w:tc>
            </w:tr>
            <w:tr w14:paraId="58285B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2" w:hRule="atLeast"/>
                <w:jc w:val="center"/>
              </w:trPr>
              <w:tc>
                <w:tcPr>
                  <w:tcW w:w="628" w:type="pct"/>
                  <w:vMerge w:val="restart"/>
                  <w:tcBorders>
                    <w:tl2br w:val="nil"/>
                    <w:tr2bl w:val="nil"/>
                  </w:tcBorders>
                  <w:vAlign w:val="center"/>
                </w:tcPr>
                <w:p w14:paraId="5ABC39D2">
                  <w:pPr>
                    <w:adjustRightInd w:val="0"/>
                    <w:snapToGrid w:val="0"/>
                    <w:jc w:val="center"/>
                    <w:rPr>
                      <w:rFonts w:ascii="Times New Roman" w:hAnsi="Times New Roman" w:cs="Times New Roman"/>
                      <w:szCs w:val="21"/>
                    </w:rPr>
                  </w:pPr>
                  <w:r>
                    <w:rPr>
                      <w:rFonts w:ascii="Times New Roman" w:hAnsi="Times New Roman" w:cs="Times New Roman"/>
                      <w:szCs w:val="21"/>
                    </w:rPr>
                    <w:t>装修期</w:t>
                  </w:r>
                </w:p>
              </w:tc>
              <w:tc>
                <w:tcPr>
                  <w:tcW w:w="769" w:type="pct"/>
                  <w:tcBorders>
                    <w:tl2br w:val="nil"/>
                    <w:tr2bl w:val="nil"/>
                  </w:tcBorders>
                  <w:vAlign w:val="center"/>
                </w:tcPr>
                <w:p w14:paraId="7EFB0931">
                  <w:pPr>
                    <w:adjustRightInd w:val="0"/>
                    <w:snapToGrid w:val="0"/>
                    <w:jc w:val="center"/>
                    <w:rPr>
                      <w:rFonts w:ascii="Times New Roman" w:hAnsi="Times New Roman" w:cs="Times New Roman"/>
                      <w:szCs w:val="21"/>
                    </w:rPr>
                  </w:pPr>
                  <w:r>
                    <w:rPr>
                      <w:rFonts w:ascii="Times New Roman" w:hAnsi="Times New Roman" w:cs="Times New Roman"/>
                      <w:szCs w:val="21"/>
                    </w:rPr>
                    <w:t>电锯</w:t>
                  </w:r>
                </w:p>
              </w:tc>
              <w:tc>
                <w:tcPr>
                  <w:tcW w:w="780" w:type="pct"/>
                  <w:tcBorders>
                    <w:tl2br w:val="nil"/>
                    <w:tr2bl w:val="nil"/>
                  </w:tcBorders>
                  <w:vAlign w:val="center"/>
                </w:tcPr>
                <w:p w14:paraId="6F3A5806">
                  <w:pPr>
                    <w:adjustRightInd w:val="0"/>
                    <w:snapToGrid w:val="0"/>
                    <w:jc w:val="center"/>
                    <w:rPr>
                      <w:rFonts w:ascii="Times New Roman" w:hAnsi="Times New Roman" w:cs="Times New Roman"/>
                      <w:szCs w:val="21"/>
                    </w:rPr>
                  </w:pPr>
                  <w:r>
                    <w:rPr>
                      <w:rFonts w:ascii="Times New Roman" w:hAnsi="Times New Roman" w:cs="Times New Roman"/>
                      <w:szCs w:val="21"/>
                    </w:rPr>
                    <w:t>95</w:t>
                  </w:r>
                </w:p>
              </w:tc>
              <w:tc>
                <w:tcPr>
                  <w:tcW w:w="729" w:type="pct"/>
                  <w:tcBorders>
                    <w:tl2br w:val="nil"/>
                    <w:tr2bl w:val="nil"/>
                  </w:tcBorders>
                  <w:vAlign w:val="center"/>
                </w:tcPr>
                <w:p w14:paraId="074E58A8">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521" w:type="pct"/>
                  <w:tcBorders>
                    <w:tl2br w:val="nil"/>
                    <w:tr2bl w:val="nil"/>
                  </w:tcBorders>
                  <w:vAlign w:val="center"/>
                </w:tcPr>
                <w:p w14:paraId="163A98F5">
                  <w:pPr>
                    <w:adjustRightInd w:val="0"/>
                    <w:snapToGrid w:val="0"/>
                    <w:jc w:val="center"/>
                    <w:rPr>
                      <w:rFonts w:ascii="Times New Roman" w:hAnsi="Times New Roman" w:cs="Times New Roman"/>
                      <w:szCs w:val="21"/>
                    </w:rPr>
                  </w:pPr>
                  <w:r>
                    <w:rPr>
                      <w:rFonts w:ascii="Times New Roman" w:hAnsi="Times New Roman" w:cs="Times New Roman"/>
                      <w:szCs w:val="21"/>
                    </w:rPr>
                    <w:t>70</w:t>
                  </w:r>
                </w:p>
              </w:tc>
              <w:tc>
                <w:tcPr>
                  <w:tcW w:w="521" w:type="pct"/>
                  <w:tcBorders>
                    <w:tl2br w:val="nil"/>
                    <w:tr2bl w:val="nil"/>
                  </w:tcBorders>
                  <w:vAlign w:val="center"/>
                </w:tcPr>
                <w:p w14:paraId="314FB9B5">
                  <w:pPr>
                    <w:adjustRightInd w:val="0"/>
                    <w:snapToGrid w:val="0"/>
                    <w:jc w:val="center"/>
                    <w:rPr>
                      <w:rFonts w:ascii="Times New Roman" w:hAnsi="Times New Roman" w:cs="Times New Roman"/>
                      <w:szCs w:val="21"/>
                    </w:rPr>
                  </w:pPr>
                  <w:r>
                    <w:rPr>
                      <w:rFonts w:ascii="Times New Roman" w:hAnsi="Times New Roman" w:cs="Times New Roman"/>
                      <w:szCs w:val="21"/>
                    </w:rPr>
                    <w:t>55</w:t>
                  </w:r>
                </w:p>
              </w:tc>
              <w:tc>
                <w:tcPr>
                  <w:tcW w:w="524" w:type="pct"/>
                  <w:tcBorders>
                    <w:tl2br w:val="nil"/>
                    <w:tr2bl w:val="nil"/>
                  </w:tcBorders>
                  <w:vAlign w:val="center"/>
                </w:tcPr>
                <w:p w14:paraId="23D6992B">
                  <w:pPr>
                    <w:adjustRightInd w:val="0"/>
                    <w:snapToGrid w:val="0"/>
                    <w:jc w:val="center"/>
                    <w:rPr>
                      <w:rFonts w:ascii="Times New Roman" w:hAnsi="Times New Roman" w:cs="Times New Roman"/>
                      <w:szCs w:val="21"/>
                    </w:rPr>
                  </w:pPr>
                  <w:r>
                    <w:rPr>
                      <w:rFonts w:ascii="Times New Roman" w:hAnsi="Times New Roman" w:cs="Times New Roman"/>
                      <w:szCs w:val="21"/>
                    </w:rPr>
                    <w:t>18</w:t>
                  </w:r>
                </w:p>
              </w:tc>
              <w:tc>
                <w:tcPr>
                  <w:tcW w:w="525" w:type="pct"/>
                  <w:tcBorders>
                    <w:tl2br w:val="nil"/>
                    <w:tr2bl w:val="nil"/>
                  </w:tcBorders>
                  <w:vAlign w:val="bottom"/>
                </w:tcPr>
                <w:p w14:paraId="2D93B2B8">
                  <w:pPr>
                    <w:adjustRightInd w:val="0"/>
                    <w:snapToGrid w:val="0"/>
                    <w:jc w:val="center"/>
                    <w:rPr>
                      <w:rFonts w:ascii="Times New Roman" w:hAnsi="Times New Roman" w:cs="Times New Roman"/>
                      <w:szCs w:val="21"/>
                    </w:rPr>
                  </w:pPr>
                  <w:r>
                    <w:rPr>
                      <w:rFonts w:ascii="Times New Roman" w:hAnsi="Times New Roman" w:cs="Times New Roman"/>
                      <w:szCs w:val="21"/>
                    </w:rPr>
                    <w:t>100</w:t>
                  </w:r>
                </w:p>
              </w:tc>
            </w:tr>
            <w:tr w14:paraId="6305C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2" w:hRule="atLeast"/>
                <w:jc w:val="center"/>
              </w:trPr>
              <w:tc>
                <w:tcPr>
                  <w:tcW w:w="628" w:type="pct"/>
                  <w:vMerge w:val="continue"/>
                  <w:tcBorders>
                    <w:tl2br w:val="nil"/>
                    <w:tr2bl w:val="nil"/>
                  </w:tcBorders>
                  <w:vAlign w:val="center"/>
                </w:tcPr>
                <w:p w14:paraId="130B1C33">
                  <w:pPr>
                    <w:adjustRightInd w:val="0"/>
                    <w:snapToGrid w:val="0"/>
                    <w:jc w:val="center"/>
                    <w:rPr>
                      <w:rFonts w:ascii="Times New Roman" w:hAnsi="Times New Roman" w:cs="Times New Roman"/>
                      <w:szCs w:val="21"/>
                    </w:rPr>
                  </w:pPr>
                </w:p>
              </w:tc>
              <w:tc>
                <w:tcPr>
                  <w:tcW w:w="769" w:type="pct"/>
                  <w:tcBorders>
                    <w:tl2br w:val="nil"/>
                    <w:tr2bl w:val="nil"/>
                  </w:tcBorders>
                  <w:vAlign w:val="center"/>
                </w:tcPr>
                <w:p w14:paraId="52E3F36D">
                  <w:pPr>
                    <w:adjustRightInd w:val="0"/>
                    <w:snapToGrid w:val="0"/>
                    <w:jc w:val="center"/>
                    <w:rPr>
                      <w:rFonts w:ascii="Times New Roman" w:hAnsi="Times New Roman" w:cs="Times New Roman"/>
                      <w:szCs w:val="21"/>
                    </w:rPr>
                  </w:pPr>
                  <w:r>
                    <w:rPr>
                      <w:rFonts w:ascii="Times New Roman" w:hAnsi="Times New Roman" w:cs="Times New Roman"/>
                      <w:szCs w:val="21"/>
                    </w:rPr>
                    <w:t>切割机</w:t>
                  </w:r>
                </w:p>
              </w:tc>
              <w:tc>
                <w:tcPr>
                  <w:tcW w:w="780" w:type="pct"/>
                  <w:tcBorders>
                    <w:tl2br w:val="nil"/>
                    <w:tr2bl w:val="nil"/>
                  </w:tcBorders>
                  <w:vAlign w:val="center"/>
                </w:tcPr>
                <w:p w14:paraId="0DA5A04B">
                  <w:pPr>
                    <w:adjustRightInd w:val="0"/>
                    <w:snapToGrid w:val="0"/>
                    <w:jc w:val="center"/>
                    <w:rPr>
                      <w:rFonts w:ascii="Times New Roman" w:hAnsi="Times New Roman" w:cs="Times New Roman"/>
                      <w:szCs w:val="21"/>
                    </w:rPr>
                  </w:pPr>
                  <w:r>
                    <w:rPr>
                      <w:rFonts w:ascii="Times New Roman" w:hAnsi="Times New Roman" w:cs="Times New Roman"/>
                      <w:szCs w:val="21"/>
                    </w:rPr>
                    <w:t>85</w:t>
                  </w:r>
                </w:p>
              </w:tc>
              <w:tc>
                <w:tcPr>
                  <w:tcW w:w="729" w:type="pct"/>
                  <w:tcBorders>
                    <w:tl2br w:val="nil"/>
                    <w:tr2bl w:val="nil"/>
                  </w:tcBorders>
                  <w:vAlign w:val="center"/>
                </w:tcPr>
                <w:p w14:paraId="16E48829">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521" w:type="pct"/>
                  <w:tcBorders>
                    <w:tl2br w:val="nil"/>
                    <w:tr2bl w:val="nil"/>
                  </w:tcBorders>
                  <w:vAlign w:val="center"/>
                </w:tcPr>
                <w:p w14:paraId="7BDD605D">
                  <w:pPr>
                    <w:adjustRightInd w:val="0"/>
                    <w:snapToGrid w:val="0"/>
                    <w:jc w:val="center"/>
                    <w:rPr>
                      <w:rFonts w:ascii="Times New Roman" w:hAnsi="Times New Roman" w:cs="Times New Roman"/>
                      <w:szCs w:val="21"/>
                    </w:rPr>
                  </w:pPr>
                  <w:r>
                    <w:rPr>
                      <w:rFonts w:ascii="Times New Roman" w:hAnsi="Times New Roman" w:cs="Times New Roman"/>
                      <w:szCs w:val="21"/>
                    </w:rPr>
                    <w:t>70</w:t>
                  </w:r>
                </w:p>
              </w:tc>
              <w:tc>
                <w:tcPr>
                  <w:tcW w:w="521" w:type="pct"/>
                  <w:tcBorders>
                    <w:tl2br w:val="nil"/>
                    <w:tr2bl w:val="nil"/>
                  </w:tcBorders>
                  <w:vAlign w:val="center"/>
                </w:tcPr>
                <w:p w14:paraId="29043304">
                  <w:pPr>
                    <w:adjustRightInd w:val="0"/>
                    <w:snapToGrid w:val="0"/>
                    <w:jc w:val="center"/>
                    <w:rPr>
                      <w:rFonts w:ascii="Times New Roman" w:hAnsi="Times New Roman" w:cs="Times New Roman"/>
                      <w:szCs w:val="21"/>
                    </w:rPr>
                  </w:pPr>
                  <w:r>
                    <w:rPr>
                      <w:rFonts w:ascii="Times New Roman" w:hAnsi="Times New Roman" w:cs="Times New Roman"/>
                      <w:szCs w:val="21"/>
                    </w:rPr>
                    <w:t>55</w:t>
                  </w:r>
                </w:p>
              </w:tc>
              <w:tc>
                <w:tcPr>
                  <w:tcW w:w="524" w:type="pct"/>
                  <w:tcBorders>
                    <w:tl2br w:val="nil"/>
                    <w:tr2bl w:val="nil"/>
                  </w:tcBorders>
                  <w:vAlign w:val="center"/>
                </w:tcPr>
                <w:p w14:paraId="6FCF0D3B">
                  <w:pPr>
                    <w:adjustRightInd w:val="0"/>
                    <w:snapToGrid w:val="0"/>
                    <w:jc w:val="center"/>
                    <w:rPr>
                      <w:rFonts w:ascii="Times New Roman" w:hAnsi="Times New Roman" w:cs="Times New Roman"/>
                      <w:szCs w:val="21"/>
                    </w:rPr>
                  </w:pPr>
                  <w:r>
                    <w:rPr>
                      <w:rFonts w:ascii="Times New Roman" w:hAnsi="Times New Roman" w:cs="Times New Roman"/>
                      <w:szCs w:val="21"/>
                    </w:rPr>
                    <w:t>6</w:t>
                  </w:r>
                </w:p>
              </w:tc>
              <w:tc>
                <w:tcPr>
                  <w:tcW w:w="525" w:type="pct"/>
                  <w:tcBorders>
                    <w:tl2br w:val="nil"/>
                    <w:tr2bl w:val="nil"/>
                  </w:tcBorders>
                  <w:vAlign w:val="bottom"/>
                </w:tcPr>
                <w:p w14:paraId="74A6E16C">
                  <w:pPr>
                    <w:adjustRightInd w:val="0"/>
                    <w:snapToGrid w:val="0"/>
                    <w:jc w:val="center"/>
                    <w:rPr>
                      <w:rFonts w:ascii="Times New Roman" w:hAnsi="Times New Roman" w:cs="Times New Roman"/>
                      <w:szCs w:val="21"/>
                    </w:rPr>
                  </w:pPr>
                  <w:r>
                    <w:rPr>
                      <w:rFonts w:ascii="Times New Roman" w:hAnsi="Times New Roman" w:cs="Times New Roman"/>
                      <w:szCs w:val="21"/>
                    </w:rPr>
                    <w:t>32</w:t>
                  </w:r>
                </w:p>
              </w:tc>
            </w:tr>
            <w:tr w14:paraId="10C934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2" w:hRule="atLeast"/>
                <w:jc w:val="center"/>
              </w:trPr>
              <w:tc>
                <w:tcPr>
                  <w:tcW w:w="628" w:type="pct"/>
                  <w:vMerge w:val="continue"/>
                  <w:tcBorders>
                    <w:tl2br w:val="nil"/>
                    <w:tr2bl w:val="nil"/>
                  </w:tcBorders>
                  <w:vAlign w:val="center"/>
                </w:tcPr>
                <w:p w14:paraId="5598F316">
                  <w:pPr>
                    <w:adjustRightInd w:val="0"/>
                    <w:snapToGrid w:val="0"/>
                    <w:jc w:val="center"/>
                    <w:rPr>
                      <w:rFonts w:ascii="Times New Roman" w:hAnsi="Times New Roman" w:cs="Times New Roman"/>
                      <w:szCs w:val="21"/>
                    </w:rPr>
                  </w:pPr>
                </w:p>
              </w:tc>
              <w:tc>
                <w:tcPr>
                  <w:tcW w:w="769" w:type="pct"/>
                  <w:tcBorders>
                    <w:tl2br w:val="nil"/>
                    <w:tr2bl w:val="nil"/>
                  </w:tcBorders>
                  <w:vAlign w:val="center"/>
                </w:tcPr>
                <w:p w14:paraId="125FB422">
                  <w:pPr>
                    <w:adjustRightInd w:val="0"/>
                    <w:snapToGrid w:val="0"/>
                    <w:jc w:val="center"/>
                    <w:rPr>
                      <w:rFonts w:ascii="Times New Roman" w:hAnsi="Times New Roman" w:cs="Times New Roman"/>
                      <w:szCs w:val="21"/>
                    </w:rPr>
                  </w:pPr>
                  <w:r>
                    <w:rPr>
                      <w:rFonts w:ascii="Times New Roman" w:hAnsi="Times New Roman" w:cs="Times New Roman"/>
                      <w:szCs w:val="21"/>
                    </w:rPr>
                    <w:t>电钻</w:t>
                  </w:r>
                </w:p>
              </w:tc>
              <w:tc>
                <w:tcPr>
                  <w:tcW w:w="780" w:type="pct"/>
                  <w:tcBorders>
                    <w:tl2br w:val="nil"/>
                    <w:tr2bl w:val="nil"/>
                  </w:tcBorders>
                  <w:vAlign w:val="center"/>
                </w:tcPr>
                <w:p w14:paraId="2BB2FDF0">
                  <w:pPr>
                    <w:adjustRightInd w:val="0"/>
                    <w:snapToGrid w:val="0"/>
                    <w:jc w:val="center"/>
                    <w:rPr>
                      <w:rFonts w:ascii="Times New Roman" w:hAnsi="Times New Roman" w:cs="Times New Roman"/>
                      <w:szCs w:val="21"/>
                    </w:rPr>
                  </w:pPr>
                  <w:r>
                    <w:rPr>
                      <w:rFonts w:ascii="Times New Roman" w:hAnsi="Times New Roman" w:cs="Times New Roman"/>
                      <w:szCs w:val="21"/>
                    </w:rPr>
                    <w:t>95</w:t>
                  </w:r>
                </w:p>
              </w:tc>
              <w:tc>
                <w:tcPr>
                  <w:tcW w:w="729" w:type="pct"/>
                  <w:tcBorders>
                    <w:tl2br w:val="nil"/>
                    <w:tr2bl w:val="nil"/>
                  </w:tcBorders>
                  <w:vAlign w:val="center"/>
                </w:tcPr>
                <w:p w14:paraId="24ED5FD7">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521" w:type="pct"/>
                  <w:tcBorders>
                    <w:tl2br w:val="nil"/>
                    <w:tr2bl w:val="nil"/>
                  </w:tcBorders>
                  <w:vAlign w:val="center"/>
                </w:tcPr>
                <w:p w14:paraId="6BF0B810">
                  <w:pPr>
                    <w:adjustRightInd w:val="0"/>
                    <w:snapToGrid w:val="0"/>
                    <w:jc w:val="center"/>
                    <w:rPr>
                      <w:rFonts w:ascii="Times New Roman" w:hAnsi="Times New Roman" w:cs="Times New Roman"/>
                      <w:szCs w:val="21"/>
                    </w:rPr>
                  </w:pPr>
                  <w:r>
                    <w:rPr>
                      <w:rFonts w:ascii="Times New Roman" w:hAnsi="Times New Roman" w:cs="Times New Roman"/>
                      <w:szCs w:val="21"/>
                    </w:rPr>
                    <w:t>70</w:t>
                  </w:r>
                </w:p>
              </w:tc>
              <w:tc>
                <w:tcPr>
                  <w:tcW w:w="521" w:type="pct"/>
                  <w:tcBorders>
                    <w:tl2br w:val="nil"/>
                    <w:tr2bl w:val="nil"/>
                  </w:tcBorders>
                  <w:vAlign w:val="center"/>
                </w:tcPr>
                <w:p w14:paraId="5172FE86">
                  <w:pPr>
                    <w:adjustRightInd w:val="0"/>
                    <w:snapToGrid w:val="0"/>
                    <w:jc w:val="center"/>
                    <w:rPr>
                      <w:rFonts w:ascii="Times New Roman" w:hAnsi="Times New Roman" w:cs="Times New Roman"/>
                      <w:szCs w:val="21"/>
                    </w:rPr>
                  </w:pPr>
                  <w:r>
                    <w:rPr>
                      <w:rFonts w:ascii="Times New Roman" w:hAnsi="Times New Roman" w:cs="Times New Roman"/>
                      <w:szCs w:val="21"/>
                    </w:rPr>
                    <w:t>55</w:t>
                  </w:r>
                </w:p>
              </w:tc>
              <w:tc>
                <w:tcPr>
                  <w:tcW w:w="524" w:type="pct"/>
                  <w:tcBorders>
                    <w:tl2br w:val="nil"/>
                    <w:tr2bl w:val="nil"/>
                  </w:tcBorders>
                  <w:vAlign w:val="center"/>
                </w:tcPr>
                <w:p w14:paraId="6EB0034A">
                  <w:pPr>
                    <w:adjustRightInd w:val="0"/>
                    <w:snapToGrid w:val="0"/>
                    <w:jc w:val="center"/>
                    <w:rPr>
                      <w:rFonts w:ascii="Times New Roman" w:hAnsi="Times New Roman" w:cs="Times New Roman"/>
                      <w:szCs w:val="21"/>
                    </w:rPr>
                  </w:pPr>
                  <w:r>
                    <w:rPr>
                      <w:rFonts w:ascii="Times New Roman" w:hAnsi="Times New Roman" w:cs="Times New Roman"/>
                      <w:szCs w:val="21"/>
                    </w:rPr>
                    <w:t>18</w:t>
                  </w:r>
                </w:p>
              </w:tc>
              <w:tc>
                <w:tcPr>
                  <w:tcW w:w="525" w:type="pct"/>
                  <w:tcBorders>
                    <w:tl2br w:val="nil"/>
                    <w:tr2bl w:val="nil"/>
                  </w:tcBorders>
                  <w:vAlign w:val="bottom"/>
                </w:tcPr>
                <w:p w14:paraId="6A9394BB">
                  <w:pPr>
                    <w:adjustRightInd w:val="0"/>
                    <w:snapToGrid w:val="0"/>
                    <w:jc w:val="center"/>
                    <w:rPr>
                      <w:rFonts w:ascii="Times New Roman" w:hAnsi="Times New Roman" w:cs="Times New Roman"/>
                      <w:szCs w:val="21"/>
                    </w:rPr>
                  </w:pPr>
                  <w:r>
                    <w:rPr>
                      <w:rFonts w:ascii="Times New Roman" w:hAnsi="Times New Roman" w:cs="Times New Roman"/>
                      <w:szCs w:val="21"/>
                    </w:rPr>
                    <w:t>100</w:t>
                  </w:r>
                </w:p>
              </w:tc>
            </w:tr>
          </w:tbl>
          <w:p w14:paraId="11C1F981">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由上表可知，电锯和电钻对环境的影响范围约为昼间18m，夜间100m。环评要求建设单位合理安排施工进度和作业时间，禁止夜间（22</w:t>
            </w:r>
            <w:r>
              <w:rPr>
                <w:rFonts w:hint="eastAsia" w:ascii="Times New Roman" w:hAnsi="Times New Roman" w:cs="Times New Roman"/>
                <w:sz w:val="24"/>
              </w:rPr>
              <w:t>:</w:t>
            </w:r>
            <w:r>
              <w:rPr>
                <w:rFonts w:ascii="Times New Roman" w:hAnsi="Times New Roman" w:cs="Times New Roman"/>
                <w:sz w:val="24"/>
              </w:rPr>
              <w:t>00～06</w:t>
            </w:r>
            <w:r>
              <w:rPr>
                <w:rFonts w:hint="eastAsia" w:ascii="Times New Roman" w:hAnsi="Times New Roman" w:cs="Times New Roman"/>
                <w:sz w:val="24"/>
              </w:rPr>
              <w:t>:</w:t>
            </w:r>
            <w:r>
              <w:rPr>
                <w:rFonts w:ascii="Times New Roman" w:hAnsi="Times New Roman" w:cs="Times New Roman"/>
                <w:sz w:val="24"/>
              </w:rPr>
              <w:t>00）进行产生环境噪声污染的建筑施工作业，避免扰民，应采取相应的限时作业；合理安排电锯和电钻的安放位置，并采取基础减振以减小对周围</w:t>
            </w:r>
            <w:r>
              <w:rPr>
                <w:rFonts w:hint="eastAsia" w:ascii="Times New Roman" w:hAnsi="Times New Roman" w:cs="Times New Roman"/>
                <w:sz w:val="24"/>
              </w:rPr>
              <w:t>居民</w:t>
            </w:r>
            <w:r>
              <w:rPr>
                <w:rFonts w:ascii="Times New Roman" w:hAnsi="Times New Roman" w:cs="Times New Roman"/>
                <w:sz w:val="24"/>
              </w:rPr>
              <w:t>的影响。</w:t>
            </w:r>
          </w:p>
          <w:p w14:paraId="51618D32">
            <w:pPr>
              <w:adjustRightInd w:val="0"/>
              <w:snapToGrid w:val="0"/>
              <w:spacing w:line="360" w:lineRule="auto"/>
              <w:ind w:firstLine="482" w:firstLineChars="200"/>
              <w:rPr>
                <w:rFonts w:ascii="Times New Roman" w:hAnsi="Times New Roman" w:cs="Times New Roman"/>
                <w:b/>
                <w:sz w:val="24"/>
              </w:rPr>
            </w:pPr>
            <w:r>
              <w:rPr>
                <w:rFonts w:ascii="Times New Roman" w:hAnsi="Times New Roman" w:cs="Times New Roman"/>
                <w:b/>
                <w:sz w:val="24"/>
              </w:rPr>
              <w:t>四、施工期固体废物环境影响分析</w:t>
            </w:r>
          </w:p>
          <w:p w14:paraId="089AC4D9">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bCs/>
                <w:sz w:val="24"/>
              </w:rPr>
              <w:t>项目施工过程中产生的固体废物主要为</w:t>
            </w:r>
            <w:r>
              <w:rPr>
                <w:rFonts w:hint="eastAsia" w:ascii="Times New Roman" w:hAnsi="Times New Roman" w:cs="Times New Roman"/>
                <w:bCs/>
                <w:sz w:val="24"/>
              </w:rPr>
              <w:t>基础施工产生的建筑垃圾，</w:t>
            </w:r>
            <w:r>
              <w:rPr>
                <w:rFonts w:hint="eastAsia"/>
                <w:sz w:val="24"/>
              </w:rPr>
              <w:t>施工材料切割废料</w:t>
            </w:r>
            <w:r>
              <w:rPr>
                <w:rFonts w:ascii="Times New Roman" w:hAnsi="Times New Roman" w:cs="Times New Roman"/>
                <w:bCs/>
                <w:sz w:val="24"/>
              </w:rPr>
              <w:t>及施工人员的生活</w:t>
            </w:r>
            <w:r>
              <w:rPr>
                <w:rFonts w:hint="eastAsia" w:ascii="Times New Roman" w:hAnsi="Times New Roman" w:cs="Times New Roman"/>
                <w:bCs/>
                <w:sz w:val="24"/>
              </w:rPr>
              <w:t>垃圾。</w:t>
            </w:r>
            <w:r>
              <w:rPr>
                <w:rFonts w:ascii="Times New Roman" w:hAnsi="Times New Roman" w:cs="Times New Roman"/>
                <w:sz w:val="24"/>
              </w:rPr>
              <w:t>生活垃圾产生量按0.5kg/（人·d）计，施工期约</w:t>
            </w:r>
            <w:r>
              <w:rPr>
                <w:rFonts w:hint="eastAsia" w:ascii="Times New Roman" w:hAnsi="Times New Roman" w:cs="Times New Roman"/>
                <w:sz w:val="24"/>
              </w:rPr>
              <w:t>10</w:t>
            </w:r>
            <w:r>
              <w:rPr>
                <w:rFonts w:ascii="Times New Roman" w:hAnsi="Times New Roman" w:cs="Times New Roman"/>
                <w:sz w:val="24"/>
              </w:rPr>
              <w:t>天，施工人员按8人计，施工期生活垃圾产生量为0.0</w:t>
            </w:r>
            <w:r>
              <w:rPr>
                <w:rFonts w:hint="eastAsia" w:ascii="Times New Roman" w:hAnsi="Times New Roman" w:cs="Times New Roman"/>
                <w:sz w:val="24"/>
              </w:rPr>
              <w:t>4</w:t>
            </w:r>
            <w:r>
              <w:rPr>
                <w:rFonts w:ascii="Times New Roman" w:hAnsi="Times New Roman" w:cs="Times New Roman"/>
                <w:sz w:val="24"/>
              </w:rPr>
              <w:t>t。</w:t>
            </w:r>
            <w:r>
              <w:rPr>
                <w:rFonts w:hint="eastAsia"/>
                <w:sz w:val="24"/>
              </w:rPr>
              <w:t>施工材料切割废料及废包装外售综合利用，施工人员生活垃圾委托环卫部门清运，</w:t>
            </w:r>
            <w:r>
              <w:rPr>
                <w:rFonts w:hint="eastAsia" w:ascii="Times New Roman" w:hAnsi="Times New Roman" w:cs="Times New Roman"/>
                <w:bCs/>
                <w:sz w:val="24"/>
              </w:rPr>
              <w:t>建筑垃圾统一收集后运往建筑垃圾填埋场</w:t>
            </w:r>
            <w:r>
              <w:rPr>
                <w:rFonts w:hint="eastAsia"/>
                <w:sz w:val="24"/>
              </w:rPr>
              <w:t>。</w:t>
            </w:r>
          </w:p>
          <w:p w14:paraId="18F6E068">
            <w:pPr>
              <w:adjustRightInd w:val="0"/>
              <w:snapToGrid w:val="0"/>
              <w:spacing w:line="360" w:lineRule="auto"/>
              <w:ind w:firstLine="480" w:firstLineChars="200"/>
              <w:rPr>
                <w:rFonts w:ascii="Times New Roman" w:hAnsi="Times New Roman" w:cs="Times New Roman"/>
              </w:rPr>
            </w:pPr>
            <w:r>
              <w:rPr>
                <w:rFonts w:ascii="Times New Roman" w:hAnsi="Times New Roman" w:cs="Times New Roman"/>
                <w:sz w:val="24"/>
              </w:rPr>
              <w:t>在对</w:t>
            </w:r>
            <w:r>
              <w:rPr>
                <w:rFonts w:hint="eastAsia" w:ascii="Times New Roman" w:hAnsi="Times New Roman" w:cs="Times New Roman"/>
                <w:sz w:val="24"/>
              </w:rPr>
              <w:t>施工期</w:t>
            </w:r>
            <w:r>
              <w:rPr>
                <w:rFonts w:ascii="Times New Roman" w:hAnsi="Times New Roman" w:cs="Times New Roman"/>
                <w:sz w:val="24"/>
              </w:rPr>
              <w:t>固体废物妥善处置的前提下，对周围环境的影响较小。</w:t>
            </w:r>
          </w:p>
        </w:tc>
      </w:tr>
      <w:tr w14:paraId="4BBF3B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26" w:hRule="atLeast"/>
          <w:jc w:val="center"/>
        </w:trPr>
        <w:tc>
          <w:tcPr>
            <w:tcW w:w="417" w:type="pct"/>
            <w:tcBorders>
              <w:top w:val="single" w:color="auto" w:sz="4" w:space="0"/>
              <w:left w:val="single" w:color="auto" w:sz="8" w:space="0"/>
              <w:bottom w:val="single" w:color="auto" w:sz="8" w:space="0"/>
              <w:right w:val="single" w:color="auto" w:sz="4" w:space="0"/>
            </w:tcBorders>
            <w:shd w:val="clear" w:color="auto" w:fill="auto"/>
            <w:tcMar>
              <w:left w:w="28" w:type="dxa"/>
              <w:right w:w="28" w:type="dxa"/>
            </w:tcMar>
            <w:vAlign w:val="center"/>
          </w:tcPr>
          <w:p w14:paraId="49F5F300">
            <w:pPr>
              <w:adjustRightInd w:val="0"/>
              <w:snapToGrid w:val="0"/>
              <w:jc w:val="center"/>
              <w:rPr>
                <w:rFonts w:ascii="Times New Roman" w:hAnsi="Times New Roman" w:eastAsia="宋体" w:cs="Times New Roman"/>
                <w:bCs/>
                <w:szCs w:val="21"/>
              </w:rPr>
            </w:pPr>
          </w:p>
          <w:p w14:paraId="6FB6EC04">
            <w:pPr>
              <w:pStyle w:val="2"/>
              <w:ind w:left="840" w:hanging="420"/>
            </w:pPr>
          </w:p>
        </w:tc>
        <w:tc>
          <w:tcPr>
            <w:tcW w:w="4582" w:type="pct"/>
            <w:tcBorders>
              <w:top w:val="single" w:color="auto" w:sz="4" w:space="0"/>
              <w:left w:val="single" w:color="auto" w:sz="4" w:space="0"/>
              <w:bottom w:val="single" w:color="auto" w:sz="8" w:space="0"/>
              <w:right w:val="single" w:color="auto" w:sz="8" w:space="0"/>
            </w:tcBorders>
            <w:shd w:val="clear" w:color="auto" w:fill="auto"/>
            <w:vAlign w:val="center"/>
          </w:tcPr>
          <w:p w14:paraId="795CC7E3">
            <w:pPr>
              <w:pStyle w:val="2"/>
              <w:adjustRightInd w:val="0"/>
              <w:snapToGrid w:val="0"/>
              <w:spacing w:line="360" w:lineRule="auto"/>
              <w:ind w:left="0" w:leftChars="0" w:firstLine="482" w:firstLineChars="200"/>
              <w:rPr>
                <w:rFonts w:ascii="Times New Roman" w:hAnsi="Times New Roman" w:cs="Times New Roman"/>
                <w:b/>
                <w:bCs/>
                <w:sz w:val="24"/>
              </w:rPr>
            </w:pPr>
            <w:r>
              <w:rPr>
                <w:rFonts w:ascii="Times New Roman" w:hAnsi="Times New Roman" w:cs="Times New Roman"/>
                <w:b/>
                <w:bCs/>
                <w:sz w:val="24"/>
              </w:rPr>
              <w:t>一、废气</w:t>
            </w:r>
          </w:p>
          <w:p w14:paraId="4D380489">
            <w:pPr>
              <w:adjustRightInd w:val="0"/>
              <w:snapToGrid w:val="0"/>
              <w:spacing w:line="360" w:lineRule="auto"/>
              <w:ind w:left="420" w:leftChars="200"/>
              <w:rPr>
                <w:rFonts w:ascii="Times New Roman" w:hAnsi="Times New Roman" w:cs="Times New Roman"/>
                <w:b/>
                <w:bCs/>
                <w:sz w:val="24"/>
              </w:rPr>
            </w:pPr>
            <w:r>
              <w:rPr>
                <w:rFonts w:ascii="Times New Roman" w:hAnsi="Times New Roman" w:cs="Times New Roman"/>
                <w:b/>
                <w:bCs/>
                <w:sz w:val="24"/>
              </w:rPr>
              <w:t>1、废气源强一览</w:t>
            </w:r>
            <w:r>
              <w:rPr>
                <w:rFonts w:hint="eastAsia" w:ascii="Times New Roman" w:hAnsi="Times New Roman" w:cs="Times New Roman"/>
                <w:b/>
                <w:bCs/>
                <w:sz w:val="24"/>
              </w:rPr>
              <w:t>表</w:t>
            </w:r>
          </w:p>
          <w:p w14:paraId="68939851">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本项目废气产生源强详见下表。</w:t>
            </w:r>
          </w:p>
          <w:p w14:paraId="57E48E97">
            <w:pPr>
              <w:adjustRightInd w:val="0"/>
              <w:snapToGrid w:val="0"/>
              <w:ind w:firstLine="422" w:firstLineChars="200"/>
              <w:jc w:val="center"/>
              <w:rPr>
                <w:rFonts w:ascii="Times New Roman" w:hAnsi="Times New Roman" w:eastAsia="宋体" w:cs="Times New Roman"/>
                <w:b/>
                <w:bCs/>
                <w:kern w:val="0"/>
                <w:szCs w:val="21"/>
                <w:lang w:bidi="ar"/>
              </w:rPr>
            </w:pPr>
            <w:r>
              <w:rPr>
                <w:rFonts w:ascii="Times New Roman" w:hAnsi="Times New Roman" w:eastAsia="宋体" w:cs="Times New Roman"/>
                <w:b/>
                <w:bCs/>
                <w:kern w:val="0"/>
                <w:szCs w:val="21"/>
                <w:lang w:bidi="ar"/>
              </w:rPr>
              <w:t>表</w:t>
            </w:r>
            <w:r>
              <w:rPr>
                <w:rFonts w:ascii="Times New Roman" w:hAnsi="Times New Roman" w:eastAsia="宋体" w:cs="Times New Roman"/>
                <w:b/>
                <w:kern w:val="0"/>
                <w:szCs w:val="21"/>
                <w:lang w:bidi="ar"/>
              </w:rPr>
              <w:t>4</w:t>
            </w:r>
            <w:r>
              <w:rPr>
                <w:rFonts w:ascii="Times New Roman" w:hAnsi="Times New Roman" w:eastAsia="宋体" w:cs="Times New Roman"/>
                <w:b/>
                <w:bCs/>
                <w:kern w:val="0"/>
                <w:szCs w:val="21"/>
                <w:lang w:bidi="ar"/>
              </w:rPr>
              <w:t>-</w:t>
            </w:r>
            <w:r>
              <w:rPr>
                <w:rFonts w:hint="eastAsia" w:ascii="Times New Roman" w:hAnsi="Times New Roman" w:eastAsia="宋体" w:cs="Times New Roman"/>
                <w:b/>
                <w:bCs/>
                <w:kern w:val="0"/>
                <w:szCs w:val="21"/>
                <w:lang w:bidi="ar"/>
              </w:rPr>
              <w:t>2</w:t>
            </w:r>
            <w:r>
              <w:rPr>
                <w:rFonts w:ascii="Times New Roman" w:hAnsi="Times New Roman" w:eastAsia="宋体" w:cs="Times New Roman"/>
                <w:b/>
                <w:bCs/>
                <w:kern w:val="0"/>
                <w:szCs w:val="21"/>
                <w:lang w:bidi="ar"/>
              </w:rPr>
              <w:t xml:space="preserve">  项目废气污染物产生情况一览表</w:t>
            </w:r>
          </w:p>
          <w:tbl>
            <w:tblPr>
              <w:tblStyle w:val="26"/>
              <w:tblW w:w="493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427"/>
              <w:gridCol w:w="779"/>
              <w:gridCol w:w="906"/>
              <w:gridCol w:w="779"/>
              <w:gridCol w:w="436"/>
              <w:gridCol w:w="1004"/>
              <w:gridCol w:w="687"/>
              <w:gridCol w:w="779"/>
              <w:gridCol w:w="907"/>
              <w:gridCol w:w="907"/>
            </w:tblGrid>
            <w:tr w14:paraId="0AAD8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369" w:type="pct"/>
                  <w:vMerge w:val="restart"/>
                  <w:tcBorders>
                    <w:tl2br w:val="nil"/>
                    <w:tr2bl w:val="nil"/>
                  </w:tcBorders>
                  <w:vAlign w:val="center"/>
                </w:tcPr>
                <w:p w14:paraId="1980128C">
                  <w:pPr>
                    <w:widowControl/>
                    <w:wordWrap w:val="0"/>
                    <w:adjustRightInd w:val="0"/>
                    <w:snapToGrid w:val="0"/>
                    <w:jc w:val="center"/>
                    <w:rPr>
                      <w:rFonts w:ascii="Times New Roman" w:hAnsi="Times New Roman" w:cs="Times New Roman"/>
                      <w:b/>
                      <w:bCs/>
                      <w:kern w:val="0"/>
                      <w:szCs w:val="21"/>
                      <w:lang w:bidi="en-US"/>
                    </w:rPr>
                  </w:pPr>
                  <w:r>
                    <w:rPr>
                      <w:rFonts w:ascii="Times New Roman" w:hAnsi="Times New Roman" w:cs="Times New Roman"/>
                      <w:b/>
                      <w:bCs/>
                      <w:kern w:val="0"/>
                      <w:szCs w:val="21"/>
                      <w:lang w:bidi="en-US"/>
                    </w:rPr>
                    <w:t>产污</w:t>
                  </w:r>
                </w:p>
                <w:p w14:paraId="4970EB08">
                  <w:pPr>
                    <w:widowControl/>
                    <w:wordWrap w:val="0"/>
                    <w:adjustRightInd w:val="0"/>
                    <w:snapToGrid w:val="0"/>
                    <w:jc w:val="center"/>
                    <w:rPr>
                      <w:rFonts w:ascii="Times New Roman" w:hAnsi="Times New Roman" w:cs="Times New Roman"/>
                      <w:b/>
                      <w:bCs/>
                      <w:kern w:val="0"/>
                      <w:szCs w:val="21"/>
                      <w:lang w:bidi="en-US"/>
                    </w:rPr>
                  </w:pPr>
                  <w:r>
                    <w:rPr>
                      <w:rFonts w:ascii="Times New Roman" w:hAnsi="Times New Roman" w:cs="Times New Roman"/>
                      <w:b/>
                      <w:bCs/>
                      <w:kern w:val="0"/>
                      <w:szCs w:val="21"/>
                      <w:lang w:bidi="en-US"/>
                    </w:rPr>
                    <w:t>环节</w:t>
                  </w:r>
                </w:p>
              </w:tc>
              <w:tc>
                <w:tcPr>
                  <w:tcW w:w="248" w:type="pct"/>
                  <w:vMerge w:val="restart"/>
                  <w:tcBorders>
                    <w:tl2br w:val="nil"/>
                    <w:tr2bl w:val="nil"/>
                  </w:tcBorders>
                  <w:vAlign w:val="center"/>
                </w:tcPr>
                <w:p w14:paraId="1FA031ED">
                  <w:pPr>
                    <w:widowControl/>
                    <w:wordWrap w:val="0"/>
                    <w:adjustRightInd w:val="0"/>
                    <w:snapToGrid w:val="0"/>
                    <w:jc w:val="center"/>
                    <w:rPr>
                      <w:rFonts w:ascii="Times New Roman" w:hAnsi="Times New Roman" w:cs="Times New Roman"/>
                      <w:b/>
                      <w:bCs/>
                      <w:kern w:val="0"/>
                      <w:szCs w:val="21"/>
                      <w:lang w:bidi="en-US"/>
                    </w:rPr>
                  </w:pPr>
                  <w:r>
                    <w:rPr>
                      <w:rFonts w:ascii="Times New Roman" w:hAnsi="Times New Roman" w:cs="Times New Roman"/>
                      <w:b/>
                      <w:bCs/>
                      <w:kern w:val="0"/>
                      <w:szCs w:val="21"/>
                      <w:lang w:bidi="en-US"/>
                    </w:rPr>
                    <w:t>污染物</w:t>
                  </w:r>
                </w:p>
              </w:tc>
              <w:tc>
                <w:tcPr>
                  <w:tcW w:w="475" w:type="pct"/>
                  <w:vMerge w:val="restart"/>
                  <w:tcBorders>
                    <w:tl2br w:val="nil"/>
                    <w:tr2bl w:val="nil"/>
                  </w:tcBorders>
                  <w:vAlign w:val="center"/>
                </w:tcPr>
                <w:p w14:paraId="20E46140">
                  <w:pPr>
                    <w:widowControl/>
                    <w:wordWrap w:val="0"/>
                    <w:adjustRightInd w:val="0"/>
                    <w:snapToGrid w:val="0"/>
                    <w:jc w:val="center"/>
                    <w:rPr>
                      <w:rFonts w:ascii="Times New Roman" w:hAnsi="Times New Roman" w:cs="Times New Roman"/>
                      <w:b/>
                      <w:bCs/>
                      <w:kern w:val="0"/>
                      <w:szCs w:val="21"/>
                      <w:lang w:bidi="en-US"/>
                    </w:rPr>
                  </w:pPr>
                  <w:r>
                    <w:rPr>
                      <w:rFonts w:ascii="Times New Roman" w:hAnsi="Times New Roman" w:cs="Times New Roman"/>
                      <w:b/>
                      <w:bCs/>
                      <w:kern w:val="0"/>
                      <w:szCs w:val="21"/>
                      <w:lang w:bidi="en-US"/>
                    </w:rPr>
                    <w:t>产生</w:t>
                  </w:r>
                </w:p>
                <w:p w14:paraId="534C1B42">
                  <w:pPr>
                    <w:widowControl/>
                    <w:wordWrap w:val="0"/>
                    <w:adjustRightInd w:val="0"/>
                    <w:snapToGrid w:val="0"/>
                    <w:jc w:val="center"/>
                    <w:rPr>
                      <w:rFonts w:ascii="Times New Roman" w:hAnsi="Times New Roman" w:cs="Times New Roman"/>
                      <w:b/>
                      <w:bCs/>
                      <w:kern w:val="0"/>
                      <w:szCs w:val="21"/>
                      <w:lang w:bidi="en-US"/>
                    </w:rPr>
                  </w:pPr>
                  <w:r>
                    <w:rPr>
                      <w:rFonts w:ascii="Times New Roman" w:hAnsi="Times New Roman" w:cs="Times New Roman"/>
                      <w:b/>
                      <w:bCs/>
                      <w:kern w:val="0"/>
                      <w:szCs w:val="21"/>
                      <w:lang w:bidi="en-US"/>
                    </w:rPr>
                    <w:t>浓度</w:t>
                  </w:r>
                </w:p>
                <w:p w14:paraId="0FC56705">
                  <w:pPr>
                    <w:widowControl/>
                    <w:wordWrap w:val="0"/>
                    <w:adjustRightInd w:val="0"/>
                    <w:snapToGrid w:val="0"/>
                    <w:jc w:val="center"/>
                    <w:rPr>
                      <w:rFonts w:ascii="Times New Roman" w:hAnsi="Times New Roman" w:cs="Times New Roman"/>
                      <w:b/>
                      <w:bCs/>
                      <w:kern w:val="0"/>
                      <w:szCs w:val="21"/>
                      <w:lang w:bidi="en-US"/>
                    </w:rPr>
                  </w:pPr>
                  <w:r>
                    <w:rPr>
                      <w:rFonts w:ascii="Times New Roman" w:hAnsi="Times New Roman" w:cs="Times New Roman"/>
                      <w:b/>
                      <w:bCs/>
                      <w:kern w:val="0"/>
                      <w:szCs w:val="21"/>
                      <w:lang w:bidi="en-US"/>
                    </w:rPr>
                    <w:t>mg/m</w:t>
                  </w:r>
                  <w:r>
                    <w:rPr>
                      <w:rFonts w:ascii="Times New Roman" w:hAnsi="Times New Roman" w:cs="Times New Roman"/>
                      <w:b/>
                      <w:bCs/>
                      <w:kern w:val="0"/>
                      <w:szCs w:val="21"/>
                      <w:vertAlign w:val="superscript"/>
                      <w:lang w:bidi="en-US"/>
                    </w:rPr>
                    <w:t>3</w:t>
                  </w:r>
                </w:p>
              </w:tc>
              <w:tc>
                <w:tcPr>
                  <w:tcW w:w="552" w:type="pct"/>
                  <w:vMerge w:val="restart"/>
                  <w:tcBorders>
                    <w:tl2br w:val="nil"/>
                    <w:tr2bl w:val="nil"/>
                  </w:tcBorders>
                  <w:vAlign w:val="center"/>
                </w:tcPr>
                <w:p w14:paraId="6015AA6A">
                  <w:pPr>
                    <w:widowControl/>
                    <w:wordWrap w:val="0"/>
                    <w:adjustRightInd w:val="0"/>
                    <w:snapToGrid w:val="0"/>
                    <w:jc w:val="center"/>
                    <w:rPr>
                      <w:rFonts w:ascii="Times New Roman" w:hAnsi="Times New Roman" w:cs="Times New Roman"/>
                      <w:b/>
                      <w:bCs/>
                      <w:kern w:val="0"/>
                      <w:szCs w:val="21"/>
                      <w:lang w:bidi="en-US"/>
                    </w:rPr>
                  </w:pPr>
                  <w:r>
                    <w:rPr>
                      <w:rFonts w:ascii="Times New Roman" w:hAnsi="Times New Roman" w:cs="Times New Roman"/>
                      <w:b/>
                      <w:bCs/>
                      <w:kern w:val="0"/>
                      <w:szCs w:val="21"/>
                      <w:lang w:bidi="en-US"/>
                    </w:rPr>
                    <w:t>产生</w:t>
                  </w:r>
                </w:p>
                <w:p w14:paraId="2475625C">
                  <w:pPr>
                    <w:widowControl/>
                    <w:wordWrap w:val="0"/>
                    <w:adjustRightInd w:val="0"/>
                    <w:snapToGrid w:val="0"/>
                    <w:jc w:val="center"/>
                    <w:rPr>
                      <w:rFonts w:ascii="Times New Roman" w:hAnsi="Times New Roman" w:cs="Times New Roman"/>
                      <w:b/>
                      <w:bCs/>
                      <w:kern w:val="0"/>
                      <w:szCs w:val="21"/>
                      <w:lang w:bidi="en-US"/>
                    </w:rPr>
                  </w:pPr>
                  <w:r>
                    <w:rPr>
                      <w:rFonts w:ascii="Times New Roman" w:hAnsi="Times New Roman" w:cs="Times New Roman"/>
                      <w:b/>
                      <w:bCs/>
                      <w:kern w:val="0"/>
                      <w:szCs w:val="21"/>
                      <w:lang w:bidi="en-US"/>
                    </w:rPr>
                    <w:t>速率</w:t>
                  </w:r>
                </w:p>
                <w:p w14:paraId="5659F5EA">
                  <w:pPr>
                    <w:widowControl/>
                    <w:wordWrap w:val="0"/>
                    <w:adjustRightInd w:val="0"/>
                    <w:snapToGrid w:val="0"/>
                    <w:jc w:val="center"/>
                    <w:rPr>
                      <w:rFonts w:ascii="Times New Roman" w:hAnsi="Times New Roman" w:cs="Times New Roman"/>
                      <w:b/>
                      <w:bCs/>
                      <w:kern w:val="0"/>
                      <w:szCs w:val="21"/>
                      <w:lang w:bidi="en-US"/>
                    </w:rPr>
                  </w:pPr>
                  <w:r>
                    <w:rPr>
                      <w:rFonts w:ascii="Times New Roman" w:hAnsi="Times New Roman" w:cs="Times New Roman"/>
                      <w:b/>
                      <w:bCs/>
                      <w:szCs w:val="21"/>
                    </w:rPr>
                    <w:t>kg/h</w:t>
                  </w:r>
                </w:p>
              </w:tc>
              <w:tc>
                <w:tcPr>
                  <w:tcW w:w="475" w:type="pct"/>
                  <w:vMerge w:val="restart"/>
                  <w:tcBorders>
                    <w:tl2br w:val="nil"/>
                    <w:tr2bl w:val="nil"/>
                  </w:tcBorders>
                  <w:vAlign w:val="center"/>
                </w:tcPr>
                <w:p w14:paraId="270F5169">
                  <w:pPr>
                    <w:widowControl/>
                    <w:wordWrap w:val="0"/>
                    <w:adjustRightInd w:val="0"/>
                    <w:snapToGrid w:val="0"/>
                    <w:jc w:val="center"/>
                    <w:rPr>
                      <w:rFonts w:ascii="Times New Roman" w:hAnsi="Times New Roman" w:cs="Times New Roman"/>
                      <w:b/>
                      <w:bCs/>
                      <w:kern w:val="0"/>
                      <w:szCs w:val="21"/>
                      <w:lang w:bidi="en-US"/>
                    </w:rPr>
                  </w:pPr>
                  <w:r>
                    <w:rPr>
                      <w:rFonts w:ascii="Times New Roman" w:hAnsi="Times New Roman" w:cs="Times New Roman"/>
                      <w:b/>
                      <w:bCs/>
                      <w:kern w:val="0"/>
                      <w:szCs w:val="21"/>
                      <w:lang w:bidi="en-US"/>
                    </w:rPr>
                    <w:t>产生量</w:t>
                  </w:r>
                </w:p>
                <w:p w14:paraId="2416746D">
                  <w:pPr>
                    <w:widowControl/>
                    <w:wordWrap w:val="0"/>
                    <w:adjustRightInd w:val="0"/>
                    <w:snapToGrid w:val="0"/>
                    <w:jc w:val="center"/>
                    <w:rPr>
                      <w:rFonts w:ascii="Times New Roman" w:hAnsi="Times New Roman" w:cs="Times New Roman"/>
                      <w:b/>
                      <w:bCs/>
                      <w:kern w:val="0"/>
                      <w:szCs w:val="21"/>
                      <w:lang w:bidi="en-US"/>
                    </w:rPr>
                  </w:pPr>
                  <w:r>
                    <w:rPr>
                      <w:rFonts w:ascii="Times New Roman" w:hAnsi="Times New Roman" w:cs="Times New Roman"/>
                      <w:b/>
                      <w:bCs/>
                      <w:kern w:val="0"/>
                      <w:szCs w:val="21"/>
                      <w:lang w:bidi="en-US"/>
                    </w:rPr>
                    <w:t>t/a</w:t>
                  </w:r>
                </w:p>
              </w:tc>
              <w:tc>
                <w:tcPr>
                  <w:tcW w:w="267" w:type="pct"/>
                  <w:vMerge w:val="restart"/>
                  <w:tcBorders>
                    <w:tl2br w:val="nil"/>
                    <w:tr2bl w:val="nil"/>
                  </w:tcBorders>
                  <w:vAlign w:val="center"/>
                </w:tcPr>
                <w:p w14:paraId="52C0AB3C">
                  <w:pPr>
                    <w:widowControl/>
                    <w:wordWrap w:val="0"/>
                    <w:adjustRightInd w:val="0"/>
                    <w:snapToGrid w:val="0"/>
                    <w:jc w:val="center"/>
                    <w:rPr>
                      <w:rFonts w:ascii="Times New Roman" w:hAnsi="Times New Roman" w:cs="Times New Roman"/>
                      <w:b/>
                      <w:bCs/>
                      <w:kern w:val="0"/>
                      <w:szCs w:val="21"/>
                      <w:lang w:bidi="en-US"/>
                    </w:rPr>
                  </w:pPr>
                  <w:r>
                    <w:rPr>
                      <w:rFonts w:ascii="Times New Roman" w:hAnsi="Times New Roman" w:cs="Times New Roman"/>
                      <w:b/>
                      <w:bCs/>
                      <w:kern w:val="0"/>
                      <w:szCs w:val="21"/>
                      <w:lang w:bidi="en-US"/>
                    </w:rPr>
                    <w:t>排放</w:t>
                  </w:r>
                </w:p>
                <w:p w14:paraId="561CF7F4">
                  <w:pPr>
                    <w:widowControl/>
                    <w:wordWrap w:val="0"/>
                    <w:adjustRightInd w:val="0"/>
                    <w:snapToGrid w:val="0"/>
                    <w:jc w:val="center"/>
                    <w:rPr>
                      <w:rFonts w:ascii="Times New Roman" w:hAnsi="Times New Roman" w:cs="Times New Roman"/>
                      <w:b/>
                      <w:bCs/>
                      <w:kern w:val="0"/>
                      <w:szCs w:val="21"/>
                      <w:lang w:bidi="en-US"/>
                    </w:rPr>
                  </w:pPr>
                  <w:r>
                    <w:rPr>
                      <w:rFonts w:ascii="Times New Roman" w:hAnsi="Times New Roman" w:cs="Times New Roman"/>
                      <w:b/>
                      <w:bCs/>
                      <w:kern w:val="0"/>
                      <w:szCs w:val="21"/>
                      <w:lang w:bidi="en-US"/>
                    </w:rPr>
                    <w:t>形式</w:t>
                  </w:r>
                </w:p>
              </w:tc>
              <w:tc>
                <w:tcPr>
                  <w:tcW w:w="1030" w:type="pct"/>
                  <w:gridSpan w:val="2"/>
                  <w:tcBorders>
                    <w:tl2br w:val="nil"/>
                    <w:tr2bl w:val="nil"/>
                  </w:tcBorders>
                  <w:vAlign w:val="center"/>
                </w:tcPr>
                <w:p w14:paraId="00255DCF">
                  <w:pPr>
                    <w:widowControl/>
                    <w:wordWrap w:val="0"/>
                    <w:adjustRightInd w:val="0"/>
                    <w:snapToGrid w:val="0"/>
                    <w:jc w:val="center"/>
                    <w:rPr>
                      <w:rFonts w:ascii="Times New Roman" w:hAnsi="Times New Roman" w:cs="Times New Roman"/>
                      <w:b/>
                      <w:bCs/>
                      <w:kern w:val="0"/>
                      <w:szCs w:val="21"/>
                      <w:lang w:bidi="en-US"/>
                    </w:rPr>
                  </w:pPr>
                  <w:r>
                    <w:rPr>
                      <w:rFonts w:ascii="Times New Roman" w:hAnsi="Times New Roman" w:cs="Times New Roman"/>
                      <w:b/>
                      <w:bCs/>
                      <w:kern w:val="0"/>
                      <w:szCs w:val="21"/>
                      <w:lang w:bidi="en-US"/>
                    </w:rPr>
                    <w:t>收集/治理设施</w:t>
                  </w:r>
                </w:p>
              </w:tc>
              <w:tc>
                <w:tcPr>
                  <w:tcW w:w="475" w:type="pct"/>
                  <w:vMerge w:val="restart"/>
                  <w:tcBorders>
                    <w:tl2br w:val="nil"/>
                    <w:tr2bl w:val="nil"/>
                  </w:tcBorders>
                  <w:vAlign w:val="center"/>
                </w:tcPr>
                <w:p w14:paraId="44FD37B4">
                  <w:pPr>
                    <w:widowControl/>
                    <w:wordWrap w:val="0"/>
                    <w:adjustRightInd w:val="0"/>
                    <w:snapToGrid w:val="0"/>
                    <w:jc w:val="center"/>
                    <w:rPr>
                      <w:rFonts w:ascii="Times New Roman" w:hAnsi="Times New Roman" w:cs="Times New Roman"/>
                      <w:b/>
                      <w:bCs/>
                      <w:kern w:val="0"/>
                      <w:szCs w:val="21"/>
                      <w:lang w:bidi="en-US"/>
                    </w:rPr>
                  </w:pPr>
                  <w:r>
                    <w:rPr>
                      <w:rFonts w:ascii="Times New Roman" w:hAnsi="Times New Roman" w:cs="Times New Roman"/>
                      <w:b/>
                      <w:bCs/>
                      <w:kern w:val="0"/>
                      <w:szCs w:val="21"/>
                      <w:lang w:bidi="en-US"/>
                    </w:rPr>
                    <w:t>排放</w:t>
                  </w:r>
                </w:p>
                <w:p w14:paraId="07BF851E">
                  <w:pPr>
                    <w:widowControl/>
                    <w:wordWrap w:val="0"/>
                    <w:adjustRightInd w:val="0"/>
                    <w:snapToGrid w:val="0"/>
                    <w:jc w:val="center"/>
                    <w:rPr>
                      <w:rFonts w:ascii="Times New Roman" w:hAnsi="Times New Roman" w:cs="Times New Roman"/>
                      <w:b/>
                      <w:bCs/>
                      <w:kern w:val="0"/>
                      <w:szCs w:val="21"/>
                      <w:lang w:bidi="en-US"/>
                    </w:rPr>
                  </w:pPr>
                  <w:r>
                    <w:rPr>
                      <w:rFonts w:ascii="Times New Roman" w:hAnsi="Times New Roman" w:cs="Times New Roman"/>
                      <w:b/>
                      <w:bCs/>
                      <w:kern w:val="0"/>
                      <w:szCs w:val="21"/>
                      <w:lang w:bidi="en-US"/>
                    </w:rPr>
                    <w:t>浓度</w:t>
                  </w:r>
                </w:p>
                <w:p w14:paraId="690310A4">
                  <w:pPr>
                    <w:widowControl/>
                    <w:wordWrap w:val="0"/>
                    <w:adjustRightInd w:val="0"/>
                    <w:snapToGrid w:val="0"/>
                    <w:jc w:val="center"/>
                    <w:rPr>
                      <w:rFonts w:ascii="Times New Roman" w:hAnsi="Times New Roman" w:cs="Times New Roman"/>
                      <w:b/>
                      <w:bCs/>
                      <w:kern w:val="0"/>
                      <w:szCs w:val="21"/>
                      <w:lang w:bidi="en-US"/>
                    </w:rPr>
                  </w:pPr>
                  <w:r>
                    <w:rPr>
                      <w:rFonts w:ascii="Times New Roman" w:hAnsi="Times New Roman" w:cs="Times New Roman"/>
                      <w:b/>
                      <w:bCs/>
                      <w:kern w:val="0"/>
                      <w:szCs w:val="21"/>
                      <w:lang w:bidi="en-US"/>
                    </w:rPr>
                    <w:t>mg/m</w:t>
                  </w:r>
                  <w:r>
                    <w:rPr>
                      <w:rFonts w:ascii="Times New Roman" w:hAnsi="Times New Roman" w:cs="Times New Roman"/>
                      <w:b/>
                      <w:bCs/>
                      <w:kern w:val="0"/>
                      <w:szCs w:val="21"/>
                      <w:vertAlign w:val="superscript"/>
                      <w:lang w:bidi="en-US"/>
                    </w:rPr>
                    <w:t>3</w:t>
                  </w:r>
                </w:p>
              </w:tc>
              <w:tc>
                <w:tcPr>
                  <w:tcW w:w="552" w:type="pct"/>
                  <w:vMerge w:val="restart"/>
                  <w:tcBorders>
                    <w:tl2br w:val="nil"/>
                    <w:tr2bl w:val="nil"/>
                  </w:tcBorders>
                  <w:vAlign w:val="center"/>
                </w:tcPr>
                <w:p w14:paraId="373A7841">
                  <w:pPr>
                    <w:widowControl/>
                    <w:wordWrap w:val="0"/>
                    <w:adjustRightInd w:val="0"/>
                    <w:snapToGrid w:val="0"/>
                    <w:jc w:val="center"/>
                    <w:rPr>
                      <w:rFonts w:ascii="Times New Roman" w:hAnsi="Times New Roman" w:cs="Times New Roman"/>
                      <w:b/>
                      <w:bCs/>
                      <w:kern w:val="0"/>
                      <w:szCs w:val="21"/>
                      <w:lang w:bidi="en-US"/>
                    </w:rPr>
                  </w:pPr>
                  <w:r>
                    <w:rPr>
                      <w:rFonts w:ascii="Times New Roman" w:hAnsi="Times New Roman" w:cs="Times New Roman"/>
                      <w:b/>
                      <w:bCs/>
                      <w:kern w:val="0"/>
                      <w:szCs w:val="21"/>
                      <w:lang w:bidi="en-US"/>
                    </w:rPr>
                    <w:t>排放速率</w:t>
                  </w:r>
                </w:p>
                <w:p w14:paraId="5E285E34">
                  <w:pPr>
                    <w:widowControl/>
                    <w:wordWrap w:val="0"/>
                    <w:adjustRightInd w:val="0"/>
                    <w:snapToGrid w:val="0"/>
                    <w:jc w:val="center"/>
                    <w:rPr>
                      <w:rFonts w:ascii="Times New Roman" w:hAnsi="Times New Roman" w:cs="Times New Roman"/>
                      <w:b/>
                      <w:bCs/>
                      <w:kern w:val="0"/>
                      <w:szCs w:val="21"/>
                      <w:lang w:bidi="en-US"/>
                    </w:rPr>
                  </w:pPr>
                  <w:r>
                    <w:rPr>
                      <w:rFonts w:ascii="Times New Roman" w:hAnsi="Times New Roman" w:cs="Times New Roman"/>
                      <w:b/>
                      <w:bCs/>
                      <w:szCs w:val="21"/>
                    </w:rPr>
                    <w:t>kg/h</w:t>
                  </w:r>
                </w:p>
              </w:tc>
              <w:tc>
                <w:tcPr>
                  <w:tcW w:w="552" w:type="pct"/>
                  <w:vMerge w:val="restart"/>
                  <w:tcBorders>
                    <w:tl2br w:val="nil"/>
                    <w:tr2bl w:val="nil"/>
                  </w:tcBorders>
                  <w:vAlign w:val="center"/>
                </w:tcPr>
                <w:p w14:paraId="3E1DB453">
                  <w:pPr>
                    <w:widowControl/>
                    <w:wordWrap w:val="0"/>
                    <w:adjustRightInd w:val="0"/>
                    <w:snapToGrid w:val="0"/>
                    <w:jc w:val="center"/>
                    <w:rPr>
                      <w:rFonts w:ascii="Times New Roman" w:hAnsi="Times New Roman" w:cs="Times New Roman"/>
                      <w:b/>
                      <w:bCs/>
                      <w:kern w:val="0"/>
                      <w:szCs w:val="21"/>
                      <w:lang w:bidi="en-US"/>
                    </w:rPr>
                  </w:pPr>
                  <w:r>
                    <w:rPr>
                      <w:rFonts w:ascii="Times New Roman" w:hAnsi="Times New Roman" w:cs="Times New Roman"/>
                      <w:b/>
                      <w:bCs/>
                      <w:kern w:val="0"/>
                      <w:szCs w:val="21"/>
                      <w:lang w:bidi="en-US"/>
                    </w:rPr>
                    <w:t>排放量</w:t>
                  </w:r>
                </w:p>
                <w:p w14:paraId="423D83DD">
                  <w:pPr>
                    <w:widowControl/>
                    <w:wordWrap w:val="0"/>
                    <w:adjustRightInd w:val="0"/>
                    <w:snapToGrid w:val="0"/>
                    <w:jc w:val="center"/>
                    <w:rPr>
                      <w:rFonts w:ascii="Times New Roman" w:hAnsi="Times New Roman" w:cs="Times New Roman"/>
                      <w:b/>
                      <w:bCs/>
                      <w:kern w:val="0"/>
                      <w:szCs w:val="21"/>
                      <w:lang w:bidi="en-US"/>
                    </w:rPr>
                  </w:pPr>
                  <w:r>
                    <w:rPr>
                      <w:rFonts w:ascii="Times New Roman" w:hAnsi="Times New Roman" w:cs="Times New Roman"/>
                      <w:b/>
                      <w:bCs/>
                      <w:kern w:val="0"/>
                      <w:szCs w:val="21"/>
                      <w:lang w:bidi="en-US"/>
                    </w:rPr>
                    <w:t>t/a</w:t>
                  </w:r>
                </w:p>
              </w:tc>
            </w:tr>
            <w:tr w14:paraId="43F620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vMerge w:val="continue"/>
                  <w:tcBorders>
                    <w:tl2br w:val="nil"/>
                    <w:tr2bl w:val="nil"/>
                  </w:tcBorders>
                  <w:vAlign w:val="center"/>
                </w:tcPr>
                <w:p w14:paraId="672FCC76">
                  <w:pPr>
                    <w:widowControl/>
                    <w:wordWrap w:val="0"/>
                    <w:adjustRightInd w:val="0"/>
                    <w:snapToGrid w:val="0"/>
                    <w:jc w:val="center"/>
                    <w:rPr>
                      <w:rFonts w:ascii="Times New Roman" w:hAnsi="Times New Roman" w:cs="Times New Roman"/>
                      <w:b/>
                      <w:bCs/>
                      <w:kern w:val="0"/>
                      <w:szCs w:val="21"/>
                      <w:lang w:bidi="en-US"/>
                    </w:rPr>
                  </w:pPr>
                </w:p>
              </w:tc>
              <w:tc>
                <w:tcPr>
                  <w:tcW w:w="248" w:type="pct"/>
                  <w:vMerge w:val="continue"/>
                  <w:tcBorders>
                    <w:tl2br w:val="nil"/>
                    <w:tr2bl w:val="nil"/>
                  </w:tcBorders>
                  <w:vAlign w:val="center"/>
                </w:tcPr>
                <w:p w14:paraId="1B28A473">
                  <w:pPr>
                    <w:widowControl/>
                    <w:wordWrap w:val="0"/>
                    <w:adjustRightInd w:val="0"/>
                    <w:snapToGrid w:val="0"/>
                    <w:jc w:val="center"/>
                    <w:rPr>
                      <w:rFonts w:ascii="Times New Roman" w:hAnsi="Times New Roman" w:cs="Times New Roman"/>
                      <w:b/>
                      <w:bCs/>
                      <w:kern w:val="0"/>
                      <w:szCs w:val="21"/>
                      <w:lang w:bidi="en-US"/>
                    </w:rPr>
                  </w:pPr>
                </w:p>
              </w:tc>
              <w:tc>
                <w:tcPr>
                  <w:tcW w:w="475" w:type="pct"/>
                  <w:vMerge w:val="continue"/>
                  <w:tcBorders>
                    <w:tl2br w:val="nil"/>
                    <w:tr2bl w:val="nil"/>
                  </w:tcBorders>
                  <w:vAlign w:val="center"/>
                </w:tcPr>
                <w:p w14:paraId="41B36017">
                  <w:pPr>
                    <w:widowControl/>
                    <w:wordWrap w:val="0"/>
                    <w:adjustRightInd w:val="0"/>
                    <w:snapToGrid w:val="0"/>
                    <w:jc w:val="center"/>
                    <w:rPr>
                      <w:rFonts w:ascii="Times New Roman" w:hAnsi="Times New Roman" w:cs="Times New Roman"/>
                      <w:b/>
                      <w:bCs/>
                      <w:kern w:val="0"/>
                      <w:szCs w:val="21"/>
                      <w:lang w:bidi="en-US"/>
                    </w:rPr>
                  </w:pPr>
                </w:p>
              </w:tc>
              <w:tc>
                <w:tcPr>
                  <w:tcW w:w="552" w:type="pct"/>
                  <w:vMerge w:val="continue"/>
                  <w:tcBorders>
                    <w:tl2br w:val="nil"/>
                    <w:tr2bl w:val="nil"/>
                  </w:tcBorders>
                  <w:vAlign w:val="center"/>
                </w:tcPr>
                <w:p w14:paraId="75C64075">
                  <w:pPr>
                    <w:widowControl/>
                    <w:wordWrap w:val="0"/>
                    <w:adjustRightInd w:val="0"/>
                    <w:snapToGrid w:val="0"/>
                    <w:jc w:val="center"/>
                    <w:rPr>
                      <w:rFonts w:ascii="Times New Roman" w:hAnsi="Times New Roman" w:cs="Times New Roman"/>
                      <w:b/>
                      <w:bCs/>
                      <w:kern w:val="0"/>
                      <w:szCs w:val="21"/>
                      <w:lang w:bidi="en-US"/>
                    </w:rPr>
                  </w:pPr>
                </w:p>
              </w:tc>
              <w:tc>
                <w:tcPr>
                  <w:tcW w:w="475" w:type="pct"/>
                  <w:vMerge w:val="continue"/>
                  <w:tcBorders>
                    <w:tl2br w:val="nil"/>
                    <w:tr2bl w:val="nil"/>
                  </w:tcBorders>
                  <w:vAlign w:val="center"/>
                </w:tcPr>
                <w:p w14:paraId="31C67092">
                  <w:pPr>
                    <w:widowControl/>
                    <w:wordWrap w:val="0"/>
                    <w:adjustRightInd w:val="0"/>
                    <w:snapToGrid w:val="0"/>
                    <w:jc w:val="center"/>
                    <w:rPr>
                      <w:rFonts w:ascii="Times New Roman" w:hAnsi="Times New Roman" w:cs="Times New Roman"/>
                      <w:b/>
                      <w:bCs/>
                      <w:kern w:val="0"/>
                      <w:szCs w:val="21"/>
                      <w:lang w:bidi="en-US"/>
                    </w:rPr>
                  </w:pPr>
                </w:p>
              </w:tc>
              <w:tc>
                <w:tcPr>
                  <w:tcW w:w="267" w:type="pct"/>
                  <w:vMerge w:val="continue"/>
                  <w:tcBorders>
                    <w:tl2br w:val="nil"/>
                    <w:tr2bl w:val="nil"/>
                  </w:tcBorders>
                  <w:vAlign w:val="center"/>
                </w:tcPr>
                <w:p w14:paraId="75D5AB79">
                  <w:pPr>
                    <w:widowControl/>
                    <w:wordWrap w:val="0"/>
                    <w:adjustRightInd w:val="0"/>
                    <w:snapToGrid w:val="0"/>
                    <w:jc w:val="center"/>
                    <w:rPr>
                      <w:rFonts w:ascii="Times New Roman" w:hAnsi="Times New Roman" w:cs="Times New Roman"/>
                      <w:b/>
                      <w:bCs/>
                      <w:kern w:val="0"/>
                      <w:szCs w:val="21"/>
                      <w:lang w:bidi="en-US"/>
                    </w:rPr>
                  </w:pPr>
                </w:p>
              </w:tc>
              <w:tc>
                <w:tcPr>
                  <w:tcW w:w="611" w:type="pct"/>
                  <w:tcBorders>
                    <w:tl2br w:val="nil"/>
                    <w:tr2bl w:val="nil"/>
                  </w:tcBorders>
                  <w:vAlign w:val="center"/>
                </w:tcPr>
                <w:p w14:paraId="2B2E985D">
                  <w:pPr>
                    <w:widowControl/>
                    <w:wordWrap w:val="0"/>
                    <w:adjustRightInd w:val="0"/>
                    <w:snapToGrid w:val="0"/>
                    <w:jc w:val="center"/>
                    <w:rPr>
                      <w:rFonts w:ascii="Times New Roman" w:hAnsi="Times New Roman" w:cs="Times New Roman"/>
                      <w:b/>
                      <w:bCs/>
                      <w:kern w:val="0"/>
                      <w:szCs w:val="21"/>
                      <w:lang w:bidi="en-US"/>
                    </w:rPr>
                  </w:pPr>
                  <w:r>
                    <w:rPr>
                      <w:rFonts w:ascii="Times New Roman" w:hAnsi="Times New Roman" w:cs="Times New Roman"/>
                      <w:b/>
                      <w:bCs/>
                      <w:kern w:val="0"/>
                      <w:szCs w:val="21"/>
                      <w:lang w:bidi="en-US"/>
                    </w:rPr>
                    <w:t>设施</w:t>
                  </w:r>
                </w:p>
                <w:p w14:paraId="2C508193">
                  <w:pPr>
                    <w:widowControl/>
                    <w:wordWrap w:val="0"/>
                    <w:adjustRightInd w:val="0"/>
                    <w:snapToGrid w:val="0"/>
                    <w:jc w:val="center"/>
                    <w:rPr>
                      <w:rFonts w:ascii="Times New Roman" w:hAnsi="Times New Roman" w:cs="Times New Roman"/>
                      <w:b/>
                      <w:bCs/>
                      <w:kern w:val="0"/>
                      <w:szCs w:val="21"/>
                      <w:lang w:bidi="en-US"/>
                    </w:rPr>
                  </w:pPr>
                  <w:r>
                    <w:rPr>
                      <w:rFonts w:ascii="Times New Roman" w:hAnsi="Times New Roman" w:cs="Times New Roman"/>
                      <w:b/>
                      <w:bCs/>
                      <w:kern w:val="0"/>
                      <w:szCs w:val="21"/>
                      <w:lang w:bidi="en-US"/>
                    </w:rPr>
                    <w:t>名称</w:t>
                  </w:r>
                </w:p>
              </w:tc>
              <w:tc>
                <w:tcPr>
                  <w:tcW w:w="418" w:type="pct"/>
                  <w:tcBorders>
                    <w:tl2br w:val="nil"/>
                    <w:tr2bl w:val="nil"/>
                  </w:tcBorders>
                  <w:vAlign w:val="center"/>
                </w:tcPr>
                <w:p w14:paraId="647D1182">
                  <w:pPr>
                    <w:widowControl/>
                    <w:wordWrap w:val="0"/>
                    <w:adjustRightInd w:val="0"/>
                    <w:snapToGrid w:val="0"/>
                    <w:jc w:val="center"/>
                    <w:rPr>
                      <w:rFonts w:ascii="Times New Roman" w:hAnsi="Times New Roman" w:cs="Times New Roman"/>
                      <w:b/>
                      <w:bCs/>
                      <w:kern w:val="0"/>
                      <w:szCs w:val="21"/>
                      <w:lang w:bidi="en-US"/>
                    </w:rPr>
                  </w:pPr>
                  <w:r>
                    <w:rPr>
                      <w:rFonts w:ascii="Times New Roman" w:hAnsi="Times New Roman" w:cs="Times New Roman"/>
                      <w:b/>
                      <w:bCs/>
                      <w:kern w:val="0"/>
                      <w:szCs w:val="21"/>
                      <w:lang w:bidi="en-US"/>
                    </w:rPr>
                    <w:t>是否为可行技术</w:t>
                  </w:r>
                </w:p>
              </w:tc>
              <w:tc>
                <w:tcPr>
                  <w:tcW w:w="475" w:type="pct"/>
                  <w:vMerge w:val="continue"/>
                  <w:tcBorders>
                    <w:tl2br w:val="nil"/>
                    <w:tr2bl w:val="nil"/>
                  </w:tcBorders>
                  <w:vAlign w:val="center"/>
                </w:tcPr>
                <w:p w14:paraId="6B1B7160">
                  <w:pPr>
                    <w:widowControl/>
                    <w:wordWrap w:val="0"/>
                    <w:adjustRightInd w:val="0"/>
                    <w:snapToGrid w:val="0"/>
                    <w:jc w:val="center"/>
                    <w:rPr>
                      <w:rFonts w:ascii="Times New Roman" w:hAnsi="Times New Roman" w:cs="Times New Roman"/>
                      <w:kern w:val="0"/>
                      <w:szCs w:val="21"/>
                      <w:lang w:bidi="en-US"/>
                    </w:rPr>
                  </w:pPr>
                </w:p>
              </w:tc>
              <w:tc>
                <w:tcPr>
                  <w:tcW w:w="552" w:type="pct"/>
                  <w:vMerge w:val="continue"/>
                  <w:tcBorders>
                    <w:tl2br w:val="nil"/>
                    <w:tr2bl w:val="nil"/>
                  </w:tcBorders>
                  <w:vAlign w:val="center"/>
                </w:tcPr>
                <w:p w14:paraId="106AACED">
                  <w:pPr>
                    <w:widowControl/>
                    <w:wordWrap w:val="0"/>
                    <w:adjustRightInd w:val="0"/>
                    <w:snapToGrid w:val="0"/>
                    <w:jc w:val="center"/>
                    <w:rPr>
                      <w:rFonts w:ascii="Times New Roman" w:hAnsi="Times New Roman" w:cs="Times New Roman"/>
                      <w:kern w:val="0"/>
                      <w:szCs w:val="21"/>
                      <w:lang w:bidi="en-US"/>
                    </w:rPr>
                  </w:pPr>
                </w:p>
              </w:tc>
              <w:tc>
                <w:tcPr>
                  <w:tcW w:w="552" w:type="pct"/>
                  <w:vMerge w:val="continue"/>
                  <w:tcBorders>
                    <w:tl2br w:val="nil"/>
                    <w:tr2bl w:val="nil"/>
                  </w:tcBorders>
                  <w:vAlign w:val="center"/>
                </w:tcPr>
                <w:p w14:paraId="7A4F447F">
                  <w:pPr>
                    <w:widowControl/>
                    <w:wordWrap w:val="0"/>
                    <w:adjustRightInd w:val="0"/>
                    <w:snapToGrid w:val="0"/>
                    <w:jc w:val="center"/>
                    <w:rPr>
                      <w:rFonts w:ascii="Times New Roman" w:hAnsi="Times New Roman" w:cs="Times New Roman"/>
                      <w:kern w:val="0"/>
                      <w:szCs w:val="21"/>
                      <w:lang w:bidi="en-US"/>
                    </w:rPr>
                  </w:pPr>
                </w:p>
              </w:tc>
            </w:tr>
            <w:tr w14:paraId="5E8E8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369" w:type="pct"/>
                  <w:tcBorders>
                    <w:tl2br w:val="nil"/>
                    <w:tr2bl w:val="nil"/>
                  </w:tcBorders>
                  <w:vAlign w:val="center"/>
                </w:tcPr>
                <w:p w14:paraId="0820D76B">
                  <w:pPr>
                    <w:widowControl/>
                    <w:wordWrap w:val="0"/>
                    <w:adjustRightInd w:val="0"/>
                    <w:snapToGrid w:val="0"/>
                    <w:jc w:val="center"/>
                    <w:rPr>
                      <w:rFonts w:ascii="Times New Roman" w:hAnsi="Times New Roman" w:cs="Times New Roman"/>
                      <w:kern w:val="0"/>
                      <w:szCs w:val="21"/>
                      <w:lang w:bidi="en-US"/>
                    </w:rPr>
                  </w:pPr>
                  <w:r>
                    <w:rPr>
                      <w:rFonts w:hint="eastAsia" w:ascii="Times New Roman" w:hAnsi="Times New Roman" w:cs="Times New Roman"/>
                      <w:kern w:val="0"/>
                      <w:szCs w:val="21"/>
                      <w:lang w:bidi="en-US"/>
                    </w:rPr>
                    <w:t>喷砂工序</w:t>
                  </w:r>
                </w:p>
              </w:tc>
              <w:tc>
                <w:tcPr>
                  <w:tcW w:w="248" w:type="pct"/>
                  <w:tcBorders>
                    <w:tl2br w:val="nil"/>
                    <w:tr2bl w:val="nil"/>
                  </w:tcBorders>
                  <w:vAlign w:val="center"/>
                </w:tcPr>
                <w:p w14:paraId="1B2F9D4C">
                  <w:pPr>
                    <w:widowControl/>
                    <w:wordWrap w:val="0"/>
                    <w:adjustRightInd w:val="0"/>
                    <w:snapToGrid w:val="0"/>
                    <w:jc w:val="center"/>
                    <w:rPr>
                      <w:rFonts w:ascii="Times New Roman" w:hAnsi="Times New Roman" w:cs="Times New Roman"/>
                      <w:kern w:val="0"/>
                      <w:szCs w:val="21"/>
                      <w:lang w:bidi="en-US"/>
                    </w:rPr>
                  </w:pPr>
                  <w:r>
                    <w:rPr>
                      <w:rFonts w:hint="eastAsia" w:ascii="Times New Roman" w:hAnsi="Times New Roman" w:cs="Times New Roman"/>
                      <w:kern w:val="0"/>
                      <w:szCs w:val="21"/>
                      <w:lang w:bidi="en-US"/>
                    </w:rPr>
                    <w:t>颗粒物</w:t>
                  </w:r>
                </w:p>
              </w:tc>
              <w:tc>
                <w:tcPr>
                  <w:tcW w:w="475" w:type="pct"/>
                  <w:tcBorders>
                    <w:tl2br w:val="nil"/>
                    <w:tr2bl w:val="nil"/>
                  </w:tcBorders>
                  <w:vAlign w:val="center"/>
                </w:tcPr>
                <w:p w14:paraId="4E62EB90">
                  <w:pPr>
                    <w:widowControl/>
                    <w:adjustRightInd w:val="0"/>
                    <w:snapToGrid w:val="0"/>
                    <w:jc w:val="center"/>
                    <w:rPr>
                      <w:rFonts w:ascii="Times New Roman" w:hAnsi="Times New Roman" w:cs="Times New Roman"/>
                      <w:szCs w:val="21"/>
                    </w:rPr>
                  </w:pPr>
                  <w:r>
                    <w:rPr>
                      <w:rFonts w:hint="eastAsia" w:ascii="Times New Roman" w:hAnsi="Times New Roman" w:cs="Times New Roman"/>
                      <w:szCs w:val="21"/>
                    </w:rPr>
                    <w:t>76.04</w:t>
                  </w:r>
                </w:p>
              </w:tc>
              <w:tc>
                <w:tcPr>
                  <w:tcW w:w="552" w:type="pct"/>
                  <w:tcBorders>
                    <w:tl2br w:val="nil"/>
                    <w:tr2bl w:val="nil"/>
                  </w:tcBorders>
                  <w:vAlign w:val="center"/>
                </w:tcPr>
                <w:p w14:paraId="479BA765">
                  <w:pPr>
                    <w:adjustRightInd w:val="0"/>
                    <w:snapToGrid w:val="0"/>
                    <w:jc w:val="center"/>
                    <w:rPr>
                      <w:rFonts w:ascii="Times New Roman" w:hAnsi="Times New Roman" w:cs="Times New Roman"/>
                      <w:szCs w:val="21"/>
                    </w:rPr>
                  </w:pPr>
                  <w:r>
                    <w:rPr>
                      <w:rFonts w:hint="eastAsia" w:ascii="Times New Roman" w:hAnsi="Times New Roman" w:cs="Times New Roman"/>
                      <w:szCs w:val="21"/>
                    </w:rPr>
                    <w:t>0.9125</w:t>
                  </w:r>
                </w:p>
              </w:tc>
              <w:tc>
                <w:tcPr>
                  <w:tcW w:w="475" w:type="pct"/>
                  <w:tcBorders>
                    <w:tl2br w:val="nil"/>
                    <w:tr2bl w:val="nil"/>
                  </w:tcBorders>
                  <w:vAlign w:val="center"/>
                </w:tcPr>
                <w:p w14:paraId="12B749BD">
                  <w:pPr>
                    <w:adjustRightInd w:val="0"/>
                    <w:snapToGrid w:val="0"/>
                    <w:jc w:val="center"/>
                    <w:rPr>
                      <w:rFonts w:ascii="Times New Roman" w:hAnsi="Times New Roman" w:cs="Times New Roman"/>
                      <w:szCs w:val="21"/>
                    </w:rPr>
                  </w:pPr>
                  <w:r>
                    <w:rPr>
                      <w:rFonts w:hint="eastAsia" w:ascii="Times New Roman" w:hAnsi="Times New Roman" w:cs="Times New Roman"/>
                      <w:szCs w:val="21"/>
                    </w:rPr>
                    <w:t>2.19</w:t>
                  </w:r>
                </w:p>
              </w:tc>
              <w:tc>
                <w:tcPr>
                  <w:tcW w:w="267" w:type="pct"/>
                  <w:tcBorders>
                    <w:tl2br w:val="nil"/>
                    <w:tr2bl w:val="nil"/>
                  </w:tcBorders>
                  <w:vAlign w:val="center"/>
                </w:tcPr>
                <w:p w14:paraId="452A4419">
                  <w:pPr>
                    <w:widowControl/>
                    <w:wordWrap w:val="0"/>
                    <w:adjustRightInd w:val="0"/>
                    <w:snapToGrid w:val="0"/>
                    <w:jc w:val="center"/>
                    <w:rPr>
                      <w:rFonts w:ascii="Times New Roman" w:hAnsi="Times New Roman" w:cs="Times New Roman"/>
                      <w:kern w:val="0"/>
                      <w:szCs w:val="21"/>
                      <w:lang w:bidi="en-US"/>
                    </w:rPr>
                  </w:pPr>
                  <w:r>
                    <w:rPr>
                      <w:rFonts w:hint="eastAsia" w:ascii="Times New Roman" w:hAnsi="Times New Roman" w:cs="Times New Roman"/>
                      <w:kern w:val="0"/>
                      <w:szCs w:val="21"/>
                      <w:lang w:bidi="en-US"/>
                    </w:rPr>
                    <w:t>有组织</w:t>
                  </w:r>
                </w:p>
              </w:tc>
              <w:tc>
                <w:tcPr>
                  <w:tcW w:w="611" w:type="pct"/>
                  <w:tcBorders>
                    <w:tl2br w:val="nil"/>
                    <w:tr2bl w:val="nil"/>
                  </w:tcBorders>
                  <w:vAlign w:val="center"/>
                </w:tcPr>
                <w:p w14:paraId="5F7A28CE">
                  <w:pPr>
                    <w:widowControl/>
                    <w:wordWrap w:val="0"/>
                    <w:adjustRightInd w:val="0"/>
                    <w:snapToGrid w:val="0"/>
                    <w:jc w:val="center"/>
                    <w:rPr>
                      <w:rFonts w:ascii="Times New Roman" w:hAnsi="Times New Roman" w:cs="Times New Roman"/>
                      <w:szCs w:val="21"/>
                    </w:rPr>
                  </w:pPr>
                  <w:r>
                    <w:rPr>
                      <w:rFonts w:ascii="Times New Roman" w:hAnsi="Times New Roman" w:cs="Times New Roman"/>
                      <w:szCs w:val="21"/>
                    </w:rPr>
                    <w:t>高效脉冲布袋除尘器TA00</w:t>
                  </w:r>
                  <w:r>
                    <w:rPr>
                      <w:rFonts w:hint="eastAsia" w:ascii="Times New Roman" w:hAnsi="Times New Roman" w:cs="Times New Roman"/>
                      <w:szCs w:val="21"/>
                    </w:rPr>
                    <w:t>2</w:t>
                  </w:r>
                  <w:r>
                    <w:rPr>
                      <w:rFonts w:ascii="Times New Roman" w:hAnsi="Times New Roman" w:cs="Times New Roman"/>
                      <w:szCs w:val="21"/>
                    </w:rPr>
                    <w:t>+15m高排气筒</w:t>
                  </w:r>
                </w:p>
                <w:p w14:paraId="7AE24F19">
                  <w:pPr>
                    <w:widowControl/>
                    <w:wordWrap w:val="0"/>
                    <w:adjustRightInd w:val="0"/>
                    <w:snapToGrid w:val="0"/>
                    <w:jc w:val="center"/>
                    <w:rPr>
                      <w:rFonts w:ascii="Times New Roman" w:hAnsi="Times New Roman" w:cs="Times New Roman"/>
                      <w:kern w:val="0"/>
                      <w:szCs w:val="21"/>
                      <w:lang w:bidi="en-US"/>
                    </w:rPr>
                  </w:pPr>
                  <w:r>
                    <w:rPr>
                      <w:rFonts w:ascii="Times New Roman" w:hAnsi="Times New Roman" w:cs="Times New Roman"/>
                      <w:szCs w:val="21"/>
                    </w:rPr>
                    <w:t>DA00</w:t>
                  </w:r>
                  <w:r>
                    <w:rPr>
                      <w:rFonts w:hint="eastAsia" w:ascii="Times New Roman" w:hAnsi="Times New Roman" w:cs="Times New Roman"/>
                      <w:szCs w:val="21"/>
                    </w:rPr>
                    <w:t>2</w:t>
                  </w:r>
                </w:p>
              </w:tc>
              <w:tc>
                <w:tcPr>
                  <w:tcW w:w="418" w:type="pct"/>
                  <w:tcBorders>
                    <w:tl2br w:val="nil"/>
                    <w:tr2bl w:val="nil"/>
                  </w:tcBorders>
                  <w:vAlign w:val="center"/>
                </w:tcPr>
                <w:p w14:paraId="5527F4B8">
                  <w:pPr>
                    <w:widowControl/>
                    <w:wordWrap w:val="0"/>
                    <w:adjustRightInd w:val="0"/>
                    <w:snapToGrid w:val="0"/>
                    <w:jc w:val="center"/>
                    <w:rPr>
                      <w:rFonts w:ascii="Times New Roman" w:hAnsi="Times New Roman" w:cs="Times New Roman"/>
                      <w:kern w:val="0"/>
                      <w:szCs w:val="21"/>
                      <w:lang w:bidi="en-US"/>
                    </w:rPr>
                  </w:pPr>
                  <w:r>
                    <w:rPr>
                      <w:rFonts w:hint="eastAsia" w:ascii="Times New Roman" w:hAnsi="Times New Roman" w:cs="Times New Roman"/>
                      <w:kern w:val="0"/>
                      <w:szCs w:val="21"/>
                      <w:lang w:bidi="en-US"/>
                    </w:rPr>
                    <w:t>是</w:t>
                  </w:r>
                </w:p>
              </w:tc>
              <w:tc>
                <w:tcPr>
                  <w:tcW w:w="475" w:type="pct"/>
                  <w:tcBorders>
                    <w:tl2br w:val="nil"/>
                    <w:tr2bl w:val="nil"/>
                  </w:tcBorders>
                  <w:vAlign w:val="center"/>
                </w:tcPr>
                <w:p w14:paraId="67008720">
                  <w:pPr>
                    <w:adjustRightInd w:val="0"/>
                    <w:snapToGrid w:val="0"/>
                    <w:jc w:val="center"/>
                    <w:rPr>
                      <w:rFonts w:ascii="Times New Roman" w:hAnsi="Times New Roman" w:cs="Times New Roman"/>
                      <w:szCs w:val="21"/>
                    </w:rPr>
                  </w:pPr>
                  <w:r>
                    <w:rPr>
                      <w:rFonts w:hint="eastAsia" w:ascii="Times New Roman" w:hAnsi="Times New Roman" w:cs="Times New Roman"/>
                      <w:szCs w:val="21"/>
                    </w:rPr>
                    <w:t>3.802</w:t>
                  </w:r>
                </w:p>
              </w:tc>
              <w:tc>
                <w:tcPr>
                  <w:tcW w:w="552" w:type="pct"/>
                  <w:tcBorders>
                    <w:tl2br w:val="nil"/>
                    <w:tr2bl w:val="nil"/>
                  </w:tcBorders>
                  <w:vAlign w:val="center"/>
                </w:tcPr>
                <w:p w14:paraId="3C378FDA">
                  <w:pPr>
                    <w:adjustRightInd w:val="0"/>
                    <w:snapToGrid w:val="0"/>
                    <w:jc w:val="center"/>
                    <w:rPr>
                      <w:rFonts w:ascii="Times New Roman" w:hAnsi="Times New Roman" w:cs="Times New Roman"/>
                      <w:szCs w:val="21"/>
                    </w:rPr>
                  </w:pPr>
                  <w:r>
                    <w:rPr>
                      <w:rFonts w:hint="eastAsia" w:ascii="Times New Roman" w:hAnsi="Times New Roman" w:cs="Times New Roman"/>
                      <w:szCs w:val="21"/>
                    </w:rPr>
                    <w:t>0.0456</w:t>
                  </w:r>
                </w:p>
              </w:tc>
              <w:tc>
                <w:tcPr>
                  <w:tcW w:w="552" w:type="pct"/>
                  <w:tcBorders>
                    <w:tl2br w:val="nil"/>
                    <w:tr2bl w:val="nil"/>
                  </w:tcBorders>
                  <w:vAlign w:val="center"/>
                </w:tcPr>
                <w:p w14:paraId="69E0FBB3">
                  <w:pPr>
                    <w:adjustRightInd w:val="0"/>
                    <w:snapToGrid w:val="0"/>
                    <w:jc w:val="center"/>
                    <w:rPr>
                      <w:rFonts w:ascii="Times New Roman" w:hAnsi="Times New Roman" w:cs="Times New Roman"/>
                      <w:szCs w:val="21"/>
                    </w:rPr>
                  </w:pPr>
                  <w:r>
                    <w:rPr>
                      <w:rFonts w:hint="eastAsia" w:ascii="Times New Roman" w:hAnsi="Times New Roman" w:cs="Times New Roman"/>
                      <w:szCs w:val="21"/>
                    </w:rPr>
                    <w:t>0.1095</w:t>
                  </w:r>
                </w:p>
              </w:tc>
            </w:tr>
            <w:tr w14:paraId="6B67BE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369" w:type="pct"/>
                  <w:vMerge w:val="restart"/>
                  <w:tcBorders>
                    <w:tl2br w:val="nil"/>
                    <w:tr2bl w:val="nil"/>
                  </w:tcBorders>
                  <w:vAlign w:val="center"/>
                </w:tcPr>
                <w:p w14:paraId="2264B6B7">
                  <w:pPr>
                    <w:widowControl/>
                    <w:wordWrap w:val="0"/>
                    <w:adjustRightInd w:val="0"/>
                    <w:snapToGrid w:val="0"/>
                    <w:jc w:val="center"/>
                    <w:rPr>
                      <w:rFonts w:ascii="Times New Roman" w:hAnsi="Times New Roman" w:cs="Times New Roman"/>
                      <w:kern w:val="0"/>
                      <w:szCs w:val="21"/>
                      <w:lang w:bidi="en-US"/>
                    </w:rPr>
                  </w:pPr>
                  <w:r>
                    <w:rPr>
                      <w:rFonts w:hint="eastAsia" w:ascii="Times New Roman" w:hAnsi="Times New Roman" w:cs="Times New Roman"/>
                      <w:kern w:val="0"/>
                      <w:szCs w:val="21"/>
                      <w:lang w:bidi="en-US"/>
                    </w:rPr>
                    <w:t>调漆、喷漆、烘干</w:t>
                  </w:r>
                  <w:r>
                    <w:rPr>
                      <w:rFonts w:ascii="Times New Roman" w:hAnsi="Times New Roman" w:cs="Times New Roman"/>
                      <w:kern w:val="0"/>
                      <w:szCs w:val="21"/>
                      <w:lang w:bidi="en-US"/>
                    </w:rPr>
                    <w:t>工序</w:t>
                  </w:r>
                </w:p>
              </w:tc>
              <w:tc>
                <w:tcPr>
                  <w:tcW w:w="248" w:type="pct"/>
                  <w:vMerge w:val="restart"/>
                  <w:tcBorders>
                    <w:tl2br w:val="nil"/>
                    <w:tr2bl w:val="nil"/>
                  </w:tcBorders>
                  <w:vAlign w:val="center"/>
                </w:tcPr>
                <w:p w14:paraId="1C878029">
                  <w:pPr>
                    <w:widowControl/>
                    <w:wordWrap w:val="0"/>
                    <w:adjustRightInd w:val="0"/>
                    <w:snapToGrid w:val="0"/>
                    <w:jc w:val="center"/>
                    <w:rPr>
                      <w:rFonts w:ascii="Times New Roman" w:hAnsi="Times New Roman" w:cs="Times New Roman"/>
                      <w:kern w:val="0"/>
                      <w:szCs w:val="21"/>
                      <w:lang w:bidi="en-US"/>
                    </w:rPr>
                  </w:pPr>
                  <w:r>
                    <w:rPr>
                      <w:rFonts w:ascii="Times New Roman" w:hAnsi="Times New Roman" w:cs="Times New Roman"/>
                      <w:kern w:val="0"/>
                      <w:szCs w:val="21"/>
                      <w:lang w:bidi="en-US"/>
                    </w:rPr>
                    <w:t>非甲烷总烃</w:t>
                  </w:r>
                </w:p>
              </w:tc>
              <w:tc>
                <w:tcPr>
                  <w:tcW w:w="475" w:type="pct"/>
                  <w:tcBorders>
                    <w:tl2br w:val="nil"/>
                    <w:tr2bl w:val="nil"/>
                  </w:tcBorders>
                  <w:vAlign w:val="center"/>
                </w:tcPr>
                <w:p w14:paraId="5728774C">
                  <w:pPr>
                    <w:adjustRightInd w:val="0"/>
                    <w:snapToGrid w:val="0"/>
                    <w:jc w:val="center"/>
                    <w:rPr>
                      <w:rFonts w:ascii="Times New Roman" w:hAnsi="Times New Roman" w:cs="Times New Roman"/>
                      <w:color w:val="FF0000"/>
                      <w:szCs w:val="21"/>
                    </w:rPr>
                  </w:pPr>
                  <w:r>
                    <w:rPr>
                      <w:rFonts w:hint="eastAsia" w:ascii="Times New Roman" w:hAnsi="Times New Roman" w:cs="Times New Roman"/>
                      <w:color w:val="FF0000"/>
                      <w:szCs w:val="21"/>
                    </w:rPr>
                    <w:t>69</w:t>
                  </w:r>
                </w:p>
              </w:tc>
              <w:tc>
                <w:tcPr>
                  <w:tcW w:w="552" w:type="pct"/>
                  <w:tcBorders>
                    <w:tl2br w:val="nil"/>
                    <w:tr2bl w:val="nil"/>
                  </w:tcBorders>
                  <w:vAlign w:val="center"/>
                </w:tcPr>
                <w:p w14:paraId="6E491F9B">
                  <w:pPr>
                    <w:adjustRightInd w:val="0"/>
                    <w:snapToGrid w:val="0"/>
                    <w:jc w:val="center"/>
                    <w:rPr>
                      <w:rFonts w:ascii="Times New Roman" w:hAnsi="Times New Roman" w:cs="Times New Roman"/>
                      <w:color w:val="FF0000"/>
                      <w:kern w:val="0"/>
                      <w:szCs w:val="21"/>
                    </w:rPr>
                  </w:pPr>
                  <w:r>
                    <w:rPr>
                      <w:rFonts w:hint="eastAsia" w:ascii="Times New Roman" w:hAnsi="Times New Roman" w:cs="Times New Roman"/>
                      <w:color w:val="FF0000"/>
                      <w:kern w:val="0"/>
                      <w:szCs w:val="21"/>
                    </w:rPr>
                    <w:t>0.69</w:t>
                  </w:r>
                </w:p>
              </w:tc>
              <w:tc>
                <w:tcPr>
                  <w:tcW w:w="475" w:type="pct"/>
                  <w:tcBorders>
                    <w:tl2br w:val="nil"/>
                    <w:tr2bl w:val="nil"/>
                  </w:tcBorders>
                  <w:vAlign w:val="center"/>
                </w:tcPr>
                <w:p w14:paraId="3E6459D2">
                  <w:pPr>
                    <w:adjustRightInd w:val="0"/>
                    <w:snapToGrid w:val="0"/>
                    <w:jc w:val="center"/>
                    <w:rPr>
                      <w:rFonts w:ascii="Times New Roman" w:hAnsi="Times New Roman" w:cs="Times New Roman"/>
                      <w:color w:val="FF0000"/>
                      <w:szCs w:val="21"/>
                    </w:rPr>
                  </w:pPr>
                  <w:r>
                    <w:rPr>
                      <w:rFonts w:hint="eastAsia" w:ascii="Times New Roman" w:hAnsi="Times New Roman" w:cs="Times New Roman"/>
                      <w:color w:val="FF0000"/>
                      <w:szCs w:val="21"/>
                    </w:rPr>
                    <w:t>0.829</w:t>
                  </w:r>
                </w:p>
              </w:tc>
              <w:tc>
                <w:tcPr>
                  <w:tcW w:w="267" w:type="pct"/>
                  <w:tcBorders>
                    <w:tl2br w:val="nil"/>
                    <w:tr2bl w:val="nil"/>
                  </w:tcBorders>
                  <w:vAlign w:val="center"/>
                </w:tcPr>
                <w:p w14:paraId="6D4C6E58">
                  <w:pPr>
                    <w:widowControl/>
                    <w:wordWrap w:val="0"/>
                    <w:adjustRightInd w:val="0"/>
                    <w:snapToGrid w:val="0"/>
                    <w:jc w:val="center"/>
                    <w:rPr>
                      <w:rFonts w:ascii="Times New Roman" w:hAnsi="Times New Roman" w:cs="Times New Roman"/>
                      <w:kern w:val="0"/>
                      <w:szCs w:val="21"/>
                      <w:lang w:bidi="en-US"/>
                    </w:rPr>
                  </w:pPr>
                  <w:r>
                    <w:rPr>
                      <w:rFonts w:ascii="Times New Roman" w:hAnsi="Times New Roman" w:cs="Times New Roman"/>
                      <w:kern w:val="0"/>
                      <w:szCs w:val="21"/>
                      <w:lang w:bidi="en-US"/>
                    </w:rPr>
                    <w:t>有组织</w:t>
                  </w:r>
                </w:p>
              </w:tc>
              <w:tc>
                <w:tcPr>
                  <w:tcW w:w="611" w:type="pct"/>
                  <w:vMerge w:val="restart"/>
                  <w:tcBorders>
                    <w:tl2br w:val="nil"/>
                    <w:tr2bl w:val="nil"/>
                  </w:tcBorders>
                  <w:vAlign w:val="center"/>
                </w:tcPr>
                <w:p w14:paraId="49E456A9">
                  <w:pPr>
                    <w:widowControl/>
                    <w:wordWrap w:val="0"/>
                    <w:adjustRightInd w:val="0"/>
                    <w:snapToGrid w:val="0"/>
                    <w:jc w:val="center"/>
                    <w:rPr>
                      <w:rFonts w:ascii="Times New Roman" w:hAnsi="Times New Roman" w:cs="Times New Roman"/>
                      <w:szCs w:val="21"/>
                    </w:rPr>
                  </w:pPr>
                  <w:r>
                    <w:rPr>
                      <w:rFonts w:hint="eastAsia" w:ascii="Times New Roman" w:hAnsi="Times New Roman" w:cs="Times New Roman"/>
                      <w:szCs w:val="21"/>
                    </w:rPr>
                    <w:t>二级</w:t>
                  </w:r>
                  <w:r>
                    <w:rPr>
                      <w:rFonts w:ascii="Times New Roman" w:hAnsi="Times New Roman" w:cs="Times New Roman"/>
                      <w:szCs w:val="21"/>
                    </w:rPr>
                    <w:t>活性炭+</w:t>
                  </w:r>
                  <w:r>
                    <w:rPr>
                      <w:rFonts w:hint="eastAsia" w:ascii="Times New Roman" w:hAnsi="Times New Roman" w:cs="Times New Roman"/>
                      <w:szCs w:val="21"/>
                    </w:rPr>
                    <w:t>吸附装置</w:t>
                  </w:r>
                  <w:r>
                    <w:rPr>
                      <w:rFonts w:ascii="Times New Roman" w:hAnsi="Times New Roman" w:cs="Times New Roman"/>
                      <w:szCs w:val="21"/>
                    </w:rPr>
                    <w:t>+</w:t>
                  </w:r>
                </w:p>
                <w:p w14:paraId="1CA9751A">
                  <w:pPr>
                    <w:widowControl/>
                    <w:wordWrap w:val="0"/>
                    <w:adjustRightInd w:val="0"/>
                    <w:snapToGrid w:val="0"/>
                    <w:jc w:val="center"/>
                    <w:rPr>
                      <w:rFonts w:ascii="Times New Roman" w:hAnsi="Times New Roman" w:cs="Times New Roman"/>
                      <w:szCs w:val="21"/>
                    </w:rPr>
                  </w:pPr>
                  <w:r>
                    <w:rPr>
                      <w:rFonts w:ascii="Times New Roman" w:hAnsi="Times New Roman" w:cs="Times New Roman"/>
                      <w:szCs w:val="21"/>
                    </w:rPr>
                    <w:t>15m高排气筒</w:t>
                  </w:r>
                </w:p>
                <w:p w14:paraId="614ED3E2">
                  <w:pPr>
                    <w:widowControl/>
                    <w:wordWrap w:val="0"/>
                    <w:adjustRightInd w:val="0"/>
                    <w:snapToGrid w:val="0"/>
                    <w:jc w:val="center"/>
                    <w:rPr>
                      <w:rFonts w:ascii="Times New Roman" w:hAnsi="Times New Roman" w:cs="Times New Roman"/>
                      <w:kern w:val="0"/>
                      <w:szCs w:val="21"/>
                      <w:lang w:bidi="en-US"/>
                    </w:rPr>
                  </w:pPr>
                  <w:r>
                    <w:rPr>
                      <w:rFonts w:ascii="Times New Roman" w:hAnsi="Times New Roman" w:cs="Times New Roman"/>
                      <w:szCs w:val="21"/>
                    </w:rPr>
                    <w:t>DA003</w:t>
                  </w:r>
                </w:p>
              </w:tc>
              <w:tc>
                <w:tcPr>
                  <w:tcW w:w="418" w:type="pct"/>
                  <w:vMerge w:val="restart"/>
                  <w:tcBorders>
                    <w:tl2br w:val="nil"/>
                    <w:tr2bl w:val="nil"/>
                  </w:tcBorders>
                  <w:vAlign w:val="center"/>
                </w:tcPr>
                <w:p w14:paraId="26A980D9">
                  <w:pPr>
                    <w:widowControl/>
                    <w:wordWrap w:val="0"/>
                    <w:adjustRightInd w:val="0"/>
                    <w:snapToGrid w:val="0"/>
                    <w:jc w:val="center"/>
                    <w:rPr>
                      <w:rFonts w:ascii="Times New Roman" w:hAnsi="Times New Roman" w:cs="Times New Roman"/>
                      <w:kern w:val="0"/>
                      <w:szCs w:val="21"/>
                      <w:lang w:bidi="en-US"/>
                    </w:rPr>
                  </w:pPr>
                  <w:r>
                    <w:rPr>
                      <w:rFonts w:ascii="Times New Roman" w:hAnsi="Times New Roman" w:cs="Times New Roman"/>
                      <w:kern w:val="0"/>
                      <w:szCs w:val="21"/>
                      <w:lang w:bidi="en-US"/>
                    </w:rPr>
                    <w:t>是</w:t>
                  </w:r>
                </w:p>
              </w:tc>
              <w:tc>
                <w:tcPr>
                  <w:tcW w:w="475" w:type="pct"/>
                  <w:tcBorders>
                    <w:tl2br w:val="nil"/>
                    <w:tr2bl w:val="nil"/>
                  </w:tcBorders>
                  <w:vAlign w:val="center"/>
                </w:tcPr>
                <w:p w14:paraId="1FC1EAA5">
                  <w:pPr>
                    <w:adjustRightInd w:val="0"/>
                    <w:snapToGrid w:val="0"/>
                    <w:jc w:val="center"/>
                    <w:rPr>
                      <w:rFonts w:hint="default" w:ascii="Times New Roman" w:hAnsi="Times New Roman" w:cs="Times New Roman" w:eastAsiaTheme="minorEastAsia"/>
                      <w:color w:val="FF0000"/>
                      <w:szCs w:val="21"/>
                      <w:lang w:val="en-US" w:eastAsia="zh-CN"/>
                    </w:rPr>
                  </w:pPr>
                  <w:r>
                    <w:rPr>
                      <w:rFonts w:hint="eastAsia" w:ascii="Times New Roman" w:hAnsi="Times New Roman" w:cs="Times New Roman"/>
                      <w:color w:val="FF0000"/>
                      <w:szCs w:val="21"/>
                      <w:lang w:val="en-US" w:eastAsia="zh-CN"/>
                    </w:rPr>
                    <w:t>26.3</w:t>
                  </w:r>
                </w:p>
              </w:tc>
              <w:tc>
                <w:tcPr>
                  <w:tcW w:w="552" w:type="pct"/>
                  <w:tcBorders>
                    <w:tl2br w:val="nil"/>
                    <w:tr2bl w:val="nil"/>
                  </w:tcBorders>
                  <w:vAlign w:val="center"/>
                </w:tcPr>
                <w:p w14:paraId="02EAE1E7">
                  <w:pPr>
                    <w:adjustRightInd w:val="0"/>
                    <w:snapToGrid w:val="0"/>
                    <w:jc w:val="center"/>
                    <w:rPr>
                      <w:rFonts w:hint="default" w:ascii="Times New Roman" w:hAnsi="Times New Roman" w:cs="Times New Roman" w:eastAsiaTheme="minorEastAsia"/>
                      <w:color w:val="FF0000"/>
                      <w:szCs w:val="21"/>
                      <w:lang w:val="en-US" w:eastAsia="zh-CN"/>
                    </w:rPr>
                  </w:pPr>
                  <w:r>
                    <w:rPr>
                      <w:rFonts w:hint="eastAsia" w:ascii="Times New Roman" w:hAnsi="Times New Roman" w:cs="Times New Roman"/>
                      <w:color w:val="FF0000"/>
                      <w:szCs w:val="21"/>
                    </w:rPr>
                    <w:t>0.</w:t>
                  </w:r>
                  <w:r>
                    <w:rPr>
                      <w:rFonts w:hint="eastAsia" w:ascii="Times New Roman" w:hAnsi="Times New Roman" w:cs="Times New Roman"/>
                      <w:color w:val="FF0000"/>
                      <w:szCs w:val="21"/>
                      <w:lang w:val="en-US" w:eastAsia="zh-CN"/>
                    </w:rPr>
                    <w:t>263</w:t>
                  </w:r>
                </w:p>
              </w:tc>
              <w:tc>
                <w:tcPr>
                  <w:tcW w:w="552" w:type="pct"/>
                  <w:tcBorders>
                    <w:tl2br w:val="nil"/>
                    <w:tr2bl w:val="nil"/>
                  </w:tcBorders>
                  <w:vAlign w:val="center"/>
                </w:tcPr>
                <w:p w14:paraId="41DC9E18">
                  <w:pPr>
                    <w:adjustRightInd w:val="0"/>
                    <w:snapToGrid w:val="0"/>
                    <w:jc w:val="center"/>
                    <w:rPr>
                      <w:rFonts w:hint="default" w:ascii="Times New Roman" w:hAnsi="Times New Roman" w:cs="Times New Roman" w:eastAsiaTheme="minorEastAsia"/>
                      <w:color w:val="FF0000"/>
                      <w:szCs w:val="21"/>
                      <w:lang w:val="en-US" w:eastAsia="zh-CN"/>
                    </w:rPr>
                  </w:pPr>
                  <w:r>
                    <w:rPr>
                      <w:rFonts w:hint="eastAsia" w:ascii="Times New Roman" w:hAnsi="Times New Roman" w:cs="Times New Roman"/>
                      <w:color w:val="FF0000"/>
                      <w:szCs w:val="21"/>
                    </w:rPr>
                    <w:t>0.</w:t>
                  </w:r>
                  <w:r>
                    <w:rPr>
                      <w:rFonts w:hint="eastAsia" w:ascii="Times New Roman" w:hAnsi="Times New Roman" w:cs="Times New Roman"/>
                      <w:color w:val="FF0000"/>
                      <w:szCs w:val="21"/>
                      <w:lang w:val="en-US" w:eastAsia="zh-CN"/>
                    </w:rPr>
                    <w:t>315</w:t>
                  </w:r>
                </w:p>
              </w:tc>
            </w:tr>
            <w:tr w14:paraId="6CCFC4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369" w:type="pct"/>
                  <w:vMerge w:val="continue"/>
                  <w:tcBorders>
                    <w:tl2br w:val="nil"/>
                    <w:tr2bl w:val="nil"/>
                  </w:tcBorders>
                  <w:vAlign w:val="center"/>
                </w:tcPr>
                <w:p w14:paraId="10622BE1">
                  <w:pPr>
                    <w:widowControl/>
                    <w:wordWrap w:val="0"/>
                    <w:adjustRightInd w:val="0"/>
                    <w:snapToGrid w:val="0"/>
                    <w:jc w:val="center"/>
                    <w:rPr>
                      <w:rFonts w:ascii="Times New Roman" w:hAnsi="Times New Roman" w:cs="Times New Roman"/>
                      <w:kern w:val="0"/>
                      <w:szCs w:val="21"/>
                      <w:lang w:bidi="en-US"/>
                    </w:rPr>
                  </w:pPr>
                </w:p>
              </w:tc>
              <w:tc>
                <w:tcPr>
                  <w:tcW w:w="248" w:type="pct"/>
                  <w:vMerge w:val="continue"/>
                  <w:tcBorders>
                    <w:tl2br w:val="nil"/>
                    <w:tr2bl w:val="nil"/>
                  </w:tcBorders>
                  <w:vAlign w:val="center"/>
                </w:tcPr>
                <w:p w14:paraId="1F55F3C5">
                  <w:pPr>
                    <w:widowControl/>
                    <w:wordWrap w:val="0"/>
                    <w:adjustRightInd w:val="0"/>
                    <w:snapToGrid w:val="0"/>
                    <w:jc w:val="center"/>
                    <w:rPr>
                      <w:rFonts w:ascii="Times New Roman" w:hAnsi="Times New Roman" w:cs="Times New Roman"/>
                      <w:kern w:val="0"/>
                      <w:szCs w:val="21"/>
                      <w:lang w:bidi="en-US"/>
                    </w:rPr>
                  </w:pPr>
                </w:p>
              </w:tc>
              <w:tc>
                <w:tcPr>
                  <w:tcW w:w="475" w:type="pct"/>
                  <w:tcBorders>
                    <w:tl2br w:val="nil"/>
                    <w:tr2bl w:val="nil"/>
                  </w:tcBorders>
                  <w:vAlign w:val="center"/>
                </w:tcPr>
                <w:p w14:paraId="6F1C879A">
                  <w:pPr>
                    <w:widowControl/>
                    <w:adjustRightInd w:val="0"/>
                    <w:snapToGrid w:val="0"/>
                    <w:jc w:val="center"/>
                    <w:rPr>
                      <w:rFonts w:ascii="Times New Roman" w:hAnsi="Times New Roman" w:cs="Times New Roman"/>
                      <w:color w:val="FF0000"/>
                      <w:szCs w:val="21"/>
                    </w:rPr>
                  </w:pPr>
                  <w:r>
                    <w:rPr>
                      <w:rFonts w:hint="eastAsia" w:ascii="Times New Roman" w:hAnsi="Times New Roman" w:cs="Times New Roman"/>
                      <w:color w:val="FF0000"/>
                      <w:szCs w:val="21"/>
                    </w:rPr>
                    <w:t>/</w:t>
                  </w:r>
                </w:p>
              </w:tc>
              <w:tc>
                <w:tcPr>
                  <w:tcW w:w="552" w:type="pct"/>
                  <w:tcBorders>
                    <w:tl2br w:val="nil"/>
                    <w:tr2bl w:val="nil"/>
                  </w:tcBorders>
                  <w:vAlign w:val="center"/>
                </w:tcPr>
                <w:p w14:paraId="0B5F12D2">
                  <w:pPr>
                    <w:adjustRightInd w:val="0"/>
                    <w:snapToGrid w:val="0"/>
                    <w:jc w:val="center"/>
                    <w:rPr>
                      <w:rFonts w:ascii="Times New Roman" w:hAnsi="Times New Roman" w:cs="Times New Roman"/>
                      <w:color w:val="FF0000"/>
                      <w:kern w:val="0"/>
                      <w:szCs w:val="21"/>
                    </w:rPr>
                  </w:pPr>
                  <w:r>
                    <w:rPr>
                      <w:rFonts w:hint="eastAsia" w:ascii="Times New Roman" w:hAnsi="Times New Roman" w:cs="Times New Roman"/>
                      <w:color w:val="FF0000"/>
                      <w:kern w:val="0"/>
                      <w:szCs w:val="21"/>
                    </w:rPr>
                    <w:t>0.034</w:t>
                  </w:r>
                </w:p>
              </w:tc>
              <w:tc>
                <w:tcPr>
                  <w:tcW w:w="475" w:type="pct"/>
                  <w:tcBorders>
                    <w:tl2br w:val="nil"/>
                    <w:tr2bl w:val="nil"/>
                  </w:tcBorders>
                  <w:vAlign w:val="center"/>
                </w:tcPr>
                <w:p w14:paraId="19B1F90B">
                  <w:pPr>
                    <w:adjustRightInd w:val="0"/>
                    <w:snapToGrid w:val="0"/>
                    <w:jc w:val="center"/>
                    <w:rPr>
                      <w:rFonts w:ascii="Times New Roman" w:hAnsi="Times New Roman" w:cs="Times New Roman"/>
                      <w:color w:val="FF0000"/>
                      <w:szCs w:val="21"/>
                    </w:rPr>
                  </w:pPr>
                  <w:r>
                    <w:rPr>
                      <w:rFonts w:hint="eastAsia" w:ascii="Times New Roman" w:hAnsi="Times New Roman" w:cs="Times New Roman"/>
                      <w:color w:val="FF0000"/>
                      <w:szCs w:val="21"/>
                    </w:rPr>
                    <w:t>0.041</w:t>
                  </w:r>
                </w:p>
              </w:tc>
              <w:tc>
                <w:tcPr>
                  <w:tcW w:w="267" w:type="pct"/>
                  <w:tcBorders>
                    <w:tl2br w:val="nil"/>
                    <w:tr2bl w:val="nil"/>
                  </w:tcBorders>
                  <w:vAlign w:val="center"/>
                </w:tcPr>
                <w:p w14:paraId="472CF271">
                  <w:pPr>
                    <w:widowControl/>
                    <w:wordWrap w:val="0"/>
                    <w:adjustRightInd w:val="0"/>
                    <w:snapToGrid w:val="0"/>
                    <w:jc w:val="center"/>
                    <w:rPr>
                      <w:rFonts w:ascii="Times New Roman" w:hAnsi="Times New Roman" w:cs="Times New Roman"/>
                      <w:kern w:val="0"/>
                      <w:szCs w:val="21"/>
                      <w:lang w:bidi="en-US"/>
                    </w:rPr>
                  </w:pPr>
                  <w:r>
                    <w:rPr>
                      <w:rFonts w:ascii="Times New Roman" w:hAnsi="Times New Roman" w:cs="Times New Roman"/>
                      <w:kern w:val="0"/>
                      <w:szCs w:val="21"/>
                      <w:lang w:bidi="en-US"/>
                    </w:rPr>
                    <w:t>无组织</w:t>
                  </w:r>
                </w:p>
              </w:tc>
              <w:tc>
                <w:tcPr>
                  <w:tcW w:w="611" w:type="pct"/>
                  <w:vMerge w:val="continue"/>
                  <w:tcBorders>
                    <w:tl2br w:val="nil"/>
                    <w:tr2bl w:val="nil"/>
                  </w:tcBorders>
                  <w:vAlign w:val="center"/>
                </w:tcPr>
                <w:p w14:paraId="5C580887">
                  <w:pPr>
                    <w:widowControl/>
                    <w:wordWrap w:val="0"/>
                    <w:adjustRightInd w:val="0"/>
                    <w:snapToGrid w:val="0"/>
                    <w:jc w:val="center"/>
                    <w:rPr>
                      <w:rFonts w:ascii="Times New Roman" w:hAnsi="Times New Roman" w:cs="Times New Roman"/>
                      <w:kern w:val="0"/>
                      <w:szCs w:val="21"/>
                      <w:lang w:bidi="en-US"/>
                    </w:rPr>
                  </w:pPr>
                </w:p>
              </w:tc>
              <w:tc>
                <w:tcPr>
                  <w:tcW w:w="418" w:type="pct"/>
                  <w:vMerge w:val="continue"/>
                  <w:tcBorders>
                    <w:tl2br w:val="nil"/>
                    <w:tr2bl w:val="nil"/>
                  </w:tcBorders>
                  <w:vAlign w:val="center"/>
                </w:tcPr>
                <w:p w14:paraId="185D886D">
                  <w:pPr>
                    <w:widowControl/>
                    <w:wordWrap w:val="0"/>
                    <w:adjustRightInd w:val="0"/>
                    <w:snapToGrid w:val="0"/>
                    <w:jc w:val="center"/>
                    <w:rPr>
                      <w:rFonts w:ascii="Times New Roman" w:hAnsi="Times New Roman" w:cs="Times New Roman"/>
                      <w:kern w:val="0"/>
                      <w:szCs w:val="21"/>
                      <w:lang w:bidi="en-US"/>
                    </w:rPr>
                  </w:pPr>
                </w:p>
              </w:tc>
              <w:tc>
                <w:tcPr>
                  <w:tcW w:w="475" w:type="pct"/>
                  <w:tcBorders>
                    <w:tl2br w:val="nil"/>
                    <w:tr2bl w:val="nil"/>
                  </w:tcBorders>
                  <w:vAlign w:val="center"/>
                </w:tcPr>
                <w:p w14:paraId="0C4DAE70">
                  <w:pPr>
                    <w:adjustRightInd w:val="0"/>
                    <w:snapToGrid w:val="0"/>
                    <w:jc w:val="center"/>
                    <w:rPr>
                      <w:rFonts w:ascii="Times New Roman" w:hAnsi="Times New Roman" w:cs="Times New Roman"/>
                      <w:color w:val="FF0000"/>
                      <w:szCs w:val="21"/>
                    </w:rPr>
                  </w:pPr>
                  <w:r>
                    <w:rPr>
                      <w:rFonts w:hint="eastAsia" w:ascii="Times New Roman" w:hAnsi="Times New Roman" w:cs="Times New Roman"/>
                      <w:color w:val="FF0000"/>
                      <w:szCs w:val="21"/>
                    </w:rPr>
                    <w:t>/</w:t>
                  </w:r>
                </w:p>
              </w:tc>
              <w:tc>
                <w:tcPr>
                  <w:tcW w:w="552" w:type="pct"/>
                  <w:tcBorders>
                    <w:tl2br w:val="nil"/>
                    <w:tr2bl w:val="nil"/>
                  </w:tcBorders>
                  <w:vAlign w:val="center"/>
                </w:tcPr>
                <w:p w14:paraId="337688A4">
                  <w:pPr>
                    <w:adjustRightInd w:val="0"/>
                    <w:snapToGrid w:val="0"/>
                    <w:jc w:val="center"/>
                    <w:rPr>
                      <w:rFonts w:ascii="Times New Roman" w:hAnsi="Times New Roman" w:cs="Times New Roman"/>
                      <w:color w:val="FF0000"/>
                      <w:szCs w:val="21"/>
                    </w:rPr>
                  </w:pPr>
                  <w:r>
                    <w:rPr>
                      <w:rFonts w:hint="eastAsia" w:ascii="Times New Roman" w:hAnsi="Times New Roman" w:cs="Times New Roman"/>
                      <w:color w:val="FF0000"/>
                      <w:szCs w:val="21"/>
                    </w:rPr>
                    <w:t>0.034</w:t>
                  </w:r>
                </w:p>
              </w:tc>
              <w:tc>
                <w:tcPr>
                  <w:tcW w:w="552" w:type="pct"/>
                  <w:tcBorders>
                    <w:tl2br w:val="nil"/>
                    <w:tr2bl w:val="nil"/>
                  </w:tcBorders>
                  <w:vAlign w:val="center"/>
                </w:tcPr>
                <w:p w14:paraId="503CE3DA">
                  <w:pPr>
                    <w:adjustRightInd w:val="0"/>
                    <w:snapToGrid w:val="0"/>
                    <w:jc w:val="center"/>
                    <w:rPr>
                      <w:rFonts w:ascii="Times New Roman" w:hAnsi="Times New Roman" w:cs="Times New Roman"/>
                      <w:color w:val="FF0000"/>
                      <w:szCs w:val="21"/>
                    </w:rPr>
                  </w:pPr>
                  <w:r>
                    <w:rPr>
                      <w:rFonts w:hint="eastAsia" w:ascii="Times New Roman" w:hAnsi="Times New Roman" w:cs="Times New Roman"/>
                      <w:color w:val="FF0000"/>
                      <w:szCs w:val="21"/>
                    </w:rPr>
                    <w:t>0.041</w:t>
                  </w:r>
                </w:p>
              </w:tc>
            </w:tr>
            <w:tr w14:paraId="37DAF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369" w:type="pct"/>
                  <w:vMerge w:val="continue"/>
                  <w:tcBorders>
                    <w:tl2br w:val="nil"/>
                    <w:tr2bl w:val="nil"/>
                  </w:tcBorders>
                  <w:vAlign w:val="center"/>
                </w:tcPr>
                <w:p w14:paraId="21BD858E">
                  <w:pPr>
                    <w:widowControl/>
                    <w:wordWrap w:val="0"/>
                    <w:adjustRightInd w:val="0"/>
                    <w:snapToGrid w:val="0"/>
                    <w:jc w:val="center"/>
                    <w:rPr>
                      <w:rFonts w:ascii="Times New Roman" w:hAnsi="Times New Roman" w:cs="Times New Roman"/>
                      <w:kern w:val="0"/>
                      <w:szCs w:val="21"/>
                      <w:lang w:bidi="en-US"/>
                    </w:rPr>
                  </w:pPr>
                </w:p>
              </w:tc>
              <w:tc>
                <w:tcPr>
                  <w:tcW w:w="248" w:type="pct"/>
                  <w:vMerge w:val="restart"/>
                  <w:tcBorders>
                    <w:tl2br w:val="nil"/>
                    <w:tr2bl w:val="nil"/>
                  </w:tcBorders>
                  <w:vAlign w:val="center"/>
                </w:tcPr>
                <w:p w14:paraId="532C8B56">
                  <w:pPr>
                    <w:widowControl/>
                    <w:wordWrap w:val="0"/>
                    <w:adjustRightInd w:val="0"/>
                    <w:snapToGrid w:val="0"/>
                    <w:jc w:val="center"/>
                    <w:rPr>
                      <w:rFonts w:ascii="Times New Roman" w:hAnsi="Times New Roman" w:cs="Times New Roman"/>
                      <w:kern w:val="0"/>
                      <w:szCs w:val="21"/>
                      <w:lang w:bidi="en-US"/>
                    </w:rPr>
                  </w:pPr>
                  <w:r>
                    <w:rPr>
                      <w:rFonts w:ascii="Times New Roman" w:hAnsi="Times New Roman" w:cs="Times New Roman"/>
                      <w:kern w:val="0"/>
                      <w:szCs w:val="21"/>
                      <w:lang w:bidi="en-US"/>
                    </w:rPr>
                    <w:t>颗粒物</w:t>
                  </w:r>
                </w:p>
              </w:tc>
              <w:tc>
                <w:tcPr>
                  <w:tcW w:w="475" w:type="pct"/>
                  <w:tcBorders>
                    <w:tl2br w:val="nil"/>
                    <w:tr2bl w:val="nil"/>
                  </w:tcBorders>
                  <w:vAlign w:val="center"/>
                </w:tcPr>
                <w:p w14:paraId="6EA621AC">
                  <w:pPr>
                    <w:adjustRightInd w:val="0"/>
                    <w:snapToGrid w:val="0"/>
                    <w:jc w:val="center"/>
                    <w:rPr>
                      <w:rFonts w:hint="default" w:ascii="Times New Roman" w:hAnsi="Times New Roman" w:cs="Times New Roman" w:eastAsiaTheme="minorEastAsia"/>
                      <w:color w:val="FF0000"/>
                      <w:szCs w:val="21"/>
                      <w:lang w:val="en-US" w:eastAsia="zh-CN"/>
                    </w:rPr>
                  </w:pPr>
                  <w:r>
                    <w:rPr>
                      <w:rFonts w:hint="eastAsia" w:ascii="Times New Roman" w:hAnsi="Times New Roman" w:cs="Times New Roman"/>
                      <w:color w:val="FF0000"/>
                      <w:szCs w:val="21"/>
                      <w:lang w:val="en-US" w:eastAsia="zh-CN"/>
                    </w:rPr>
                    <w:t>115</w:t>
                  </w:r>
                </w:p>
              </w:tc>
              <w:tc>
                <w:tcPr>
                  <w:tcW w:w="552" w:type="pct"/>
                  <w:tcBorders>
                    <w:tl2br w:val="nil"/>
                    <w:tr2bl w:val="nil"/>
                  </w:tcBorders>
                  <w:vAlign w:val="center"/>
                </w:tcPr>
                <w:p w14:paraId="21DE15FE">
                  <w:pPr>
                    <w:adjustRightInd w:val="0"/>
                    <w:snapToGrid w:val="0"/>
                    <w:jc w:val="center"/>
                    <w:rPr>
                      <w:rFonts w:hint="default" w:ascii="Times New Roman" w:hAnsi="Times New Roman" w:cs="Times New Roman" w:eastAsiaTheme="minorEastAsia"/>
                      <w:color w:val="FF0000"/>
                      <w:kern w:val="0"/>
                      <w:szCs w:val="21"/>
                      <w:lang w:val="en-US" w:eastAsia="zh-CN"/>
                    </w:rPr>
                  </w:pPr>
                  <w:r>
                    <w:rPr>
                      <w:rFonts w:hint="eastAsia" w:ascii="Times New Roman" w:hAnsi="Times New Roman" w:cs="Times New Roman"/>
                      <w:color w:val="FF0000"/>
                      <w:kern w:val="0"/>
                      <w:szCs w:val="21"/>
                    </w:rPr>
                    <w:t>1.</w:t>
                  </w:r>
                  <w:r>
                    <w:rPr>
                      <w:rFonts w:hint="eastAsia" w:ascii="Times New Roman" w:hAnsi="Times New Roman" w:cs="Times New Roman"/>
                      <w:color w:val="FF0000"/>
                      <w:kern w:val="0"/>
                      <w:szCs w:val="21"/>
                      <w:lang w:val="en-US" w:eastAsia="zh-CN"/>
                    </w:rPr>
                    <w:t>15</w:t>
                  </w:r>
                </w:p>
              </w:tc>
              <w:tc>
                <w:tcPr>
                  <w:tcW w:w="475" w:type="pct"/>
                  <w:tcBorders>
                    <w:tl2br w:val="nil"/>
                    <w:tr2bl w:val="nil"/>
                  </w:tcBorders>
                  <w:vAlign w:val="center"/>
                </w:tcPr>
                <w:p w14:paraId="257A9949">
                  <w:pPr>
                    <w:adjustRightInd w:val="0"/>
                    <w:snapToGrid w:val="0"/>
                    <w:jc w:val="center"/>
                    <w:rPr>
                      <w:rFonts w:hint="default" w:ascii="Times New Roman" w:hAnsi="Times New Roman" w:cs="Times New Roman" w:eastAsiaTheme="minorEastAsia"/>
                      <w:color w:val="FF0000"/>
                      <w:szCs w:val="21"/>
                      <w:lang w:val="en-US" w:eastAsia="zh-CN"/>
                    </w:rPr>
                  </w:pPr>
                  <w:r>
                    <w:rPr>
                      <w:rFonts w:hint="eastAsia" w:ascii="Times New Roman" w:hAnsi="Times New Roman" w:cs="Times New Roman"/>
                      <w:color w:val="FF0000"/>
                      <w:szCs w:val="21"/>
                      <w:lang w:val="en-US" w:eastAsia="zh-CN"/>
                    </w:rPr>
                    <w:t>1.383</w:t>
                  </w:r>
                </w:p>
              </w:tc>
              <w:tc>
                <w:tcPr>
                  <w:tcW w:w="267" w:type="pct"/>
                  <w:tcBorders>
                    <w:tl2br w:val="nil"/>
                    <w:tr2bl w:val="nil"/>
                  </w:tcBorders>
                  <w:vAlign w:val="center"/>
                </w:tcPr>
                <w:p w14:paraId="5DCFD859">
                  <w:pPr>
                    <w:widowControl/>
                    <w:wordWrap w:val="0"/>
                    <w:adjustRightInd w:val="0"/>
                    <w:snapToGrid w:val="0"/>
                    <w:jc w:val="center"/>
                    <w:rPr>
                      <w:rFonts w:ascii="Times New Roman" w:hAnsi="Times New Roman" w:cs="Times New Roman"/>
                      <w:kern w:val="0"/>
                      <w:szCs w:val="21"/>
                      <w:lang w:bidi="en-US"/>
                    </w:rPr>
                  </w:pPr>
                  <w:r>
                    <w:rPr>
                      <w:rFonts w:ascii="Times New Roman" w:hAnsi="Times New Roman" w:cs="Times New Roman"/>
                      <w:kern w:val="0"/>
                      <w:szCs w:val="21"/>
                      <w:lang w:bidi="en-US"/>
                    </w:rPr>
                    <w:t>有组织</w:t>
                  </w:r>
                </w:p>
              </w:tc>
              <w:tc>
                <w:tcPr>
                  <w:tcW w:w="611" w:type="pct"/>
                  <w:vMerge w:val="continue"/>
                  <w:tcBorders>
                    <w:tl2br w:val="nil"/>
                    <w:tr2bl w:val="nil"/>
                  </w:tcBorders>
                  <w:vAlign w:val="center"/>
                </w:tcPr>
                <w:p w14:paraId="1ECA406A">
                  <w:pPr>
                    <w:widowControl/>
                    <w:wordWrap w:val="0"/>
                    <w:adjustRightInd w:val="0"/>
                    <w:snapToGrid w:val="0"/>
                    <w:jc w:val="center"/>
                    <w:rPr>
                      <w:rFonts w:ascii="Times New Roman" w:hAnsi="Times New Roman" w:cs="Times New Roman"/>
                      <w:kern w:val="0"/>
                      <w:szCs w:val="21"/>
                      <w:lang w:bidi="en-US"/>
                    </w:rPr>
                  </w:pPr>
                </w:p>
              </w:tc>
              <w:tc>
                <w:tcPr>
                  <w:tcW w:w="418" w:type="pct"/>
                  <w:vMerge w:val="restart"/>
                  <w:tcBorders>
                    <w:tl2br w:val="nil"/>
                    <w:tr2bl w:val="nil"/>
                  </w:tcBorders>
                  <w:vAlign w:val="center"/>
                </w:tcPr>
                <w:p w14:paraId="0373E737">
                  <w:pPr>
                    <w:widowControl/>
                    <w:wordWrap w:val="0"/>
                    <w:adjustRightInd w:val="0"/>
                    <w:snapToGrid w:val="0"/>
                    <w:jc w:val="center"/>
                    <w:rPr>
                      <w:rFonts w:ascii="Times New Roman" w:hAnsi="Times New Roman" w:cs="Times New Roman"/>
                      <w:kern w:val="0"/>
                      <w:szCs w:val="21"/>
                      <w:lang w:bidi="en-US"/>
                    </w:rPr>
                  </w:pPr>
                  <w:r>
                    <w:rPr>
                      <w:rFonts w:ascii="Times New Roman" w:hAnsi="Times New Roman" w:cs="Times New Roman"/>
                      <w:kern w:val="0"/>
                      <w:szCs w:val="21"/>
                      <w:lang w:bidi="en-US"/>
                    </w:rPr>
                    <w:t>是</w:t>
                  </w:r>
                </w:p>
              </w:tc>
              <w:tc>
                <w:tcPr>
                  <w:tcW w:w="475" w:type="pct"/>
                  <w:tcBorders>
                    <w:tl2br w:val="nil"/>
                    <w:tr2bl w:val="nil"/>
                  </w:tcBorders>
                  <w:vAlign w:val="center"/>
                </w:tcPr>
                <w:p w14:paraId="6311BE5F">
                  <w:pPr>
                    <w:adjustRightInd w:val="0"/>
                    <w:snapToGrid w:val="0"/>
                    <w:jc w:val="center"/>
                    <w:rPr>
                      <w:rFonts w:hint="default" w:ascii="Times New Roman" w:hAnsi="Times New Roman" w:cs="Times New Roman" w:eastAsiaTheme="minorEastAsia"/>
                      <w:color w:val="FF0000"/>
                      <w:szCs w:val="21"/>
                      <w:lang w:val="en-US" w:eastAsia="zh-CN"/>
                    </w:rPr>
                  </w:pPr>
                  <w:r>
                    <w:rPr>
                      <w:rFonts w:hint="eastAsia" w:ascii="Times New Roman" w:hAnsi="Times New Roman" w:cs="Times New Roman"/>
                      <w:color w:val="FF0000"/>
                      <w:szCs w:val="21"/>
                      <w:lang w:val="en-US" w:eastAsia="zh-CN"/>
                    </w:rPr>
                    <w:t>16</w:t>
                  </w:r>
                </w:p>
              </w:tc>
              <w:tc>
                <w:tcPr>
                  <w:tcW w:w="552" w:type="pct"/>
                  <w:tcBorders>
                    <w:tl2br w:val="nil"/>
                    <w:tr2bl w:val="nil"/>
                  </w:tcBorders>
                  <w:vAlign w:val="center"/>
                </w:tcPr>
                <w:p w14:paraId="270876A7">
                  <w:pPr>
                    <w:adjustRightInd w:val="0"/>
                    <w:snapToGrid w:val="0"/>
                    <w:jc w:val="center"/>
                    <w:rPr>
                      <w:rFonts w:hint="eastAsia" w:ascii="Times New Roman" w:hAnsi="Times New Roman" w:cs="Times New Roman" w:eastAsiaTheme="minorEastAsia"/>
                      <w:color w:val="FF0000"/>
                      <w:szCs w:val="21"/>
                      <w:lang w:eastAsia="zh-CN"/>
                    </w:rPr>
                  </w:pPr>
                  <w:r>
                    <w:rPr>
                      <w:rFonts w:hint="eastAsia" w:ascii="Times New Roman" w:hAnsi="Times New Roman" w:cs="Times New Roman"/>
                      <w:color w:val="FF0000"/>
                      <w:szCs w:val="21"/>
                    </w:rPr>
                    <w:t>0.1</w:t>
                  </w:r>
                  <w:r>
                    <w:rPr>
                      <w:rFonts w:hint="eastAsia" w:ascii="Times New Roman" w:hAnsi="Times New Roman" w:cs="Times New Roman"/>
                      <w:color w:val="FF0000"/>
                      <w:szCs w:val="21"/>
                      <w:lang w:val="en-US" w:eastAsia="zh-CN"/>
                    </w:rPr>
                    <w:t>6</w:t>
                  </w:r>
                </w:p>
              </w:tc>
              <w:tc>
                <w:tcPr>
                  <w:tcW w:w="552" w:type="pct"/>
                  <w:tcBorders>
                    <w:tl2br w:val="nil"/>
                    <w:tr2bl w:val="nil"/>
                  </w:tcBorders>
                  <w:vAlign w:val="center"/>
                </w:tcPr>
                <w:p w14:paraId="370CD688">
                  <w:pPr>
                    <w:adjustRightInd w:val="0"/>
                    <w:snapToGrid w:val="0"/>
                    <w:jc w:val="center"/>
                    <w:rPr>
                      <w:rFonts w:hint="default" w:ascii="Times New Roman" w:hAnsi="Times New Roman" w:cs="Times New Roman" w:eastAsiaTheme="minorEastAsia"/>
                      <w:color w:val="FF0000"/>
                      <w:szCs w:val="21"/>
                      <w:lang w:val="en-US" w:eastAsia="zh-CN"/>
                    </w:rPr>
                  </w:pPr>
                  <w:r>
                    <w:rPr>
                      <w:rFonts w:hint="eastAsia" w:ascii="Times New Roman" w:hAnsi="Times New Roman" w:cs="Times New Roman"/>
                      <w:color w:val="FF0000"/>
                      <w:szCs w:val="21"/>
                    </w:rPr>
                    <w:t>0.</w:t>
                  </w:r>
                  <w:r>
                    <w:rPr>
                      <w:rFonts w:hint="eastAsia" w:ascii="Times New Roman" w:hAnsi="Times New Roman" w:cs="Times New Roman"/>
                      <w:color w:val="FF0000"/>
                      <w:szCs w:val="21"/>
                      <w:lang w:val="en-US" w:eastAsia="zh-CN"/>
                    </w:rPr>
                    <w:t>197</w:t>
                  </w:r>
                </w:p>
              </w:tc>
            </w:tr>
            <w:tr w14:paraId="092F99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369" w:type="pct"/>
                  <w:vMerge w:val="continue"/>
                  <w:tcBorders>
                    <w:tl2br w:val="nil"/>
                    <w:tr2bl w:val="nil"/>
                  </w:tcBorders>
                  <w:vAlign w:val="center"/>
                </w:tcPr>
                <w:p w14:paraId="79E0C05B">
                  <w:pPr>
                    <w:widowControl/>
                    <w:wordWrap w:val="0"/>
                    <w:adjustRightInd w:val="0"/>
                    <w:snapToGrid w:val="0"/>
                    <w:jc w:val="center"/>
                    <w:rPr>
                      <w:rFonts w:ascii="Times New Roman" w:hAnsi="Times New Roman" w:cs="Times New Roman"/>
                      <w:kern w:val="0"/>
                      <w:szCs w:val="21"/>
                      <w:lang w:bidi="en-US"/>
                    </w:rPr>
                  </w:pPr>
                </w:p>
              </w:tc>
              <w:tc>
                <w:tcPr>
                  <w:tcW w:w="248" w:type="pct"/>
                  <w:vMerge w:val="continue"/>
                  <w:tcBorders>
                    <w:tl2br w:val="nil"/>
                    <w:tr2bl w:val="nil"/>
                  </w:tcBorders>
                  <w:vAlign w:val="center"/>
                </w:tcPr>
                <w:p w14:paraId="45768B92">
                  <w:pPr>
                    <w:widowControl/>
                    <w:wordWrap w:val="0"/>
                    <w:adjustRightInd w:val="0"/>
                    <w:snapToGrid w:val="0"/>
                    <w:jc w:val="center"/>
                    <w:rPr>
                      <w:rFonts w:ascii="Times New Roman" w:hAnsi="Times New Roman" w:cs="Times New Roman"/>
                      <w:kern w:val="0"/>
                      <w:szCs w:val="21"/>
                      <w:lang w:bidi="en-US"/>
                    </w:rPr>
                  </w:pPr>
                </w:p>
              </w:tc>
              <w:tc>
                <w:tcPr>
                  <w:tcW w:w="475" w:type="pct"/>
                  <w:tcBorders>
                    <w:tl2br w:val="nil"/>
                    <w:tr2bl w:val="nil"/>
                  </w:tcBorders>
                  <w:vAlign w:val="center"/>
                </w:tcPr>
                <w:p w14:paraId="04CC9655">
                  <w:pPr>
                    <w:widowControl/>
                    <w:adjustRightInd w:val="0"/>
                    <w:snapToGrid w:val="0"/>
                    <w:jc w:val="center"/>
                    <w:rPr>
                      <w:rFonts w:ascii="Times New Roman" w:hAnsi="Times New Roman" w:cs="Times New Roman"/>
                      <w:color w:val="FF0000"/>
                      <w:szCs w:val="21"/>
                    </w:rPr>
                  </w:pPr>
                  <w:r>
                    <w:rPr>
                      <w:rFonts w:hint="eastAsia" w:ascii="Times New Roman" w:hAnsi="Times New Roman" w:cs="Times New Roman"/>
                      <w:color w:val="FF0000"/>
                      <w:szCs w:val="21"/>
                    </w:rPr>
                    <w:t>/</w:t>
                  </w:r>
                </w:p>
              </w:tc>
              <w:tc>
                <w:tcPr>
                  <w:tcW w:w="552" w:type="pct"/>
                  <w:tcBorders>
                    <w:tl2br w:val="nil"/>
                    <w:tr2bl w:val="nil"/>
                  </w:tcBorders>
                  <w:vAlign w:val="center"/>
                </w:tcPr>
                <w:p w14:paraId="61078753">
                  <w:pPr>
                    <w:adjustRightInd w:val="0"/>
                    <w:snapToGrid w:val="0"/>
                    <w:jc w:val="center"/>
                    <w:rPr>
                      <w:rFonts w:ascii="Times New Roman" w:hAnsi="Times New Roman" w:cs="Times New Roman"/>
                      <w:color w:val="FF0000"/>
                      <w:kern w:val="0"/>
                      <w:szCs w:val="21"/>
                    </w:rPr>
                  </w:pPr>
                  <w:r>
                    <w:rPr>
                      <w:rFonts w:hint="eastAsia" w:ascii="Times New Roman" w:hAnsi="Times New Roman" w:cs="Times New Roman"/>
                      <w:color w:val="FF0000"/>
                      <w:kern w:val="0"/>
                      <w:szCs w:val="21"/>
                    </w:rPr>
                    <w:t>0.06</w:t>
                  </w:r>
                  <w:r>
                    <w:rPr>
                      <w:rFonts w:hint="eastAsia" w:ascii="Times New Roman" w:hAnsi="Times New Roman" w:cs="Times New Roman"/>
                      <w:color w:val="FF0000"/>
                      <w:kern w:val="0"/>
                      <w:szCs w:val="21"/>
                      <w:lang w:val="en-US" w:eastAsia="zh-CN"/>
                    </w:rPr>
                    <w:t>9</w:t>
                  </w:r>
                </w:p>
              </w:tc>
              <w:tc>
                <w:tcPr>
                  <w:tcW w:w="475" w:type="pct"/>
                  <w:tcBorders>
                    <w:tl2br w:val="nil"/>
                    <w:tr2bl w:val="nil"/>
                  </w:tcBorders>
                  <w:vAlign w:val="center"/>
                </w:tcPr>
                <w:p w14:paraId="21444A9F">
                  <w:pPr>
                    <w:adjustRightInd w:val="0"/>
                    <w:snapToGrid w:val="0"/>
                    <w:jc w:val="center"/>
                    <w:rPr>
                      <w:rFonts w:hint="default" w:ascii="Times New Roman" w:hAnsi="Times New Roman" w:cs="Times New Roman" w:eastAsiaTheme="minorEastAsia"/>
                      <w:color w:val="FF0000"/>
                      <w:szCs w:val="21"/>
                      <w:lang w:val="en-US" w:eastAsia="zh-CN"/>
                    </w:rPr>
                  </w:pPr>
                  <w:r>
                    <w:rPr>
                      <w:rFonts w:hint="eastAsia" w:ascii="Times New Roman" w:hAnsi="Times New Roman" w:cs="Times New Roman"/>
                      <w:color w:val="FF0000"/>
                      <w:szCs w:val="21"/>
                    </w:rPr>
                    <w:t>0.0</w:t>
                  </w:r>
                  <w:r>
                    <w:rPr>
                      <w:rFonts w:hint="eastAsia" w:ascii="Times New Roman" w:hAnsi="Times New Roman" w:cs="Times New Roman"/>
                      <w:color w:val="FF0000"/>
                      <w:szCs w:val="21"/>
                      <w:lang w:val="en-US" w:eastAsia="zh-CN"/>
                    </w:rPr>
                    <w:t>58</w:t>
                  </w:r>
                </w:p>
              </w:tc>
              <w:tc>
                <w:tcPr>
                  <w:tcW w:w="267" w:type="pct"/>
                  <w:tcBorders>
                    <w:tl2br w:val="nil"/>
                    <w:tr2bl w:val="nil"/>
                  </w:tcBorders>
                  <w:vAlign w:val="center"/>
                </w:tcPr>
                <w:p w14:paraId="597DF759">
                  <w:pPr>
                    <w:widowControl/>
                    <w:wordWrap w:val="0"/>
                    <w:adjustRightInd w:val="0"/>
                    <w:snapToGrid w:val="0"/>
                    <w:jc w:val="center"/>
                    <w:rPr>
                      <w:rFonts w:ascii="Times New Roman" w:hAnsi="Times New Roman" w:cs="Times New Roman"/>
                      <w:kern w:val="0"/>
                      <w:szCs w:val="21"/>
                      <w:lang w:bidi="en-US"/>
                    </w:rPr>
                  </w:pPr>
                  <w:r>
                    <w:rPr>
                      <w:rFonts w:ascii="Times New Roman" w:hAnsi="Times New Roman" w:cs="Times New Roman"/>
                      <w:kern w:val="0"/>
                      <w:szCs w:val="21"/>
                      <w:lang w:bidi="en-US"/>
                    </w:rPr>
                    <w:t>无组织</w:t>
                  </w:r>
                </w:p>
              </w:tc>
              <w:tc>
                <w:tcPr>
                  <w:tcW w:w="611" w:type="pct"/>
                  <w:vMerge w:val="continue"/>
                  <w:tcBorders>
                    <w:tl2br w:val="nil"/>
                    <w:tr2bl w:val="nil"/>
                  </w:tcBorders>
                  <w:vAlign w:val="center"/>
                </w:tcPr>
                <w:p w14:paraId="3B9CD199">
                  <w:pPr>
                    <w:widowControl/>
                    <w:wordWrap w:val="0"/>
                    <w:adjustRightInd w:val="0"/>
                    <w:snapToGrid w:val="0"/>
                    <w:jc w:val="center"/>
                    <w:rPr>
                      <w:rFonts w:ascii="Times New Roman" w:hAnsi="Times New Roman" w:cs="Times New Roman"/>
                      <w:kern w:val="0"/>
                      <w:szCs w:val="21"/>
                      <w:lang w:bidi="en-US"/>
                    </w:rPr>
                  </w:pPr>
                </w:p>
              </w:tc>
              <w:tc>
                <w:tcPr>
                  <w:tcW w:w="418" w:type="pct"/>
                  <w:vMerge w:val="continue"/>
                  <w:tcBorders>
                    <w:tl2br w:val="nil"/>
                    <w:tr2bl w:val="nil"/>
                  </w:tcBorders>
                  <w:vAlign w:val="center"/>
                </w:tcPr>
                <w:p w14:paraId="299AF0BF">
                  <w:pPr>
                    <w:widowControl/>
                    <w:wordWrap w:val="0"/>
                    <w:adjustRightInd w:val="0"/>
                    <w:snapToGrid w:val="0"/>
                    <w:jc w:val="center"/>
                    <w:rPr>
                      <w:rFonts w:ascii="Times New Roman" w:hAnsi="Times New Roman" w:cs="Times New Roman"/>
                      <w:kern w:val="0"/>
                      <w:szCs w:val="21"/>
                      <w:lang w:bidi="en-US"/>
                    </w:rPr>
                  </w:pPr>
                </w:p>
              </w:tc>
              <w:tc>
                <w:tcPr>
                  <w:tcW w:w="475" w:type="pct"/>
                  <w:tcBorders>
                    <w:tl2br w:val="nil"/>
                    <w:tr2bl w:val="nil"/>
                  </w:tcBorders>
                  <w:vAlign w:val="center"/>
                </w:tcPr>
                <w:p w14:paraId="5C4487D6">
                  <w:pPr>
                    <w:adjustRightInd w:val="0"/>
                    <w:snapToGrid w:val="0"/>
                    <w:jc w:val="center"/>
                    <w:rPr>
                      <w:rFonts w:ascii="Times New Roman" w:hAnsi="Times New Roman" w:cs="Times New Roman"/>
                      <w:color w:val="FF0000"/>
                      <w:szCs w:val="21"/>
                    </w:rPr>
                  </w:pPr>
                  <w:r>
                    <w:rPr>
                      <w:rFonts w:hint="eastAsia" w:ascii="Times New Roman" w:hAnsi="Times New Roman" w:cs="Times New Roman"/>
                      <w:color w:val="FF0000"/>
                      <w:szCs w:val="21"/>
                    </w:rPr>
                    <w:t>/</w:t>
                  </w:r>
                </w:p>
              </w:tc>
              <w:tc>
                <w:tcPr>
                  <w:tcW w:w="552" w:type="pct"/>
                  <w:tcBorders>
                    <w:tl2br w:val="nil"/>
                    <w:tr2bl w:val="nil"/>
                  </w:tcBorders>
                  <w:vAlign w:val="center"/>
                </w:tcPr>
                <w:p w14:paraId="36347286">
                  <w:pPr>
                    <w:adjustRightInd w:val="0"/>
                    <w:snapToGrid w:val="0"/>
                    <w:jc w:val="center"/>
                    <w:rPr>
                      <w:rFonts w:hint="eastAsia" w:ascii="Times New Roman" w:hAnsi="Times New Roman" w:cs="Times New Roman" w:eastAsiaTheme="minorEastAsia"/>
                      <w:color w:val="FF0000"/>
                      <w:szCs w:val="21"/>
                      <w:lang w:eastAsia="zh-CN"/>
                    </w:rPr>
                  </w:pPr>
                  <w:r>
                    <w:rPr>
                      <w:rFonts w:hint="eastAsia" w:ascii="Times New Roman" w:hAnsi="Times New Roman" w:cs="Times New Roman"/>
                      <w:color w:val="FF0000"/>
                      <w:szCs w:val="21"/>
                    </w:rPr>
                    <w:t>0.06</w:t>
                  </w:r>
                  <w:r>
                    <w:rPr>
                      <w:rFonts w:hint="eastAsia" w:ascii="Times New Roman" w:hAnsi="Times New Roman" w:cs="Times New Roman"/>
                      <w:color w:val="FF0000"/>
                      <w:szCs w:val="21"/>
                      <w:lang w:val="en-US" w:eastAsia="zh-CN"/>
                    </w:rPr>
                    <w:t>9</w:t>
                  </w:r>
                </w:p>
              </w:tc>
              <w:tc>
                <w:tcPr>
                  <w:tcW w:w="552" w:type="pct"/>
                  <w:tcBorders>
                    <w:tl2br w:val="nil"/>
                    <w:tr2bl w:val="nil"/>
                  </w:tcBorders>
                  <w:vAlign w:val="center"/>
                </w:tcPr>
                <w:p w14:paraId="54B7A754">
                  <w:pPr>
                    <w:adjustRightInd w:val="0"/>
                    <w:snapToGrid w:val="0"/>
                    <w:jc w:val="center"/>
                    <w:rPr>
                      <w:rFonts w:hint="default" w:ascii="Times New Roman" w:hAnsi="Times New Roman" w:cs="Times New Roman" w:eastAsiaTheme="minorEastAsia"/>
                      <w:color w:val="FF0000"/>
                      <w:szCs w:val="21"/>
                      <w:lang w:val="en-US" w:eastAsia="zh-CN"/>
                    </w:rPr>
                  </w:pPr>
                  <w:r>
                    <w:rPr>
                      <w:rFonts w:hint="eastAsia" w:ascii="Times New Roman" w:hAnsi="Times New Roman" w:cs="Times New Roman"/>
                      <w:color w:val="FF0000"/>
                      <w:szCs w:val="21"/>
                    </w:rPr>
                    <w:t>0.0</w:t>
                  </w:r>
                  <w:r>
                    <w:rPr>
                      <w:rFonts w:hint="eastAsia" w:ascii="Times New Roman" w:hAnsi="Times New Roman" w:cs="Times New Roman"/>
                      <w:color w:val="FF0000"/>
                      <w:szCs w:val="21"/>
                      <w:lang w:val="en-US" w:eastAsia="zh-CN"/>
                    </w:rPr>
                    <w:t>58</w:t>
                  </w:r>
                </w:p>
              </w:tc>
            </w:tr>
          </w:tbl>
          <w:p w14:paraId="026A86A1">
            <w:pPr>
              <w:adjustRightInd w:val="0"/>
              <w:snapToGrid w:val="0"/>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2、废气源强核算过程</w:t>
            </w:r>
          </w:p>
          <w:p w14:paraId="19A00CA7">
            <w:pPr>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本项目涉及的废气主要为</w:t>
            </w:r>
            <w:r>
              <w:rPr>
                <w:rFonts w:hint="eastAsia" w:ascii="Times New Roman" w:hAnsi="Times New Roman" w:cs="Times New Roman"/>
                <w:sz w:val="24"/>
              </w:rPr>
              <w:t>喷砂废气、喷涂废气</w:t>
            </w:r>
            <w:r>
              <w:rPr>
                <w:rFonts w:ascii="Times New Roman" w:hAnsi="Times New Roman" w:cs="Times New Roman"/>
                <w:sz w:val="24"/>
              </w:rPr>
              <w:t>。</w:t>
            </w:r>
          </w:p>
          <w:p w14:paraId="67BDE753">
            <w:pPr>
              <w:widowControl/>
              <w:adjustRightInd w:val="0"/>
              <w:snapToGrid w:val="0"/>
              <w:spacing w:line="360" w:lineRule="auto"/>
              <w:ind w:firstLine="480" w:firstLineChars="200"/>
              <w:rPr>
                <w:rFonts w:ascii="Times New Roman" w:hAnsi="Times New Roman" w:cs="Times New Roman"/>
                <w:kern w:val="0"/>
                <w:sz w:val="24"/>
              </w:rPr>
            </w:pPr>
            <w:r>
              <w:rPr>
                <w:rFonts w:hint="eastAsia" w:ascii="Times New Roman" w:hAnsi="Times New Roman" w:cs="Times New Roman"/>
                <w:kern w:val="0"/>
                <w:sz w:val="24"/>
              </w:rPr>
              <w:t>（1）喷砂</w:t>
            </w:r>
            <w:r>
              <w:rPr>
                <w:rFonts w:ascii="Times New Roman" w:hAnsi="Times New Roman" w:cs="Times New Roman"/>
                <w:kern w:val="0"/>
                <w:sz w:val="24"/>
              </w:rPr>
              <w:t>废气</w:t>
            </w:r>
          </w:p>
          <w:p w14:paraId="01BA6154">
            <w:pPr>
              <w:adjustRightInd w:val="0"/>
              <w:snapToGrid w:val="0"/>
              <w:spacing w:line="360" w:lineRule="auto"/>
              <w:ind w:firstLine="480" w:firstLineChars="200"/>
              <w:rPr>
                <w:rFonts w:ascii="Times New Roman" w:hAnsi="Times New Roman" w:cs="Times New Roman"/>
                <w:kern w:val="0"/>
                <w:sz w:val="24"/>
              </w:rPr>
            </w:pPr>
            <w:r>
              <w:rPr>
                <w:rFonts w:hint="eastAsia" w:ascii="Times New Roman" w:hAnsi="Times New Roman" w:eastAsia="宋体" w:cs="Times New Roman"/>
                <w:sz w:val="24"/>
              </w:rPr>
              <w:t>本项目使用喷砂机进行喷砂除锈，此过程主要产生喷砂粉尘，</w:t>
            </w:r>
            <w:r>
              <w:rPr>
                <w:rFonts w:ascii="Times New Roman" w:hAnsi="Times New Roman" w:eastAsia="宋体" w:cs="Times New Roman"/>
                <w:sz w:val="24"/>
              </w:rPr>
              <w:t>根据《第一次全国污染源普查工业污染源产排污系数手册》，</w:t>
            </w:r>
            <w:r>
              <w:rPr>
                <w:rFonts w:hint="eastAsia" w:ascii="Times New Roman" w:hAnsi="Times New Roman" w:eastAsia="宋体" w:cs="Times New Roman"/>
                <w:sz w:val="24"/>
              </w:rPr>
              <w:t>抛光</w:t>
            </w:r>
            <w:r>
              <w:rPr>
                <w:rFonts w:ascii="Times New Roman" w:hAnsi="Times New Roman" w:eastAsia="宋体" w:cs="Times New Roman"/>
                <w:sz w:val="24"/>
              </w:rPr>
              <w:t>过程</w:t>
            </w:r>
            <w:r>
              <w:rPr>
                <w:rFonts w:ascii="Times New Roman" w:hAnsi="Times New Roman" w:cs="Times New Roman"/>
                <w:kern w:val="0"/>
                <w:sz w:val="24"/>
              </w:rPr>
              <w:t>《排放源统计调查产排污核算方法和系数手册——机械行业系数手册》中</w:t>
            </w:r>
            <w:r>
              <w:rPr>
                <w:rFonts w:hint="eastAsia" w:ascii="Times New Roman" w:hAnsi="Times New Roman" w:cs="Times New Roman"/>
                <w:kern w:val="0"/>
                <w:sz w:val="24"/>
              </w:rPr>
              <w:t>“</w:t>
            </w:r>
            <w:r>
              <w:rPr>
                <w:rFonts w:ascii="Times New Roman" w:hAnsi="Times New Roman" w:cs="Times New Roman"/>
                <w:kern w:val="0"/>
                <w:sz w:val="24"/>
              </w:rPr>
              <w:t>抛丸、喷砂、打磨</w:t>
            </w:r>
            <w:r>
              <w:rPr>
                <w:rFonts w:hint="eastAsia" w:ascii="Times New Roman" w:hAnsi="Times New Roman" w:cs="Times New Roman"/>
                <w:kern w:val="0"/>
                <w:sz w:val="24"/>
              </w:rPr>
              <w:t>”</w:t>
            </w:r>
            <w:r>
              <w:rPr>
                <w:rFonts w:ascii="Times New Roman" w:hAnsi="Times New Roman" w:cs="Times New Roman"/>
                <w:kern w:val="0"/>
                <w:sz w:val="24"/>
              </w:rPr>
              <w:t>工序颗粒物产污系数为2.19千克/吨－原料，</w:t>
            </w:r>
            <w:r>
              <w:rPr>
                <w:rFonts w:ascii="Times New Roman" w:hAnsi="Times New Roman" w:eastAsia="宋体" w:cs="Times New Roman"/>
                <w:sz w:val="24"/>
              </w:rPr>
              <w:t>工业废气量产污系数为8500立方米/吨－原料</w:t>
            </w:r>
            <w:r>
              <w:rPr>
                <w:rFonts w:ascii="Times New Roman" w:hAnsi="Times New Roman" w:cs="Times New Roman"/>
                <w:kern w:val="0"/>
                <w:sz w:val="24"/>
              </w:rPr>
              <w:t>。</w:t>
            </w:r>
          </w:p>
          <w:p w14:paraId="1E7B8CB9">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根据建设单位提供的资料，年</w:t>
            </w:r>
            <w:r>
              <w:rPr>
                <w:rFonts w:hint="eastAsia" w:ascii="Times New Roman" w:hAnsi="Times New Roman" w:eastAsia="宋体" w:cs="Times New Roman"/>
                <w:sz w:val="24"/>
              </w:rPr>
              <w:t>需喷砂的钢零件1000t</w:t>
            </w:r>
            <w:r>
              <w:rPr>
                <w:rFonts w:ascii="Times New Roman" w:hAnsi="Times New Roman" w:eastAsia="宋体" w:cs="Times New Roman"/>
                <w:sz w:val="24"/>
              </w:rPr>
              <w:t>，</w:t>
            </w:r>
            <w:r>
              <w:rPr>
                <w:rFonts w:hint="eastAsia" w:ascii="Times New Roman" w:hAnsi="Times New Roman" w:eastAsia="宋体" w:cs="Times New Roman"/>
                <w:sz w:val="24"/>
              </w:rPr>
              <w:t>每班喷砂时间为8h，</w:t>
            </w:r>
            <w:r>
              <w:rPr>
                <w:rFonts w:ascii="Times New Roman" w:hAnsi="Times New Roman" w:eastAsia="宋体" w:cs="Times New Roman"/>
                <w:sz w:val="24"/>
              </w:rPr>
              <w:t>年</w:t>
            </w:r>
            <w:r>
              <w:rPr>
                <w:rFonts w:hint="eastAsia" w:ascii="Times New Roman" w:hAnsi="Times New Roman" w:eastAsia="宋体" w:cs="Times New Roman"/>
                <w:sz w:val="24"/>
              </w:rPr>
              <w:t>有效喷砂</w:t>
            </w:r>
            <w:r>
              <w:rPr>
                <w:rFonts w:ascii="Times New Roman" w:hAnsi="Times New Roman" w:eastAsia="宋体" w:cs="Times New Roman"/>
                <w:sz w:val="24"/>
              </w:rPr>
              <w:t>时间</w:t>
            </w:r>
            <w:r>
              <w:rPr>
                <w:rFonts w:hint="eastAsia" w:ascii="Times New Roman" w:hAnsi="Times New Roman" w:eastAsia="宋体" w:cs="Times New Roman"/>
                <w:sz w:val="24"/>
              </w:rPr>
              <w:t>2400</w:t>
            </w:r>
            <w:r>
              <w:rPr>
                <w:rFonts w:ascii="Times New Roman" w:hAnsi="Times New Roman" w:eastAsia="宋体" w:cs="Times New Roman"/>
                <w:sz w:val="24"/>
              </w:rPr>
              <w:t>h，则</w:t>
            </w:r>
            <w:r>
              <w:rPr>
                <w:rFonts w:hint="eastAsia" w:ascii="Times New Roman" w:hAnsi="Times New Roman" w:eastAsia="宋体" w:cs="Times New Roman"/>
                <w:sz w:val="24"/>
              </w:rPr>
              <w:t>喷砂</w:t>
            </w:r>
            <w:r>
              <w:rPr>
                <w:rFonts w:ascii="Times New Roman" w:hAnsi="Times New Roman" w:eastAsia="宋体" w:cs="Times New Roman"/>
                <w:sz w:val="24"/>
              </w:rPr>
              <w:t>粉尘产生量为</w:t>
            </w:r>
            <w:r>
              <w:rPr>
                <w:rFonts w:hint="eastAsia" w:ascii="Times New Roman" w:hAnsi="Times New Roman" w:eastAsia="宋体" w:cs="Times New Roman"/>
                <w:sz w:val="24"/>
              </w:rPr>
              <w:t>2.19</w:t>
            </w:r>
            <w:r>
              <w:rPr>
                <w:rFonts w:ascii="Times New Roman" w:hAnsi="Times New Roman" w:eastAsia="宋体" w:cs="Times New Roman"/>
                <w:sz w:val="24"/>
              </w:rPr>
              <w:t>t/a，产生速率</w:t>
            </w:r>
            <w:r>
              <w:rPr>
                <w:rFonts w:hint="eastAsia" w:ascii="Times New Roman" w:hAnsi="Times New Roman" w:eastAsia="宋体" w:cs="Times New Roman"/>
                <w:sz w:val="24"/>
              </w:rPr>
              <w:t>0.9125</w:t>
            </w:r>
            <w:r>
              <w:rPr>
                <w:rFonts w:ascii="Times New Roman" w:hAnsi="Times New Roman" w:eastAsia="宋体" w:cs="Times New Roman"/>
                <w:sz w:val="24"/>
              </w:rPr>
              <w:t>kg/h，产生浓度</w:t>
            </w:r>
            <w:r>
              <w:rPr>
                <w:rFonts w:hint="eastAsia" w:ascii="Times New Roman" w:hAnsi="Times New Roman" w:eastAsia="宋体" w:cs="Times New Roman"/>
                <w:sz w:val="24"/>
              </w:rPr>
              <w:t>76.04</w:t>
            </w:r>
            <w:r>
              <w:rPr>
                <w:rFonts w:ascii="Times New Roman" w:hAnsi="Times New Roman" w:eastAsia="宋体" w:cs="Times New Roman"/>
                <w:sz w:val="24"/>
              </w:rPr>
              <w:t>mg/m</w:t>
            </w:r>
            <w:r>
              <w:rPr>
                <w:rFonts w:ascii="Times New Roman" w:hAnsi="Times New Roman" w:eastAsia="宋体" w:cs="Times New Roman"/>
                <w:sz w:val="24"/>
                <w:vertAlign w:val="superscript"/>
              </w:rPr>
              <w:t>3</w:t>
            </w:r>
            <w:r>
              <w:rPr>
                <w:rFonts w:ascii="Times New Roman" w:hAnsi="Times New Roman" w:eastAsia="宋体" w:cs="Times New Roman"/>
                <w:sz w:val="24"/>
              </w:rPr>
              <w:t>。</w:t>
            </w:r>
          </w:p>
          <w:p w14:paraId="5322943C">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cs="Times New Roman"/>
                <w:sz w:val="24"/>
              </w:rPr>
              <w:t>喷砂工</w:t>
            </w:r>
            <w:r>
              <w:rPr>
                <w:rFonts w:ascii="Times New Roman" w:hAnsi="Times New Roman" w:cs="Times New Roman"/>
                <w:sz w:val="24"/>
              </w:rPr>
              <w:t>序粉尘经密闭管道收集</w:t>
            </w:r>
            <w:r>
              <w:rPr>
                <w:rFonts w:hint="eastAsia" w:ascii="Times New Roman" w:hAnsi="Times New Roman" w:cs="Times New Roman"/>
                <w:sz w:val="24"/>
              </w:rPr>
              <w:t>（收集效率可视为100%）</w:t>
            </w:r>
            <w:r>
              <w:rPr>
                <w:rFonts w:ascii="Times New Roman" w:hAnsi="Times New Roman" w:cs="Times New Roman"/>
                <w:sz w:val="24"/>
              </w:rPr>
              <w:t>后由集气管路送入</w:t>
            </w:r>
            <w:r>
              <w:rPr>
                <w:rFonts w:hint="eastAsia" w:ascii="Times New Roman" w:hAnsi="Times New Roman" w:cs="Times New Roman"/>
                <w:sz w:val="24"/>
              </w:rPr>
              <w:t>1套</w:t>
            </w:r>
            <w:r>
              <w:rPr>
                <w:rFonts w:ascii="Times New Roman" w:hAnsi="Times New Roman" w:cs="Times New Roman"/>
                <w:sz w:val="24"/>
              </w:rPr>
              <w:t>脉冲高效布袋除</w:t>
            </w:r>
            <w:r>
              <w:rPr>
                <w:rFonts w:ascii="Times New Roman" w:hAnsi="Times New Roman" w:cs="Times New Roman"/>
                <w:sz w:val="24"/>
                <w:szCs w:val="24"/>
              </w:rPr>
              <w:t>尘器处理（TA00</w:t>
            </w:r>
            <w:r>
              <w:rPr>
                <w:rFonts w:hint="eastAsia" w:ascii="Times New Roman" w:hAnsi="Times New Roman" w:cs="Times New Roman"/>
                <w:sz w:val="24"/>
                <w:szCs w:val="24"/>
              </w:rPr>
              <w:t>2</w:t>
            </w:r>
            <w:r>
              <w:rPr>
                <w:rFonts w:ascii="Times New Roman" w:hAnsi="Times New Roman" w:cs="Times New Roman"/>
                <w:sz w:val="24"/>
                <w:szCs w:val="24"/>
              </w:rPr>
              <w:t>）后</w:t>
            </w:r>
            <w:r>
              <w:rPr>
                <w:rFonts w:hint="eastAsia" w:ascii="Times New Roman" w:hAnsi="Times New Roman" w:cs="Times New Roman"/>
                <w:color w:val="FF0000"/>
                <w:sz w:val="24"/>
                <w:szCs w:val="24"/>
                <w:lang w:eastAsia="zh-CN"/>
              </w:rPr>
              <w:t>依托在建项目</w:t>
            </w:r>
            <w:r>
              <w:rPr>
                <w:rFonts w:ascii="Times New Roman" w:hAnsi="Times New Roman" w:cs="Times New Roman"/>
                <w:color w:val="FF0000"/>
                <w:sz w:val="24"/>
                <w:szCs w:val="24"/>
              </w:rPr>
              <w:t>15m高</w:t>
            </w:r>
            <w:r>
              <w:rPr>
                <w:rFonts w:hint="eastAsia" w:ascii="Times New Roman" w:hAnsi="Times New Roman" w:cs="Times New Roman"/>
                <w:color w:val="FF0000"/>
                <w:sz w:val="24"/>
                <w:szCs w:val="24"/>
                <w:lang w:eastAsia="zh-CN"/>
              </w:rPr>
              <w:t>排气筒</w:t>
            </w:r>
            <w:r>
              <w:rPr>
                <w:rFonts w:hint="eastAsia" w:ascii="Times New Roman" w:hAnsi="Times New Roman" w:cs="Times New Roman"/>
                <w:color w:val="FF0000"/>
                <w:sz w:val="24"/>
                <w:szCs w:val="24"/>
                <w:lang w:val="en-US" w:eastAsia="zh-CN"/>
              </w:rPr>
              <w:t>合并</w:t>
            </w:r>
            <w:commentRangeStart w:id="38"/>
            <w:r>
              <w:rPr>
                <w:rFonts w:ascii="Times New Roman" w:hAnsi="Times New Roman" w:cs="Times New Roman"/>
                <w:color w:val="FF0000"/>
                <w:sz w:val="24"/>
                <w:szCs w:val="24"/>
              </w:rPr>
              <w:t>排放</w:t>
            </w:r>
            <w:r>
              <w:rPr>
                <w:rFonts w:ascii="Times New Roman" w:hAnsi="Times New Roman" w:cs="Times New Roman"/>
                <w:sz w:val="24"/>
                <w:szCs w:val="24"/>
              </w:rPr>
              <w:t>，</w:t>
            </w:r>
            <w:commentRangeEnd w:id="38"/>
            <w:r>
              <w:commentReference w:id="38"/>
            </w:r>
            <w:r>
              <w:rPr>
                <w:rFonts w:ascii="Times New Roman" w:hAnsi="Times New Roman" w:cs="Times New Roman"/>
                <w:sz w:val="24"/>
                <w:szCs w:val="24"/>
              </w:rPr>
              <w:t>编号DA00</w:t>
            </w:r>
            <w:r>
              <w:rPr>
                <w:rFonts w:hint="eastAsia" w:ascii="Times New Roman" w:hAnsi="Times New Roman" w:cs="Times New Roman"/>
                <w:sz w:val="24"/>
                <w:szCs w:val="24"/>
              </w:rPr>
              <w:t>2</w:t>
            </w:r>
            <w:r>
              <w:rPr>
                <w:rFonts w:ascii="Times New Roman" w:hAnsi="Times New Roman" w:eastAsia="宋体" w:cs="Times New Roman"/>
                <w:sz w:val="24"/>
                <w:szCs w:val="24"/>
              </w:rPr>
              <w:t>，</w:t>
            </w:r>
            <w:r>
              <w:rPr>
                <w:rFonts w:hint="eastAsia" w:ascii="Times New Roman" w:hAnsi="Times New Roman" w:eastAsia="宋体" w:cs="Times New Roman"/>
                <w:sz w:val="24"/>
                <w:szCs w:val="24"/>
              </w:rPr>
              <w:t>除尘</w:t>
            </w:r>
            <w:r>
              <w:rPr>
                <w:rFonts w:ascii="Times New Roman" w:hAnsi="Times New Roman" w:eastAsia="宋体" w:cs="Times New Roman"/>
                <w:sz w:val="24"/>
                <w:szCs w:val="24"/>
              </w:rPr>
              <w:t>效率为9</w:t>
            </w:r>
            <w:r>
              <w:rPr>
                <w:rFonts w:hint="eastAsia" w:ascii="Times New Roman" w:hAnsi="Times New Roman" w:eastAsia="宋体" w:cs="Times New Roman"/>
                <w:sz w:val="24"/>
                <w:szCs w:val="24"/>
              </w:rPr>
              <w:t>5</w:t>
            </w:r>
            <w:r>
              <w:rPr>
                <w:rFonts w:ascii="Times New Roman" w:hAnsi="Times New Roman" w:eastAsia="宋体" w:cs="Times New Roman"/>
                <w:sz w:val="24"/>
                <w:szCs w:val="24"/>
              </w:rPr>
              <w:t>%，经计算，颗粒物排放量为0.</w:t>
            </w:r>
            <w:r>
              <w:rPr>
                <w:rFonts w:hint="eastAsia" w:ascii="Times New Roman" w:hAnsi="Times New Roman" w:eastAsia="宋体" w:cs="Times New Roman"/>
                <w:sz w:val="24"/>
                <w:szCs w:val="24"/>
              </w:rPr>
              <w:t>1095</w:t>
            </w:r>
            <w:r>
              <w:rPr>
                <w:rFonts w:ascii="Times New Roman" w:hAnsi="Times New Roman" w:eastAsia="宋体" w:cs="Times New Roman"/>
                <w:sz w:val="24"/>
                <w:szCs w:val="24"/>
              </w:rPr>
              <w:t>t/a、排放速率0.</w:t>
            </w:r>
            <w:r>
              <w:rPr>
                <w:rFonts w:hint="eastAsia" w:ascii="Times New Roman" w:hAnsi="Times New Roman" w:eastAsia="宋体" w:cs="Times New Roman"/>
                <w:sz w:val="24"/>
                <w:szCs w:val="24"/>
              </w:rPr>
              <w:t>0456</w:t>
            </w:r>
            <w:r>
              <w:rPr>
                <w:rFonts w:ascii="Times New Roman" w:hAnsi="Times New Roman" w:eastAsia="宋体" w:cs="Times New Roman"/>
                <w:sz w:val="24"/>
                <w:szCs w:val="24"/>
              </w:rPr>
              <w:t>kg/h、排放浓度为</w:t>
            </w:r>
            <w:r>
              <w:rPr>
                <w:rFonts w:hint="eastAsia" w:ascii="Times New Roman" w:hAnsi="Times New Roman" w:eastAsia="宋体" w:cs="Times New Roman"/>
                <w:sz w:val="24"/>
                <w:szCs w:val="24"/>
              </w:rPr>
              <w:t>3.802</w:t>
            </w:r>
            <w:r>
              <w:rPr>
                <w:rFonts w:ascii="Times New Roman" w:hAnsi="Times New Roman" w:eastAsia="宋体" w:cs="Times New Roman"/>
                <w:sz w:val="24"/>
                <w:szCs w:val="24"/>
              </w:rPr>
              <w:t>mg/m</w:t>
            </w:r>
            <w:r>
              <w:rPr>
                <w:rFonts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，排放速率和排放浓度均可满足</w:t>
            </w:r>
            <w:r>
              <w:rPr>
                <w:rFonts w:ascii="Times New Roman" w:hAnsi="Times New Roman" w:eastAsia="宋体" w:cs="Times New Roman"/>
                <w:sz w:val="24"/>
                <w:szCs w:val="24"/>
              </w:rPr>
              <w:t>《</w:t>
            </w:r>
            <w:r>
              <w:rPr>
                <w:rFonts w:hint="eastAsia" w:ascii="Times New Roman" w:hAnsi="Times New Roman" w:eastAsia="宋体" w:cs="Times New Roman"/>
                <w:sz w:val="24"/>
                <w:szCs w:val="24"/>
              </w:rPr>
              <w:t>大气污染物综合排放标准</w:t>
            </w:r>
            <w:r>
              <w:rPr>
                <w:rFonts w:ascii="Times New Roman" w:hAnsi="Times New Roman" w:eastAsia="宋体" w:cs="Times New Roman"/>
                <w:sz w:val="24"/>
                <w:szCs w:val="24"/>
              </w:rPr>
              <w:t>》（GB</w:t>
            </w:r>
            <w:r>
              <w:rPr>
                <w:rFonts w:hint="eastAsia" w:ascii="Times New Roman" w:hAnsi="Times New Roman" w:eastAsia="宋体" w:cs="Times New Roman"/>
                <w:sz w:val="24"/>
                <w:szCs w:val="24"/>
              </w:rPr>
              <w:t>16297</w:t>
            </w:r>
            <w:r>
              <w:rPr>
                <w:rFonts w:ascii="Times New Roman" w:hAnsi="Times New Roman" w:eastAsia="宋体" w:cs="Times New Roman"/>
                <w:sz w:val="24"/>
                <w:szCs w:val="24"/>
              </w:rPr>
              <w:t>-</w:t>
            </w:r>
            <w:r>
              <w:rPr>
                <w:rFonts w:hint="eastAsia" w:ascii="Times New Roman" w:hAnsi="Times New Roman" w:eastAsia="宋体" w:cs="Times New Roman"/>
                <w:sz w:val="24"/>
                <w:szCs w:val="24"/>
              </w:rPr>
              <w:t>1996</w:t>
            </w:r>
            <w:r>
              <w:rPr>
                <w:rFonts w:ascii="Times New Roman" w:hAnsi="Times New Roman" w:eastAsia="宋体" w:cs="Times New Roman"/>
                <w:sz w:val="24"/>
                <w:szCs w:val="24"/>
              </w:rPr>
              <w:t>）中表</w:t>
            </w:r>
            <w:r>
              <w:rPr>
                <w:rFonts w:hint="eastAsia" w:ascii="Times New Roman" w:hAnsi="Times New Roman" w:eastAsia="宋体" w:cs="Times New Roman"/>
                <w:sz w:val="24"/>
                <w:szCs w:val="24"/>
              </w:rPr>
              <w:t>2中二级标准限值，对环境影响较小。</w:t>
            </w:r>
          </w:p>
          <w:p w14:paraId="07734F11">
            <w:pPr>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commentRangeStart w:id="39"/>
            <w:commentRangeStart w:id="40"/>
            <w:r>
              <w:rPr>
                <w:rFonts w:hint="eastAsia" w:ascii="Times New Roman" w:hAnsi="Times New Roman" w:eastAsia="宋体" w:cs="Times New Roman"/>
                <w:sz w:val="24"/>
                <w:szCs w:val="24"/>
              </w:rPr>
              <w:t>喷砂工序与现有</w:t>
            </w:r>
            <w:r>
              <w:rPr>
                <w:rFonts w:hint="eastAsia" w:ascii="Times New Roman" w:hAnsi="Times New Roman" w:eastAsia="宋体" w:cs="Times New Roman"/>
                <w:color w:val="auto"/>
                <w:sz w:val="24"/>
                <w:szCs w:val="24"/>
              </w:rPr>
              <w:t>项目抛丸工序、振动分离工序共用1套除尘系统，设计风量为12000m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/h，经1套高效布袋除尘器（TA002）处理后通过1根15m高的DA002排气筒排放</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b w:val="0"/>
                <w:bCs w:val="0"/>
                <w:color w:val="auto"/>
                <w:sz w:val="24"/>
                <w:szCs w:val="24"/>
                <w:highlight w:val="none"/>
                <w:lang w:val="en-US" w:eastAsia="zh-CN"/>
              </w:rPr>
              <w:t>在建项目的抛丸工序</w:t>
            </w:r>
            <w:r>
              <w:rPr>
                <w:rFonts w:hint="default" w:ascii="Times New Roman" w:hAnsi="Times New Roman" w:eastAsia="宋体" w:cs="Times New Roman"/>
                <w:b w:val="0"/>
                <w:bCs w:val="0"/>
                <w:color w:val="auto"/>
                <w:kern w:val="2"/>
                <w:sz w:val="24"/>
                <w:szCs w:val="24"/>
                <w:highlight w:val="none"/>
                <w:lang w:val="en-US" w:eastAsia="zh-CN" w:bidi="ar-SA"/>
              </w:rPr>
              <w:t>颗粒物排放量为0.</w:t>
            </w:r>
            <w:r>
              <w:rPr>
                <w:rFonts w:hint="eastAsia" w:ascii="Times New Roman" w:hAnsi="Times New Roman" w:eastAsia="宋体" w:cs="Times New Roman"/>
                <w:b w:val="0"/>
                <w:bCs w:val="0"/>
                <w:color w:val="auto"/>
                <w:kern w:val="2"/>
                <w:sz w:val="24"/>
                <w:szCs w:val="24"/>
                <w:highlight w:val="none"/>
                <w:lang w:val="en-US" w:eastAsia="zh-CN" w:bidi="ar-SA"/>
              </w:rPr>
              <w:t>164</w:t>
            </w:r>
            <w:r>
              <w:rPr>
                <w:rFonts w:hint="default" w:ascii="Times New Roman" w:hAnsi="Times New Roman" w:eastAsia="宋体" w:cs="Times New Roman"/>
                <w:b w:val="0"/>
                <w:bCs w:val="0"/>
                <w:color w:val="auto"/>
                <w:kern w:val="2"/>
                <w:sz w:val="24"/>
                <w:szCs w:val="24"/>
                <w:highlight w:val="none"/>
                <w:lang w:val="en-US" w:eastAsia="zh-CN" w:bidi="ar-SA"/>
              </w:rPr>
              <w:t>t/a、排放速率0.</w:t>
            </w:r>
            <w:r>
              <w:rPr>
                <w:rFonts w:hint="eastAsia" w:ascii="Times New Roman" w:hAnsi="Times New Roman" w:eastAsia="宋体" w:cs="Times New Roman"/>
                <w:b w:val="0"/>
                <w:bCs w:val="0"/>
                <w:color w:val="auto"/>
                <w:kern w:val="2"/>
                <w:sz w:val="24"/>
                <w:szCs w:val="24"/>
                <w:highlight w:val="none"/>
                <w:lang w:val="en-US" w:eastAsia="zh-CN" w:bidi="ar-SA"/>
              </w:rPr>
              <w:t>18</w:t>
            </w:r>
            <w:r>
              <w:rPr>
                <w:rFonts w:hint="default" w:ascii="Times New Roman" w:hAnsi="Times New Roman" w:eastAsia="宋体" w:cs="Times New Roman"/>
                <w:b w:val="0"/>
                <w:bCs w:val="0"/>
                <w:color w:val="auto"/>
                <w:kern w:val="2"/>
                <w:sz w:val="24"/>
                <w:szCs w:val="24"/>
                <w:highlight w:val="none"/>
                <w:lang w:val="en-US" w:eastAsia="zh-CN" w:bidi="ar-SA"/>
              </w:rPr>
              <w:t>kg/h</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sz w:val="24"/>
                <w:szCs w:val="24"/>
                <w:highlight w:val="none"/>
                <w:lang w:val="en-US" w:eastAsia="zh-CN"/>
              </w:rPr>
              <w:t>振动分离工序</w:t>
            </w:r>
            <w:r>
              <w:rPr>
                <w:rFonts w:hint="default" w:ascii="Times New Roman" w:hAnsi="Times New Roman" w:eastAsia="宋体" w:cs="Times New Roman"/>
                <w:color w:val="auto"/>
                <w:kern w:val="2"/>
                <w:sz w:val="24"/>
                <w:szCs w:val="24"/>
                <w:highlight w:val="none"/>
                <w:lang w:val="en-US" w:eastAsia="zh-CN" w:bidi="ar-SA"/>
              </w:rPr>
              <w:t>0.00</w:t>
            </w:r>
            <w:r>
              <w:rPr>
                <w:rFonts w:hint="eastAsia" w:ascii="Times New Roman" w:hAnsi="Times New Roman" w:eastAsia="宋体" w:cs="Times New Roman"/>
                <w:color w:val="auto"/>
                <w:kern w:val="2"/>
                <w:sz w:val="24"/>
                <w:szCs w:val="24"/>
                <w:highlight w:val="none"/>
                <w:lang w:val="en-US" w:eastAsia="zh-CN" w:bidi="ar-SA"/>
              </w:rPr>
              <w:t>54</w:t>
            </w:r>
            <w:r>
              <w:rPr>
                <w:rFonts w:hint="default" w:ascii="Times New Roman" w:hAnsi="Times New Roman" w:eastAsia="宋体" w:cs="Times New Roman"/>
                <w:color w:val="auto"/>
                <w:kern w:val="2"/>
                <w:sz w:val="24"/>
                <w:szCs w:val="24"/>
                <w:highlight w:val="none"/>
                <w:lang w:val="en-US" w:eastAsia="zh-CN" w:bidi="ar-SA"/>
              </w:rPr>
              <w:t>t/a</w:t>
            </w:r>
            <w:r>
              <w:rPr>
                <w:rFonts w:hint="default" w:ascii="Times New Roman" w:hAnsi="Times New Roman" w:eastAsia="宋体" w:cs="Times New Roman"/>
                <w:color w:val="auto"/>
                <w:sz w:val="24"/>
                <w:szCs w:val="24"/>
                <w:highlight w:val="none"/>
                <w:lang w:val="en-US" w:eastAsia="zh-CN"/>
              </w:rPr>
              <w:t>，排放速率为0.0</w:t>
            </w:r>
            <w:r>
              <w:rPr>
                <w:rFonts w:hint="eastAsia" w:ascii="Times New Roman" w:hAnsi="Times New Roman" w:eastAsia="宋体"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lang w:val="en-US" w:eastAsia="zh-CN"/>
              </w:rPr>
              <w:t>kg/h</w:t>
            </w:r>
            <w:r>
              <w:rPr>
                <w:rFonts w:hint="eastAsia" w:ascii="Times New Roman" w:hAnsi="Times New Roman" w:eastAsia="宋体" w:cs="Times New Roman"/>
                <w:color w:val="auto"/>
                <w:sz w:val="24"/>
                <w:szCs w:val="24"/>
                <w:highlight w:val="none"/>
                <w:lang w:val="en-US" w:eastAsia="zh-CN"/>
              </w:rPr>
              <w:t>。本项目喷砂工序</w:t>
            </w:r>
            <w:r>
              <w:rPr>
                <w:rFonts w:ascii="Times New Roman" w:hAnsi="Times New Roman" w:eastAsia="宋体" w:cs="Times New Roman"/>
                <w:color w:val="auto"/>
                <w:sz w:val="24"/>
                <w:szCs w:val="24"/>
              </w:rPr>
              <w:t>颗粒物排放量为0.</w:t>
            </w:r>
            <w:r>
              <w:rPr>
                <w:rFonts w:hint="eastAsia" w:ascii="Times New Roman" w:hAnsi="Times New Roman" w:eastAsia="宋体" w:cs="Times New Roman"/>
                <w:color w:val="auto"/>
                <w:sz w:val="24"/>
                <w:szCs w:val="24"/>
              </w:rPr>
              <w:t>1095</w:t>
            </w:r>
            <w:r>
              <w:rPr>
                <w:rFonts w:ascii="Times New Roman" w:hAnsi="Times New Roman" w:eastAsia="宋体" w:cs="Times New Roman"/>
                <w:color w:val="auto"/>
                <w:sz w:val="24"/>
                <w:szCs w:val="24"/>
              </w:rPr>
              <w:t>t/a、排放速率0.</w:t>
            </w:r>
            <w:r>
              <w:rPr>
                <w:rFonts w:hint="eastAsia" w:ascii="Times New Roman" w:hAnsi="Times New Roman" w:eastAsia="宋体" w:cs="Times New Roman"/>
                <w:color w:val="auto"/>
                <w:sz w:val="24"/>
                <w:szCs w:val="24"/>
              </w:rPr>
              <w:t>0456</w:t>
            </w:r>
            <w:r>
              <w:rPr>
                <w:rFonts w:ascii="Times New Roman" w:hAnsi="Times New Roman" w:eastAsia="宋体" w:cs="Times New Roman"/>
                <w:color w:val="auto"/>
                <w:sz w:val="24"/>
                <w:szCs w:val="24"/>
              </w:rPr>
              <w:t>kg/h</w:t>
            </w:r>
            <w:r>
              <w:rPr>
                <w:rFonts w:hint="eastAsia" w:ascii="Times New Roman" w:hAnsi="Times New Roman" w:eastAsia="宋体" w:cs="Times New Roman"/>
                <w:color w:val="auto"/>
                <w:sz w:val="24"/>
                <w:szCs w:val="24"/>
                <w:lang w:eastAsia="zh-CN"/>
              </w:rPr>
              <w:t>。</w:t>
            </w:r>
          </w:p>
          <w:p w14:paraId="68AB1ED3">
            <w:pPr>
              <w:adjustRightInd w:val="0"/>
              <w:snapToGrid w:val="0"/>
              <w:spacing w:line="360" w:lineRule="auto"/>
              <w:ind w:firstLine="480" w:firstLineChars="200"/>
              <w:rPr>
                <w:sz w:val="24"/>
                <w:szCs w:val="24"/>
              </w:rPr>
            </w:pPr>
            <w:r>
              <w:rPr>
                <w:rFonts w:hint="eastAsia" w:ascii="Times New Roman" w:hAnsi="Times New Roman" w:eastAsia="宋体" w:cs="Times New Roman"/>
                <w:sz w:val="24"/>
                <w:szCs w:val="24"/>
              </w:rPr>
              <w:t>因此，DA002排气筒颗粒物的</w:t>
            </w:r>
            <w:r>
              <w:rPr>
                <w:rFonts w:hint="eastAsia" w:ascii="Times New Roman" w:hAnsi="Times New Roman" w:eastAsia="宋体" w:cs="Times New Roman"/>
                <w:sz w:val="24"/>
                <w:szCs w:val="24"/>
                <w:lang w:val="en-US" w:eastAsia="zh-CN"/>
              </w:rPr>
              <w:t>总</w:t>
            </w:r>
            <w:r>
              <w:rPr>
                <w:rFonts w:hint="eastAsia" w:ascii="Times New Roman" w:hAnsi="Times New Roman" w:eastAsia="宋体" w:cs="Times New Roman"/>
                <w:sz w:val="24"/>
                <w:szCs w:val="24"/>
              </w:rPr>
              <w:t>排放量为0.2789</w:t>
            </w:r>
            <w:r>
              <w:rPr>
                <w:rFonts w:ascii="Times New Roman" w:hAnsi="Times New Roman" w:eastAsia="宋体" w:cs="Times New Roman"/>
                <w:sz w:val="24"/>
                <w:szCs w:val="24"/>
              </w:rPr>
              <w:t>t/a，排放速率为</w:t>
            </w:r>
            <w:r>
              <w:rPr>
                <w:rFonts w:hint="eastAsia" w:ascii="Times New Roman" w:hAnsi="Times New Roman" w:eastAsia="宋体" w:cs="Times New Roman"/>
                <w:sz w:val="24"/>
                <w:szCs w:val="24"/>
              </w:rPr>
              <w:t>0.2436</w:t>
            </w:r>
            <w:r>
              <w:rPr>
                <w:rFonts w:ascii="Times New Roman" w:hAnsi="Times New Roman" w:eastAsia="宋体" w:cs="Times New Roman"/>
                <w:sz w:val="24"/>
                <w:szCs w:val="24"/>
              </w:rPr>
              <w:t>kg/h，排放浓度为</w:t>
            </w:r>
            <w:r>
              <w:rPr>
                <w:rFonts w:hint="eastAsia" w:ascii="Times New Roman" w:hAnsi="Times New Roman" w:eastAsia="宋体" w:cs="Times New Roman"/>
                <w:sz w:val="24"/>
                <w:szCs w:val="24"/>
              </w:rPr>
              <w:t>20.3</w:t>
            </w:r>
            <w:r>
              <w:rPr>
                <w:rFonts w:ascii="Times New Roman" w:hAnsi="Times New Roman" w:eastAsia="宋体" w:cs="Times New Roman"/>
                <w:sz w:val="24"/>
                <w:szCs w:val="24"/>
              </w:rPr>
              <w:t>mg/m</w:t>
            </w:r>
            <w:r>
              <w:rPr>
                <w:rFonts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，排放速率和排放浓度均可满足</w:t>
            </w:r>
            <w:r>
              <w:rPr>
                <w:rFonts w:ascii="Times New Roman" w:hAnsi="Times New Roman" w:eastAsia="宋体" w:cs="Times New Roman"/>
                <w:sz w:val="24"/>
                <w:szCs w:val="24"/>
              </w:rPr>
              <w:t>《</w:t>
            </w:r>
            <w:r>
              <w:rPr>
                <w:rFonts w:hint="eastAsia" w:ascii="Times New Roman" w:hAnsi="Times New Roman" w:eastAsia="宋体" w:cs="Times New Roman"/>
                <w:sz w:val="24"/>
                <w:szCs w:val="24"/>
              </w:rPr>
              <w:t>大气污染物综合排放标准</w:t>
            </w:r>
            <w:r>
              <w:rPr>
                <w:rFonts w:ascii="Times New Roman" w:hAnsi="Times New Roman" w:eastAsia="宋体" w:cs="Times New Roman"/>
                <w:sz w:val="24"/>
                <w:szCs w:val="24"/>
              </w:rPr>
              <w:t>》（GB</w:t>
            </w:r>
            <w:r>
              <w:rPr>
                <w:rFonts w:hint="eastAsia" w:ascii="Times New Roman" w:hAnsi="Times New Roman" w:eastAsia="宋体" w:cs="Times New Roman"/>
                <w:sz w:val="24"/>
                <w:szCs w:val="24"/>
              </w:rPr>
              <w:t>16297</w:t>
            </w:r>
            <w:r>
              <w:rPr>
                <w:rFonts w:ascii="Times New Roman" w:hAnsi="Times New Roman" w:eastAsia="宋体" w:cs="Times New Roman"/>
                <w:sz w:val="24"/>
                <w:szCs w:val="24"/>
              </w:rPr>
              <w:t>-</w:t>
            </w:r>
            <w:r>
              <w:rPr>
                <w:rFonts w:hint="eastAsia" w:ascii="Times New Roman" w:hAnsi="Times New Roman" w:eastAsia="宋体" w:cs="Times New Roman"/>
                <w:sz w:val="24"/>
                <w:szCs w:val="24"/>
              </w:rPr>
              <w:t>1996</w:t>
            </w:r>
            <w:r>
              <w:rPr>
                <w:rFonts w:ascii="Times New Roman" w:hAnsi="Times New Roman" w:eastAsia="宋体" w:cs="Times New Roman"/>
                <w:sz w:val="24"/>
                <w:szCs w:val="24"/>
              </w:rPr>
              <w:t>）中表</w:t>
            </w:r>
            <w:r>
              <w:rPr>
                <w:rFonts w:hint="eastAsia" w:ascii="Times New Roman" w:hAnsi="Times New Roman" w:eastAsia="宋体" w:cs="Times New Roman"/>
                <w:sz w:val="24"/>
                <w:szCs w:val="24"/>
              </w:rPr>
              <w:t>2中二级标准限值，对环境影响较小。</w:t>
            </w:r>
            <w:commentRangeEnd w:id="39"/>
            <w:r>
              <w:rPr>
                <w:sz w:val="24"/>
                <w:szCs w:val="24"/>
              </w:rPr>
              <w:commentReference w:id="39"/>
            </w:r>
            <w:commentRangeEnd w:id="40"/>
            <w:r>
              <w:rPr>
                <w:sz w:val="24"/>
                <w:szCs w:val="24"/>
              </w:rPr>
              <w:commentReference w:id="40"/>
            </w:r>
          </w:p>
          <w:p w14:paraId="2723EFC8">
            <w:pPr>
              <w:adjustRightInd w:val="0"/>
              <w:snapToGrid w:val="0"/>
              <w:spacing w:line="360" w:lineRule="auto"/>
              <w:ind w:firstLine="480" w:firstLineChars="200"/>
              <w:rPr>
                <w:rFonts w:ascii="Times New Roman" w:hAnsi="Times New Roman" w:cs="Times New Roman"/>
                <w:sz w:val="24"/>
              </w:rPr>
            </w:pPr>
            <w:commentRangeStart w:id="41"/>
            <w:commentRangeStart w:id="42"/>
            <w:r>
              <w:rPr>
                <w:rFonts w:hint="eastAsia" w:ascii="Times New Roman" w:hAnsi="Times New Roman" w:cs="Times New Roman"/>
                <w:sz w:val="24"/>
              </w:rPr>
              <w:t>（2）</w:t>
            </w:r>
            <w:r>
              <w:rPr>
                <w:rFonts w:ascii="Times New Roman" w:hAnsi="Times New Roman" w:cs="Times New Roman"/>
                <w:sz w:val="24"/>
              </w:rPr>
              <w:t>喷涂废气</w:t>
            </w:r>
            <w:commentRangeEnd w:id="41"/>
            <w:r>
              <w:commentReference w:id="41"/>
            </w:r>
            <w:commentRangeEnd w:id="42"/>
            <w:r>
              <w:commentReference w:id="42"/>
            </w:r>
          </w:p>
          <w:p w14:paraId="078E34B8">
            <w:pPr>
              <w:pStyle w:val="11"/>
              <w:adjustRightInd w:val="0"/>
              <w:snapToGrid w:val="0"/>
              <w:spacing w:before="0"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本项目涉及的</w:t>
            </w:r>
            <w:r>
              <w:rPr>
                <w:rFonts w:hint="eastAsia" w:ascii="Times New Roman" w:hAnsi="Times New Roman" w:cs="Times New Roman"/>
                <w:sz w:val="24"/>
                <w:szCs w:val="24"/>
              </w:rPr>
              <w:t>自动</w:t>
            </w:r>
            <w:r>
              <w:rPr>
                <w:rFonts w:ascii="Times New Roman" w:hAnsi="Times New Roman" w:cs="Times New Roman"/>
                <w:sz w:val="24"/>
                <w:szCs w:val="24"/>
              </w:rPr>
              <w:t>喷涂废气主要为喷涂工序（包括调漆、喷漆、</w:t>
            </w:r>
            <w:r>
              <w:rPr>
                <w:rFonts w:hint="eastAsia" w:ascii="Times New Roman" w:hAnsi="Times New Roman" w:cs="Times New Roman"/>
                <w:sz w:val="24"/>
                <w:szCs w:val="24"/>
              </w:rPr>
              <w:t>烘干</w:t>
            </w:r>
            <w:r>
              <w:rPr>
                <w:rFonts w:ascii="Times New Roman" w:hAnsi="Times New Roman" w:cs="Times New Roman"/>
                <w:sz w:val="24"/>
                <w:szCs w:val="24"/>
              </w:rPr>
              <w:t>）产生的有机废气，本项目</w:t>
            </w:r>
            <w:r>
              <w:rPr>
                <w:rFonts w:hint="eastAsia" w:ascii="Times New Roman" w:hAnsi="Times New Roman" w:cs="Times New Roman"/>
                <w:sz w:val="24"/>
                <w:szCs w:val="24"/>
              </w:rPr>
              <w:t>安装1台干式自动喷漆设备、设备全</w:t>
            </w:r>
            <w:r>
              <w:rPr>
                <w:rFonts w:hint="eastAsia" w:ascii="Times New Roman" w:hAnsi="Times New Roman" w:cs="Times New Roman"/>
                <w:sz w:val="24"/>
                <w:szCs w:val="24"/>
                <w:lang w:val="en-US" w:eastAsia="zh-CN"/>
              </w:rPr>
              <w:t>长</w:t>
            </w:r>
            <w:r>
              <w:rPr>
                <w:rFonts w:hint="eastAsia" w:ascii="Times New Roman" w:hAnsi="Times New Roman" w:cs="Times New Roman"/>
                <w:sz w:val="24"/>
                <w:szCs w:val="24"/>
              </w:rPr>
              <w:t>23.3m，宽3.3米。设备带有喷漆区（尺寸：1.5m*2.5m*2.5m）和烘干区（尺寸：0.8m*10m*1m）</w:t>
            </w:r>
            <w:r>
              <w:rPr>
                <w:rFonts w:ascii="Times New Roman" w:hAnsi="Times New Roman" w:cs="Times New Roman"/>
                <w:sz w:val="24"/>
                <w:szCs w:val="24"/>
              </w:rPr>
              <w:t>，</w:t>
            </w:r>
            <w:r>
              <w:rPr>
                <w:rFonts w:hint="eastAsia" w:ascii="Times New Roman" w:hAnsi="Times New Roman" w:cs="Times New Roman"/>
                <w:sz w:val="24"/>
                <w:szCs w:val="24"/>
              </w:rPr>
              <w:t>拟</w:t>
            </w:r>
            <w:r>
              <w:rPr>
                <w:rFonts w:ascii="Times New Roman" w:hAnsi="Times New Roman" w:cs="Times New Roman"/>
                <w:sz w:val="24"/>
                <w:szCs w:val="24"/>
              </w:rPr>
              <w:t>采取的措施为</w:t>
            </w:r>
            <w:r>
              <w:rPr>
                <w:rFonts w:hint="eastAsia" w:ascii="Times New Roman" w:hAnsi="Times New Roman" w:cs="Times New Roman"/>
                <w:sz w:val="24"/>
                <w:szCs w:val="24"/>
              </w:rPr>
              <w:t>干式过滤棉</w:t>
            </w:r>
            <w:r>
              <w:rPr>
                <w:rFonts w:ascii="Times New Roman" w:hAnsi="Times New Roman" w:cs="Times New Roman"/>
                <w:sz w:val="24"/>
                <w:szCs w:val="24"/>
              </w:rPr>
              <w:t>+</w:t>
            </w:r>
            <w:r>
              <w:rPr>
                <w:rFonts w:hint="eastAsia" w:ascii="Times New Roman" w:hAnsi="Times New Roman" w:cs="Times New Roman"/>
                <w:sz w:val="24"/>
                <w:szCs w:val="24"/>
              </w:rPr>
              <w:t>二级</w:t>
            </w:r>
            <w:r>
              <w:rPr>
                <w:rFonts w:ascii="Times New Roman" w:hAnsi="Times New Roman" w:cs="Times New Roman"/>
                <w:sz w:val="24"/>
                <w:szCs w:val="24"/>
              </w:rPr>
              <w:t>活性吸附的处理工艺，处理效率为85%，最终通过15m高的DA003排气筒排放，</w:t>
            </w:r>
            <w:r>
              <w:rPr>
                <w:rFonts w:hint="eastAsia" w:ascii="Times New Roman" w:hAnsi="Times New Roman" w:cs="Times New Roman"/>
                <w:sz w:val="24"/>
                <w:szCs w:val="24"/>
              </w:rPr>
              <w:t>每天</w:t>
            </w:r>
            <w:r>
              <w:rPr>
                <w:rFonts w:hint="eastAsia" w:ascii="Times New Roman" w:hAnsi="Times New Roman" w:eastAsia="宋体" w:cs="Times New Roman"/>
                <w:sz w:val="24"/>
                <w:szCs w:val="24"/>
              </w:rPr>
              <w:t>喷漆时间为4h，烘干时间为4h，</w:t>
            </w:r>
            <w:r>
              <w:rPr>
                <w:rFonts w:ascii="Times New Roman" w:hAnsi="Times New Roman" w:cs="Times New Roman"/>
                <w:sz w:val="24"/>
                <w:szCs w:val="24"/>
              </w:rPr>
              <w:t>年最大工作时间为</w:t>
            </w:r>
            <w:r>
              <w:rPr>
                <w:rFonts w:hint="eastAsia" w:ascii="Times New Roman" w:hAnsi="Times New Roman" w:cs="Times New Roman"/>
                <w:sz w:val="24"/>
                <w:szCs w:val="24"/>
              </w:rPr>
              <w:t>1200</w:t>
            </w:r>
            <w:r>
              <w:rPr>
                <w:rFonts w:ascii="Times New Roman" w:hAnsi="Times New Roman" w:cs="Times New Roman"/>
                <w:sz w:val="24"/>
                <w:szCs w:val="24"/>
              </w:rPr>
              <w:t>h。</w:t>
            </w:r>
          </w:p>
          <w:p w14:paraId="2888DD2F">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PingFang SC" w:cs="Times New Roman"/>
                <w:sz w:val="24"/>
              </w:rPr>
              <w:t>①</w:t>
            </w:r>
            <w:r>
              <w:rPr>
                <w:rFonts w:ascii="Times New Roman" w:hAnsi="Times New Roman" w:eastAsia="宋体" w:cs="Times New Roman"/>
                <w:sz w:val="24"/>
              </w:rPr>
              <w:t>水性漆涂料</w:t>
            </w:r>
          </w:p>
          <w:p w14:paraId="6B601932">
            <w:pPr>
              <w:adjustRightInd w:val="0"/>
              <w:snapToGrid w:val="0"/>
              <w:spacing w:line="360" w:lineRule="auto"/>
              <w:ind w:firstLine="480" w:firstLineChars="200"/>
              <w:rPr>
                <w:rFonts w:ascii="Times New Roman" w:hAnsi="Times New Roman" w:eastAsia="PingFang SC" w:cs="Times New Roman"/>
                <w:sz w:val="24"/>
              </w:rPr>
            </w:pPr>
            <w:r>
              <w:rPr>
                <w:rFonts w:ascii="Times New Roman" w:hAnsi="Times New Roman" w:cs="Times New Roman"/>
                <w:sz w:val="24"/>
              </w:rPr>
              <w:t>根据本项目水性漆检验报告可知，项目所用</w:t>
            </w:r>
            <w:r>
              <w:rPr>
                <w:rFonts w:ascii="Times New Roman" w:hAnsi="Times New Roman" w:cs="Times New Roman"/>
                <w:spacing w:val="-3"/>
                <w:sz w:val="24"/>
                <w:lang w:bidi="zh-CN"/>
              </w:rPr>
              <w:t>XH0107水性聚氨酯面漆</w:t>
            </w:r>
            <w:r>
              <w:rPr>
                <w:rFonts w:ascii="Times New Roman" w:hAnsi="Times New Roman" w:cs="Times New Roman"/>
                <w:sz w:val="24"/>
              </w:rPr>
              <w:t>，非甲烷总烃含量为</w:t>
            </w:r>
            <w:r>
              <w:rPr>
                <w:rFonts w:hint="eastAsia" w:ascii="Times New Roman" w:hAnsi="Times New Roman" w:cs="Times New Roman"/>
                <w:sz w:val="24"/>
              </w:rPr>
              <w:t>96</w:t>
            </w:r>
            <w:r>
              <w:rPr>
                <w:rFonts w:ascii="Times New Roman" w:hAnsi="Times New Roman" w:cs="Times New Roman"/>
                <w:sz w:val="24"/>
              </w:rPr>
              <w:t>g/</w:t>
            </w:r>
            <w:r>
              <w:rPr>
                <w:rFonts w:hint="eastAsia" w:ascii="Times New Roman" w:hAnsi="Times New Roman" w:cs="Times New Roman"/>
                <w:sz w:val="24"/>
              </w:rPr>
              <w:t>L</w:t>
            </w:r>
            <w:r>
              <w:rPr>
                <w:rFonts w:ascii="Times New Roman" w:hAnsi="Times New Roman" w:cs="Times New Roman"/>
                <w:sz w:val="24"/>
              </w:rPr>
              <w:t>，水性漆密度为1.1</w:t>
            </w:r>
            <w:r>
              <w:rPr>
                <w:rFonts w:hint="eastAsia" w:ascii="Times New Roman" w:hAnsi="Times New Roman" w:cs="Times New Roman"/>
                <w:sz w:val="24"/>
              </w:rPr>
              <w:t>58</w:t>
            </w:r>
            <w:r>
              <w:rPr>
                <w:rFonts w:ascii="Times New Roman" w:hAnsi="Times New Roman" w:cs="Times New Roman"/>
                <w:sz w:val="24"/>
              </w:rPr>
              <w:t>kg/</w:t>
            </w:r>
            <w:r>
              <w:rPr>
                <w:rFonts w:hint="eastAsia" w:ascii="Times New Roman" w:hAnsi="Times New Roman" w:cs="Times New Roman"/>
                <w:sz w:val="24"/>
              </w:rPr>
              <w:t>L</w:t>
            </w:r>
            <w:r>
              <w:rPr>
                <w:rFonts w:ascii="Times New Roman" w:hAnsi="Times New Roman" w:cs="Times New Roman"/>
                <w:sz w:val="24"/>
              </w:rPr>
              <w:t>，水性漆为</w:t>
            </w:r>
            <w:r>
              <w:rPr>
                <w:rFonts w:hint="eastAsia" w:ascii="Times New Roman" w:hAnsi="Times New Roman" w:cs="Times New Roman"/>
                <w:sz w:val="24"/>
              </w:rPr>
              <w:t>10</w:t>
            </w:r>
            <w:r>
              <w:rPr>
                <w:rFonts w:ascii="Times New Roman" w:hAnsi="Times New Roman" w:cs="Times New Roman"/>
                <w:sz w:val="24"/>
              </w:rPr>
              <w:t>t/a，即</w:t>
            </w:r>
            <w:r>
              <w:rPr>
                <w:rFonts w:hint="eastAsia" w:ascii="Times New Roman" w:hAnsi="Times New Roman" w:cs="Times New Roman"/>
                <w:sz w:val="24"/>
              </w:rPr>
              <w:t>8635.58L</w:t>
            </w:r>
            <w:r>
              <w:rPr>
                <w:rFonts w:ascii="Times New Roman" w:hAnsi="Times New Roman" w:cs="Times New Roman"/>
                <w:sz w:val="24"/>
              </w:rPr>
              <w:t>/a，则本项目非甲烷总烃含量为</w:t>
            </w:r>
            <w:r>
              <w:rPr>
                <w:rFonts w:hint="eastAsia" w:ascii="Times New Roman" w:hAnsi="Times New Roman" w:cs="Times New Roman"/>
                <w:sz w:val="24"/>
              </w:rPr>
              <w:t>0.829</w:t>
            </w:r>
            <w:r>
              <w:rPr>
                <w:rFonts w:ascii="Times New Roman" w:hAnsi="Times New Roman" w:cs="Times New Roman"/>
                <w:sz w:val="24"/>
              </w:rPr>
              <w:t>t/a。参考《喷漆工序有机废气源强的估算比较》（环境保护 梁栋），在配漆过程、喷涂过程和晾干过程中有机物挥发量分别占总有机物成分的2%、</w:t>
            </w:r>
            <w:r>
              <w:rPr>
                <w:rFonts w:hint="eastAsia" w:ascii="Times New Roman" w:hAnsi="Times New Roman" w:cs="Times New Roman"/>
                <w:sz w:val="24"/>
              </w:rPr>
              <w:t>40</w:t>
            </w:r>
            <w:r>
              <w:rPr>
                <w:rFonts w:ascii="Times New Roman" w:hAnsi="Times New Roman" w:cs="Times New Roman"/>
                <w:sz w:val="24"/>
              </w:rPr>
              <w:t>%和</w:t>
            </w:r>
            <w:r>
              <w:rPr>
                <w:rFonts w:hint="eastAsia" w:ascii="Times New Roman" w:hAnsi="Times New Roman" w:cs="Times New Roman"/>
                <w:sz w:val="24"/>
              </w:rPr>
              <w:t>5</w:t>
            </w:r>
            <w:r>
              <w:rPr>
                <w:rFonts w:ascii="Times New Roman" w:hAnsi="Times New Roman" w:cs="Times New Roman"/>
                <w:sz w:val="24"/>
              </w:rPr>
              <w:t>8%。</w:t>
            </w:r>
          </w:p>
          <w:p w14:paraId="6BB075A0">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水性漆为</w:t>
            </w:r>
            <w:r>
              <w:rPr>
                <w:rFonts w:hint="eastAsia" w:ascii="Times New Roman" w:hAnsi="Times New Roman" w:cs="Times New Roman"/>
                <w:sz w:val="24"/>
              </w:rPr>
              <w:t>10</w:t>
            </w:r>
            <w:r>
              <w:rPr>
                <w:rFonts w:ascii="Times New Roman" w:hAnsi="Times New Roman" w:cs="Times New Roman"/>
                <w:sz w:val="24"/>
              </w:rPr>
              <w:t>t/a，</w:t>
            </w:r>
            <w:r>
              <w:rPr>
                <w:rFonts w:hint="eastAsia" w:ascii="Times New Roman" w:hAnsi="Times New Roman" w:cs="Times New Roman"/>
                <w:sz w:val="24"/>
                <w:lang w:val="en-US" w:eastAsia="zh-CN"/>
              </w:rPr>
              <w:t>固体组分为5.764t/a，除去设备环境损耗，还剩4.611t/a。</w:t>
            </w:r>
            <w:r>
              <w:rPr>
                <w:rFonts w:ascii="Times New Roman" w:hAnsi="Times New Roman" w:cs="Times New Roman"/>
                <w:sz w:val="24"/>
              </w:rPr>
              <w:t>根据</w:t>
            </w:r>
            <w:r>
              <w:rPr>
                <w:rFonts w:hint="eastAsia" w:ascii="Times New Roman" w:hAnsi="Times New Roman" w:cs="Times New Roman"/>
                <w:sz w:val="24"/>
              </w:rPr>
              <w:t>水性漆厂家提供的资料，</w:t>
            </w:r>
            <w:commentRangeStart w:id="43"/>
            <w:r>
              <w:rPr>
                <w:rFonts w:hint="eastAsia" w:ascii="Times New Roman" w:hAnsi="Times New Roman" w:cs="Times New Roman"/>
                <w:sz w:val="24"/>
              </w:rPr>
              <w:t>水性漆的附着率约为固份含量</w:t>
            </w:r>
            <w:r>
              <w:rPr>
                <w:rFonts w:hint="eastAsia" w:ascii="Times New Roman" w:hAnsi="Times New Roman" w:cs="Times New Roman"/>
                <w:sz w:val="24"/>
                <w:lang w:val="en-US" w:eastAsia="zh-CN"/>
              </w:rPr>
              <w:t>7</w:t>
            </w:r>
            <w:r>
              <w:rPr>
                <w:rFonts w:hint="eastAsia" w:ascii="Times New Roman" w:hAnsi="Times New Roman" w:cs="Times New Roman"/>
                <w:sz w:val="24"/>
              </w:rPr>
              <w:t>0%，</w:t>
            </w:r>
            <w:r>
              <w:rPr>
                <w:rFonts w:ascii="Times New Roman" w:hAnsi="Times New Roman" w:cs="Times New Roman"/>
                <w:sz w:val="24"/>
              </w:rPr>
              <w:t>即约有</w:t>
            </w:r>
            <w:r>
              <w:rPr>
                <w:rFonts w:hint="eastAsia" w:ascii="Times New Roman" w:hAnsi="Times New Roman" w:cs="Times New Roman"/>
                <w:sz w:val="24"/>
                <w:lang w:val="en-US" w:eastAsia="zh-CN"/>
              </w:rPr>
              <w:t>7</w:t>
            </w:r>
            <w:r>
              <w:rPr>
                <w:rFonts w:ascii="Times New Roman" w:hAnsi="Times New Roman" w:cs="Times New Roman"/>
                <w:sz w:val="24"/>
              </w:rPr>
              <w:t>0%的固份附着在工件上，</w:t>
            </w:r>
            <w:commentRangeEnd w:id="43"/>
            <w:r>
              <w:rPr>
                <w:rFonts w:hint="eastAsia" w:ascii="Times New Roman" w:hAnsi="Times New Roman" w:cs="Times New Roman"/>
                <w:sz w:val="24"/>
              </w:rPr>
              <w:commentReference w:id="43"/>
            </w:r>
            <w:r>
              <w:rPr>
                <w:rFonts w:hint="eastAsia" w:ascii="Times New Roman" w:hAnsi="Times New Roman" w:cs="Times New Roman"/>
                <w:sz w:val="24"/>
                <w:lang w:val="en-US" w:eastAsia="zh-CN"/>
              </w:rPr>
              <w:t>3</w:t>
            </w:r>
            <w:r>
              <w:rPr>
                <w:rFonts w:hint="eastAsia" w:ascii="Times New Roman" w:hAnsi="Times New Roman" w:cs="Times New Roman"/>
                <w:sz w:val="24"/>
              </w:rPr>
              <w:t>0%</w:t>
            </w:r>
            <w:r>
              <w:rPr>
                <w:rFonts w:ascii="Times New Roman" w:hAnsi="Times New Roman" w:cs="Times New Roman"/>
                <w:sz w:val="24"/>
              </w:rPr>
              <w:t>转化为漆雾，本项目漆雾产生情况见下表。</w:t>
            </w:r>
          </w:p>
          <w:p w14:paraId="4120773A">
            <w:pPr>
              <w:ind w:firstLine="422" w:firstLineChars="200"/>
              <w:jc w:val="center"/>
              <w:rPr>
                <w:rFonts w:ascii="Times New Roman" w:hAnsi="Times New Roman" w:cs="Times New Roman"/>
                <w:b/>
                <w:szCs w:val="21"/>
              </w:rPr>
            </w:pPr>
            <w:r>
              <w:rPr>
                <w:rFonts w:ascii="Times New Roman" w:hAnsi="Times New Roman" w:cs="Times New Roman"/>
                <w:b/>
                <w:szCs w:val="21"/>
              </w:rPr>
              <w:t>表4-</w:t>
            </w:r>
            <w:r>
              <w:rPr>
                <w:rFonts w:hint="eastAsia" w:ascii="Times New Roman" w:hAnsi="Times New Roman" w:cs="Times New Roman"/>
                <w:b/>
                <w:szCs w:val="21"/>
              </w:rPr>
              <w:t xml:space="preserve">3    </w:t>
            </w:r>
            <w:r>
              <w:rPr>
                <w:rFonts w:ascii="Times New Roman" w:hAnsi="Times New Roman" w:cs="Times New Roman"/>
                <w:b/>
                <w:szCs w:val="21"/>
              </w:rPr>
              <w:t>废气污染物产生情况一览表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15"/>
              <w:gridCol w:w="1481"/>
              <w:gridCol w:w="1124"/>
              <w:gridCol w:w="1552"/>
              <w:gridCol w:w="1979"/>
              <w:gridCol w:w="1395"/>
            </w:tblGrid>
            <w:tr w14:paraId="4F1194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0" w:hRule="atLeast"/>
                <w:jc w:val="center"/>
              </w:trPr>
              <w:tc>
                <w:tcPr>
                  <w:tcW w:w="488" w:type="pct"/>
                  <w:tcBorders>
                    <w:tl2br w:val="nil"/>
                    <w:tr2bl w:val="nil"/>
                  </w:tcBorders>
                  <w:vAlign w:val="center"/>
                </w:tcPr>
                <w:p w14:paraId="0D23AD80">
                  <w:pPr>
                    <w:jc w:val="center"/>
                    <w:rPr>
                      <w:rFonts w:ascii="Times New Roman" w:hAnsi="Times New Roman" w:cs="Times New Roman"/>
                      <w:color w:val="FF0000"/>
                      <w:szCs w:val="21"/>
                    </w:rPr>
                  </w:pPr>
                  <w:r>
                    <w:rPr>
                      <w:rFonts w:ascii="Times New Roman" w:hAnsi="Times New Roman" w:cs="Times New Roman"/>
                      <w:color w:val="FF0000"/>
                      <w:szCs w:val="21"/>
                    </w:rPr>
                    <w:t>序号</w:t>
                  </w:r>
                </w:p>
              </w:tc>
              <w:tc>
                <w:tcPr>
                  <w:tcW w:w="887" w:type="pct"/>
                  <w:tcBorders>
                    <w:tl2br w:val="nil"/>
                    <w:tr2bl w:val="nil"/>
                  </w:tcBorders>
                  <w:vAlign w:val="center"/>
                </w:tcPr>
                <w:p w14:paraId="321D1BF5">
                  <w:pPr>
                    <w:jc w:val="center"/>
                    <w:rPr>
                      <w:rFonts w:ascii="Times New Roman" w:hAnsi="Times New Roman" w:cs="Times New Roman"/>
                      <w:color w:val="FF0000"/>
                      <w:szCs w:val="21"/>
                    </w:rPr>
                  </w:pPr>
                  <w:r>
                    <w:rPr>
                      <w:rFonts w:ascii="Times New Roman" w:hAnsi="Times New Roman" w:cs="Times New Roman"/>
                      <w:color w:val="FF0000"/>
                      <w:szCs w:val="21"/>
                    </w:rPr>
                    <w:t>生产用漆</w:t>
                  </w:r>
                </w:p>
              </w:tc>
              <w:tc>
                <w:tcPr>
                  <w:tcW w:w="673" w:type="pct"/>
                  <w:tcBorders>
                    <w:tl2br w:val="nil"/>
                    <w:tr2bl w:val="nil"/>
                  </w:tcBorders>
                  <w:vAlign w:val="center"/>
                </w:tcPr>
                <w:p w14:paraId="78E62883">
                  <w:pPr>
                    <w:jc w:val="center"/>
                    <w:rPr>
                      <w:rFonts w:ascii="Times New Roman" w:hAnsi="Times New Roman" w:cs="Times New Roman"/>
                      <w:color w:val="FF0000"/>
                      <w:szCs w:val="21"/>
                    </w:rPr>
                  </w:pPr>
                  <w:r>
                    <w:rPr>
                      <w:rFonts w:ascii="Times New Roman" w:hAnsi="Times New Roman" w:cs="Times New Roman"/>
                      <w:color w:val="FF0000"/>
                      <w:szCs w:val="21"/>
                    </w:rPr>
                    <w:t>用量</w:t>
                  </w:r>
                </w:p>
              </w:tc>
              <w:tc>
                <w:tcPr>
                  <w:tcW w:w="929" w:type="pct"/>
                  <w:tcBorders>
                    <w:tl2br w:val="nil"/>
                    <w:tr2bl w:val="nil"/>
                  </w:tcBorders>
                  <w:vAlign w:val="center"/>
                </w:tcPr>
                <w:p w14:paraId="1C4375B8">
                  <w:pPr>
                    <w:jc w:val="center"/>
                    <w:rPr>
                      <w:rFonts w:ascii="Times New Roman" w:hAnsi="Times New Roman" w:cs="Times New Roman"/>
                      <w:color w:val="FF0000"/>
                      <w:szCs w:val="21"/>
                    </w:rPr>
                  </w:pPr>
                  <w:r>
                    <w:rPr>
                      <w:rFonts w:ascii="Times New Roman" w:hAnsi="Times New Roman" w:cs="Times New Roman"/>
                      <w:color w:val="FF0000"/>
                      <w:szCs w:val="21"/>
                    </w:rPr>
                    <w:t>固份含量</w:t>
                  </w:r>
                </w:p>
              </w:tc>
              <w:tc>
                <w:tcPr>
                  <w:tcW w:w="1185" w:type="pct"/>
                  <w:tcBorders>
                    <w:tl2br w:val="nil"/>
                    <w:tr2bl w:val="nil"/>
                  </w:tcBorders>
                  <w:vAlign w:val="center"/>
                </w:tcPr>
                <w:p w14:paraId="5D28C1A1">
                  <w:pPr>
                    <w:jc w:val="center"/>
                    <w:rPr>
                      <w:rFonts w:ascii="Times New Roman" w:hAnsi="Times New Roman" w:cs="Times New Roman"/>
                      <w:color w:val="FF0000"/>
                      <w:szCs w:val="21"/>
                    </w:rPr>
                  </w:pPr>
                  <w:r>
                    <w:rPr>
                      <w:rFonts w:ascii="Times New Roman" w:hAnsi="Times New Roman" w:cs="Times New Roman"/>
                      <w:color w:val="FF0000"/>
                      <w:szCs w:val="21"/>
                    </w:rPr>
                    <w:t>产品表面附着</w:t>
                  </w:r>
                </w:p>
              </w:tc>
              <w:tc>
                <w:tcPr>
                  <w:tcW w:w="835" w:type="pct"/>
                  <w:tcBorders>
                    <w:tl2br w:val="nil"/>
                    <w:tr2bl w:val="nil"/>
                  </w:tcBorders>
                  <w:vAlign w:val="center"/>
                </w:tcPr>
                <w:p w14:paraId="41D7AEE8">
                  <w:pPr>
                    <w:jc w:val="center"/>
                    <w:rPr>
                      <w:rFonts w:ascii="Times New Roman" w:hAnsi="Times New Roman" w:cs="Times New Roman"/>
                      <w:color w:val="FF0000"/>
                      <w:szCs w:val="21"/>
                    </w:rPr>
                  </w:pPr>
                  <w:r>
                    <w:rPr>
                      <w:rFonts w:ascii="Times New Roman" w:hAnsi="Times New Roman" w:cs="Times New Roman"/>
                      <w:color w:val="FF0000"/>
                      <w:szCs w:val="21"/>
                    </w:rPr>
                    <w:t>漆雾</w:t>
                  </w:r>
                </w:p>
              </w:tc>
            </w:tr>
            <w:tr w14:paraId="31B325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7" w:hRule="atLeast"/>
                <w:jc w:val="center"/>
              </w:trPr>
              <w:tc>
                <w:tcPr>
                  <w:tcW w:w="488" w:type="pct"/>
                  <w:tcBorders>
                    <w:tl2br w:val="nil"/>
                    <w:tr2bl w:val="nil"/>
                  </w:tcBorders>
                  <w:vAlign w:val="center"/>
                </w:tcPr>
                <w:p w14:paraId="34624879">
                  <w:pPr>
                    <w:jc w:val="center"/>
                    <w:rPr>
                      <w:rFonts w:ascii="Times New Roman" w:hAnsi="Times New Roman" w:cs="Times New Roman"/>
                      <w:bCs/>
                      <w:color w:val="FF0000"/>
                      <w:szCs w:val="21"/>
                    </w:rPr>
                  </w:pPr>
                  <w:r>
                    <w:rPr>
                      <w:rFonts w:hint="eastAsia" w:ascii="Times New Roman" w:hAnsi="Times New Roman" w:cs="Times New Roman"/>
                      <w:bCs/>
                      <w:color w:val="FF0000"/>
                      <w:szCs w:val="21"/>
                    </w:rPr>
                    <w:t>1</w:t>
                  </w:r>
                </w:p>
              </w:tc>
              <w:tc>
                <w:tcPr>
                  <w:tcW w:w="887" w:type="pct"/>
                  <w:tcBorders>
                    <w:tl2br w:val="nil"/>
                    <w:tr2bl w:val="nil"/>
                  </w:tcBorders>
                  <w:vAlign w:val="center"/>
                </w:tcPr>
                <w:p w14:paraId="1DC68193">
                  <w:pPr>
                    <w:jc w:val="center"/>
                    <w:rPr>
                      <w:rFonts w:ascii="Times New Roman" w:hAnsi="Times New Roman" w:cs="Times New Roman"/>
                      <w:color w:val="FF0000"/>
                      <w:szCs w:val="21"/>
                    </w:rPr>
                  </w:pPr>
                  <w:r>
                    <w:rPr>
                      <w:rFonts w:ascii="Times New Roman" w:hAnsi="Times New Roman" w:cs="Times New Roman"/>
                      <w:color w:val="FF0000"/>
                      <w:szCs w:val="21"/>
                    </w:rPr>
                    <w:t>水性漆</w:t>
                  </w:r>
                </w:p>
              </w:tc>
              <w:tc>
                <w:tcPr>
                  <w:tcW w:w="673" w:type="pct"/>
                  <w:tcBorders>
                    <w:tl2br w:val="nil"/>
                    <w:tr2bl w:val="nil"/>
                  </w:tcBorders>
                  <w:vAlign w:val="center"/>
                </w:tcPr>
                <w:p w14:paraId="7C23992C">
                  <w:pPr>
                    <w:jc w:val="center"/>
                    <w:rPr>
                      <w:rFonts w:ascii="Times New Roman" w:hAnsi="Times New Roman" w:cs="Times New Roman"/>
                      <w:color w:val="FF0000"/>
                      <w:szCs w:val="21"/>
                    </w:rPr>
                  </w:pPr>
                  <w:r>
                    <w:rPr>
                      <w:rFonts w:hint="eastAsia" w:ascii="Times New Roman" w:hAnsi="Times New Roman" w:cs="Times New Roman"/>
                      <w:color w:val="FF0000"/>
                      <w:szCs w:val="21"/>
                    </w:rPr>
                    <w:t>10</w:t>
                  </w:r>
                  <w:r>
                    <w:rPr>
                      <w:rFonts w:ascii="Times New Roman" w:hAnsi="Times New Roman" w:cs="Times New Roman"/>
                      <w:color w:val="FF0000"/>
                      <w:szCs w:val="21"/>
                    </w:rPr>
                    <w:t>t/a</w:t>
                  </w:r>
                </w:p>
              </w:tc>
              <w:tc>
                <w:tcPr>
                  <w:tcW w:w="929" w:type="pct"/>
                  <w:tcBorders>
                    <w:tl2br w:val="nil"/>
                    <w:tr2bl w:val="nil"/>
                  </w:tcBorders>
                  <w:vAlign w:val="center"/>
                </w:tcPr>
                <w:p w14:paraId="35F4803A">
                  <w:pPr>
                    <w:jc w:val="center"/>
                    <w:rPr>
                      <w:rFonts w:ascii="Times New Roman" w:hAnsi="Times New Roman" w:cs="Times New Roman"/>
                      <w:color w:val="FF0000"/>
                      <w:szCs w:val="21"/>
                    </w:rPr>
                  </w:pPr>
                  <w:r>
                    <w:rPr>
                      <w:rFonts w:hint="eastAsia" w:ascii="Times New Roman" w:hAnsi="Times New Roman" w:cs="Times New Roman"/>
                      <w:color w:val="FF0000"/>
                      <w:szCs w:val="21"/>
                      <w:lang w:val="en-US" w:eastAsia="zh-CN"/>
                    </w:rPr>
                    <w:t>5.764</w:t>
                  </w:r>
                  <w:r>
                    <w:rPr>
                      <w:rFonts w:ascii="Times New Roman" w:hAnsi="Times New Roman" w:cs="Times New Roman"/>
                      <w:color w:val="FF0000"/>
                      <w:szCs w:val="21"/>
                    </w:rPr>
                    <w:t>t/a</w:t>
                  </w:r>
                </w:p>
              </w:tc>
              <w:tc>
                <w:tcPr>
                  <w:tcW w:w="1185" w:type="pct"/>
                  <w:tcBorders>
                    <w:tl2br w:val="nil"/>
                    <w:tr2bl w:val="nil"/>
                  </w:tcBorders>
                  <w:vAlign w:val="center"/>
                </w:tcPr>
                <w:p w14:paraId="672397DF">
                  <w:pPr>
                    <w:jc w:val="center"/>
                    <w:rPr>
                      <w:rFonts w:ascii="Times New Roman" w:hAnsi="Times New Roman" w:cs="Times New Roman"/>
                      <w:color w:val="FF0000"/>
                      <w:szCs w:val="21"/>
                    </w:rPr>
                  </w:pPr>
                  <w:r>
                    <w:rPr>
                      <w:rFonts w:hint="eastAsia" w:ascii="Times New Roman" w:hAnsi="Times New Roman" w:cs="Times New Roman"/>
                      <w:color w:val="FF0000"/>
                      <w:szCs w:val="21"/>
                      <w:lang w:val="en-US" w:eastAsia="zh-CN"/>
                    </w:rPr>
                    <w:t>3.228</w:t>
                  </w:r>
                  <w:r>
                    <w:rPr>
                      <w:rFonts w:ascii="Times New Roman" w:hAnsi="Times New Roman" w:cs="Times New Roman"/>
                      <w:color w:val="FF0000"/>
                      <w:szCs w:val="21"/>
                    </w:rPr>
                    <w:t>t/a</w:t>
                  </w:r>
                </w:p>
              </w:tc>
              <w:tc>
                <w:tcPr>
                  <w:tcW w:w="835" w:type="pct"/>
                  <w:tcBorders>
                    <w:tl2br w:val="nil"/>
                    <w:tr2bl w:val="nil"/>
                  </w:tcBorders>
                  <w:vAlign w:val="center"/>
                </w:tcPr>
                <w:p w14:paraId="41AE3268">
                  <w:pPr>
                    <w:jc w:val="center"/>
                    <w:rPr>
                      <w:rFonts w:ascii="Times New Roman" w:hAnsi="Times New Roman" w:cs="Times New Roman"/>
                      <w:color w:val="FF0000"/>
                      <w:szCs w:val="21"/>
                    </w:rPr>
                  </w:pPr>
                  <w:r>
                    <w:rPr>
                      <w:rFonts w:hint="eastAsia" w:ascii="Times New Roman" w:hAnsi="Times New Roman" w:cs="Times New Roman"/>
                      <w:color w:val="FF0000"/>
                      <w:szCs w:val="21"/>
                    </w:rPr>
                    <w:t>1.</w:t>
                  </w:r>
                  <w:r>
                    <w:rPr>
                      <w:rFonts w:hint="eastAsia" w:ascii="Times New Roman" w:hAnsi="Times New Roman" w:cs="Times New Roman"/>
                      <w:color w:val="FF0000"/>
                      <w:szCs w:val="21"/>
                      <w:lang w:val="en-US" w:eastAsia="zh-CN"/>
                    </w:rPr>
                    <w:t>383</w:t>
                  </w:r>
                  <w:r>
                    <w:rPr>
                      <w:rFonts w:ascii="Times New Roman" w:hAnsi="Times New Roman" w:cs="Times New Roman"/>
                      <w:color w:val="FF0000"/>
                      <w:szCs w:val="21"/>
                    </w:rPr>
                    <w:t>t/a</w:t>
                  </w:r>
                </w:p>
              </w:tc>
            </w:tr>
          </w:tbl>
          <w:p w14:paraId="6CDDB88B">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综上，本项目喷漆工序污染物产生总量为：非甲烷总烃</w:t>
            </w:r>
            <w:r>
              <w:rPr>
                <w:rFonts w:hint="eastAsia" w:ascii="Times New Roman" w:hAnsi="Times New Roman" w:cs="Times New Roman"/>
                <w:sz w:val="24"/>
              </w:rPr>
              <w:t>0.829</w:t>
            </w:r>
            <w:r>
              <w:rPr>
                <w:rFonts w:ascii="Times New Roman" w:hAnsi="Times New Roman" w:cs="Times New Roman"/>
                <w:sz w:val="24"/>
              </w:rPr>
              <w:t>t/a，漆雾（颗粒物）</w:t>
            </w:r>
            <w:r>
              <w:rPr>
                <w:rFonts w:hint="eastAsia" w:ascii="Times New Roman" w:hAnsi="Times New Roman" w:cs="Times New Roman"/>
                <w:sz w:val="24"/>
              </w:rPr>
              <w:t>1.</w:t>
            </w:r>
            <w:r>
              <w:rPr>
                <w:rFonts w:hint="eastAsia" w:ascii="Times New Roman" w:hAnsi="Times New Roman" w:cs="Times New Roman"/>
                <w:sz w:val="24"/>
                <w:lang w:val="en-US" w:eastAsia="zh-CN"/>
              </w:rPr>
              <w:t>383</w:t>
            </w:r>
            <w:r>
              <w:rPr>
                <w:rFonts w:ascii="Times New Roman" w:hAnsi="Times New Roman" w:cs="Times New Roman"/>
                <w:sz w:val="24"/>
              </w:rPr>
              <w:t>t/a。</w:t>
            </w:r>
          </w:p>
          <w:p w14:paraId="197A8604">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本项目喷涂过程产生的废气主要为漆雾（颗粒物）和非甲烷总烃，整个喷涂过程以及</w:t>
            </w:r>
            <w:r>
              <w:rPr>
                <w:rFonts w:hint="eastAsia" w:ascii="Times New Roman" w:hAnsi="Times New Roman" w:cs="Times New Roman"/>
                <w:sz w:val="24"/>
              </w:rPr>
              <w:t>烘干</w:t>
            </w:r>
            <w:r>
              <w:rPr>
                <w:rFonts w:ascii="Times New Roman" w:hAnsi="Times New Roman" w:cs="Times New Roman"/>
                <w:sz w:val="24"/>
              </w:rPr>
              <w:t>、</w:t>
            </w:r>
            <w:r>
              <w:rPr>
                <w:rFonts w:hint="eastAsia" w:ascii="Times New Roman" w:hAnsi="Times New Roman" w:cs="Times New Roman"/>
                <w:sz w:val="24"/>
              </w:rPr>
              <w:t>调漆</w:t>
            </w:r>
            <w:r>
              <w:rPr>
                <w:rFonts w:ascii="Times New Roman" w:hAnsi="Times New Roman" w:cs="Times New Roman"/>
                <w:sz w:val="24"/>
              </w:rPr>
              <w:t>过程均处于全密闭且负压</w:t>
            </w:r>
            <w:r>
              <w:rPr>
                <w:rFonts w:hint="eastAsia" w:ascii="Times New Roman" w:hAnsi="Times New Roman" w:cs="Times New Roman"/>
                <w:sz w:val="24"/>
              </w:rPr>
              <w:t>的空间内</w:t>
            </w:r>
            <w:r>
              <w:rPr>
                <w:rFonts w:ascii="Times New Roman" w:hAnsi="Times New Roman" w:cs="Times New Roman"/>
                <w:sz w:val="24"/>
              </w:rPr>
              <w:t>，因此可视为收集效率为</w:t>
            </w:r>
            <w:r>
              <w:rPr>
                <w:rFonts w:hint="eastAsia" w:ascii="Times New Roman" w:hAnsi="Times New Roman" w:cs="Times New Roman"/>
                <w:sz w:val="24"/>
              </w:rPr>
              <w:t>95</w:t>
            </w:r>
            <w:r>
              <w:rPr>
                <w:rFonts w:ascii="Times New Roman" w:hAnsi="Times New Roman" w:cs="Times New Roman"/>
                <w:sz w:val="24"/>
              </w:rPr>
              <w:t>%，</w:t>
            </w:r>
            <w:r>
              <w:rPr>
                <w:rFonts w:hint="eastAsia" w:ascii="Times New Roman" w:hAnsi="Times New Roman" w:cs="Times New Roman"/>
                <w:sz w:val="24"/>
              </w:rPr>
              <w:t>仅有5</w:t>
            </w:r>
            <w:r>
              <w:rPr>
                <w:rFonts w:ascii="Times New Roman" w:hAnsi="Times New Roman" w:cs="Times New Roman"/>
                <w:sz w:val="24"/>
              </w:rPr>
              <w:t>%的有机废气以</w:t>
            </w:r>
            <w:r>
              <w:rPr>
                <w:rFonts w:hint="eastAsia" w:ascii="Times New Roman" w:hAnsi="Times New Roman" w:cs="Times New Roman"/>
                <w:sz w:val="24"/>
              </w:rPr>
              <w:t>在开门瞬间</w:t>
            </w:r>
            <w:r>
              <w:rPr>
                <w:rFonts w:ascii="Times New Roman" w:hAnsi="Times New Roman" w:cs="Times New Roman"/>
                <w:sz w:val="24"/>
              </w:rPr>
              <w:t>无组织形式外排。</w:t>
            </w:r>
          </w:p>
          <w:p w14:paraId="25EA4065">
            <w:pPr>
              <w:adjustRightInd w:val="0"/>
              <w:snapToGrid w:val="0"/>
              <w:spacing w:line="360" w:lineRule="auto"/>
              <w:ind w:firstLine="480" w:firstLineChars="200"/>
              <w:rPr>
                <w:rFonts w:ascii="Times New Roman" w:hAnsi="Times New Roman" w:cs="Times New Roman"/>
                <w:b/>
                <w:szCs w:val="21"/>
              </w:rPr>
            </w:pPr>
            <w:r>
              <w:rPr>
                <w:rFonts w:ascii="Times New Roman" w:hAnsi="Times New Roman" w:cs="Times New Roman"/>
                <w:sz w:val="24"/>
              </w:rPr>
              <w:t>收集到的废气经</w:t>
            </w:r>
            <w:r>
              <w:rPr>
                <w:rFonts w:hint="eastAsia" w:ascii="Times New Roman" w:hAnsi="Times New Roman" w:cs="Times New Roman"/>
                <w:sz w:val="24"/>
              </w:rPr>
              <w:t>干式过滤棉</w:t>
            </w:r>
            <w:r>
              <w:rPr>
                <w:rFonts w:ascii="Times New Roman" w:hAnsi="Times New Roman" w:cs="Times New Roman"/>
                <w:sz w:val="24"/>
              </w:rPr>
              <w:t>+</w:t>
            </w:r>
            <w:r>
              <w:rPr>
                <w:rFonts w:hint="eastAsia" w:ascii="Times New Roman" w:hAnsi="Times New Roman" w:cs="Times New Roman"/>
                <w:sz w:val="24"/>
              </w:rPr>
              <w:t>二级</w:t>
            </w:r>
            <w:r>
              <w:rPr>
                <w:rFonts w:ascii="Times New Roman" w:hAnsi="Times New Roman" w:cs="Times New Roman"/>
                <w:sz w:val="24"/>
              </w:rPr>
              <w:t>活性炭吸附处理后，最终通过15m高的排气筒（DA003）排放。考虑在实际工程中，设备分布、风管长度和转弯等因素会造成风力损失，额定风机量为</w:t>
            </w:r>
            <w:r>
              <w:rPr>
                <w:rFonts w:hint="eastAsia" w:ascii="Times New Roman" w:hAnsi="Times New Roman" w:cs="Times New Roman"/>
                <w:sz w:val="24"/>
              </w:rPr>
              <w:t>1</w:t>
            </w:r>
            <w:r>
              <w:rPr>
                <w:rFonts w:ascii="Times New Roman" w:hAnsi="Times New Roman" w:cs="Times New Roman"/>
                <w:sz w:val="24"/>
              </w:rPr>
              <w:t>0000m</w:t>
            </w:r>
            <w:r>
              <w:rPr>
                <w:rFonts w:ascii="Times New Roman" w:hAnsi="Times New Roman" w:cs="Times New Roman"/>
                <w:sz w:val="24"/>
                <w:vertAlign w:val="superscript"/>
              </w:rPr>
              <w:t>3</w:t>
            </w:r>
            <w:r>
              <w:rPr>
                <w:rFonts w:ascii="Times New Roman" w:hAnsi="Times New Roman" w:cs="Times New Roman"/>
                <w:sz w:val="24"/>
              </w:rPr>
              <w:t>/h计</w:t>
            </w:r>
            <w:r>
              <w:rPr>
                <w:rFonts w:hint="eastAsia" w:ascii="Times New Roman" w:hAnsi="Times New Roman" w:cs="Times New Roman"/>
                <w:sz w:val="24"/>
              </w:rPr>
              <w:t>，</w:t>
            </w:r>
            <w:r>
              <w:rPr>
                <w:rFonts w:ascii="Times New Roman" w:hAnsi="Times New Roman" w:cs="Times New Roman"/>
                <w:sz w:val="24"/>
              </w:rPr>
              <w:t>项目废气污染物排放情况如下表所示。</w:t>
            </w:r>
          </w:p>
          <w:p w14:paraId="36077C24">
            <w:pPr>
              <w:tabs>
                <w:tab w:val="left" w:pos="600"/>
              </w:tabs>
              <w:adjustRightInd w:val="0"/>
              <w:snapToGrid w:val="0"/>
              <w:jc w:val="center"/>
              <w:rPr>
                <w:rFonts w:ascii="Times New Roman" w:hAnsi="Times New Roman" w:cs="Times New Roman"/>
                <w:b/>
                <w:szCs w:val="21"/>
              </w:rPr>
            </w:pPr>
            <w:r>
              <w:rPr>
                <w:rFonts w:ascii="Times New Roman" w:hAnsi="Times New Roman" w:cs="Times New Roman"/>
                <w:b/>
                <w:szCs w:val="21"/>
              </w:rPr>
              <w:t>表4-</w:t>
            </w:r>
            <w:r>
              <w:rPr>
                <w:rFonts w:hint="eastAsia" w:ascii="Times New Roman" w:hAnsi="Times New Roman" w:cs="Times New Roman"/>
                <w:b/>
                <w:szCs w:val="21"/>
              </w:rPr>
              <w:t xml:space="preserve">4    </w:t>
            </w:r>
            <w:r>
              <w:rPr>
                <w:rFonts w:ascii="Times New Roman" w:hAnsi="Times New Roman" w:cs="Times New Roman"/>
                <w:b/>
                <w:szCs w:val="21"/>
              </w:rPr>
              <w:t>喷涂废气有组织产排情况</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913"/>
              <w:gridCol w:w="1099"/>
              <w:gridCol w:w="1264"/>
              <w:gridCol w:w="1234"/>
              <w:gridCol w:w="903"/>
              <w:gridCol w:w="1074"/>
              <w:gridCol w:w="1265"/>
            </w:tblGrid>
            <w:tr w14:paraId="4277A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353" w:type="pct"/>
                  <w:tcBorders>
                    <w:tl2br w:val="nil"/>
                    <w:tr2bl w:val="nil"/>
                  </w:tcBorders>
                  <w:vAlign w:val="center"/>
                </w:tcPr>
                <w:p w14:paraId="2DE908B6">
                  <w:pPr>
                    <w:adjustRightInd w:val="0"/>
                    <w:snapToGrid w:val="0"/>
                    <w:jc w:val="center"/>
                    <w:rPr>
                      <w:rFonts w:ascii="Times New Roman" w:hAnsi="Times New Roman" w:cs="Times New Roman"/>
                      <w:b/>
                      <w:szCs w:val="21"/>
                    </w:rPr>
                  </w:pPr>
                  <w:r>
                    <w:rPr>
                      <w:rFonts w:ascii="Times New Roman" w:hAnsi="Times New Roman" w:cs="Times New Roman"/>
                      <w:b/>
                      <w:szCs w:val="21"/>
                    </w:rPr>
                    <w:t>项目</w:t>
                  </w:r>
                </w:p>
              </w:tc>
              <w:tc>
                <w:tcPr>
                  <w:tcW w:w="547" w:type="pct"/>
                  <w:tcBorders>
                    <w:tl2br w:val="nil"/>
                    <w:tr2bl w:val="nil"/>
                  </w:tcBorders>
                  <w:vAlign w:val="center"/>
                </w:tcPr>
                <w:p w14:paraId="2ED59BD2">
                  <w:pPr>
                    <w:adjustRightInd w:val="0"/>
                    <w:snapToGrid w:val="0"/>
                    <w:jc w:val="center"/>
                    <w:rPr>
                      <w:rFonts w:ascii="Times New Roman" w:hAnsi="Times New Roman" w:cs="Times New Roman"/>
                      <w:b/>
                      <w:szCs w:val="21"/>
                    </w:rPr>
                  </w:pPr>
                  <w:r>
                    <w:rPr>
                      <w:rFonts w:ascii="Times New Roman" w:hAnsi="Times New Roman" w:cs="Times New Roman"/>
                      <w:b/>
                      <w:szCs w:val="21"/>
                    </w:rPr>
                    <w:t>产生量</w:t>
                  </w:r>
                </w:p>
                <w:p w14:paraId="005490BC">
                  <w:pPr>
                    <w:adjustRightInd w:val="0"/>
                    <w:snapToGrid w:val="0"/>
                    <w:jc w:val="center"/>
                    <w:rPr>
                      <w:rFonts w:ascii="Times New Roman" w:hAnsi="Times New Roman" w:cs="Times New Roman"/>
                      <w:b/>
                      <w:szCs w:val="21"/>
                    </w:rPr>
                  </w:pPr>
                  <w:r>
                    <w:rPr>
                      <w:rFonts w:ascii="Times New Roman" w:hAnsi="Times New Roman" w:cs="Times New Roman"/>
                      <w:b/>
                      <w:szCs w:val="21"/>
                    </w:rPr>
                    <w:t>（t/a）</w:t>
                  </w:r>
                </w:p>
              </w:tc>
              <w:tc>
                <w:tcPr>
                  <w:tcW w:w="658" w:type="pct"/>
                  <w:tcBorders>
                    <w:tl2br w:val="nil"/>
                    <w:tr2bl w:val="nil"/>
                  </w:tcBorders>
                  <w:vAlign w:val="center"/>
                </w:tcPr>
                <w:p w14:paraId="6B424963">
                  <w:pPr>
                    <w:adjustRightInd w:val="0"/>
                    <w:snapToGrid w:val="0"/>
                    <w:jc w:val="center"/>
                    <w:rPr>
                      <w:rFonts w:ascii="Times New Roman" w:hAnsi="Times New Roman" w:cs="Times New Roman"/>
                      <w:b/>
                      <w:szCs w:val="21"/>
                    </w:rPr>
                  </w:pPr>
                  <w:r>
                    <w:rPr>
                      <w:rFonts w:ascii="Times New Roman" w:hAnsi="Times New Roman" w:cs="Times New Roman"/>
                      <w:b/>
                      <w:szCs w:val="21"/>
                    </w:rPr>
                    <w:t>产生速率</w:t>
                  </w:r>
                </w:p>
                <w:p w14:paraId="671023BD">
                  <w:pPr>
                    <w:adjustRightInd w:val="0"/>
                    <w:snapToGrid w:val="0"/>
                    <w:jc w:val="center"/>
                    <w:rPr>
                      <w:rFonts w:ascii="Times New Roman" w:hAnsi="Times New Roman" w:cs="Times New Roman"/>
                      <w:b/>
                      <w:szCs w:val="21"/>
                    </w:rPr>
                  </w:pPr>
                  <w:r>
                    <w:rPr>
                      <w:rFonts w:ascii="Times New Roman" w:hAnsi="Times New Roman" w:cs="Times New Roman"/>
                      <w:b/>
                      <w:szCs w:val="21"/>
                    </w:rPr>
                    <w:t>（kg/h）</w:t>
                  </w:r>
                </w:p>
              </w:tc>
              <w:tc>
                <w:tcPr>
                  <w:tcW w:w="757" w:type="pct"/>
                  <w:tcBorders>
                    <w:tl2br w:val="nil"/>
                    <w:tr2bl w:val="nil"/>
                  </w:tcBorders>
                  <w:vAlign w:val="center"/>
                </w:tcPr>
                <w:p w14:paraId="36C82832">
                  <w:pPr>
                    <w:adjustRightInd w:val="0"/>
                    <w:snapToGrid w:val="0"/>
                    <w:jc w:val="center"/>
                    <w:rPr>
                      <w:rFonts w:ascii="Times New Roman" w:hAnsi="Times New Roman" w:cs="Times New Roman"/>
                      <w:b/>
                      <w:szCs w:val="21"/>
                    </w:rPr>
                  </w:pPr>
                  <w:r>
                    <w:rPr>
                      <w:rFonts w:ascii="Times New Roman" w:hAnsi="Times New Roman" w:cs="Times New Roman"/>
                      <w:b/>
                      <w:szCs w:val="21"/>
                    </w:rPr>
                    <w:t>产生浓度</w:t>
                  </w:r>
                </w:p>
                <w:p w14:paraId="2BA5ACEC">
                  <w:pPr>
                    <w:adjustRightInd w:val="0"/>
                    <w:snapToGrid w:val="0"/>
                    <w:jc w:val="center"/>
                    <w:rPr>
                      <w:rFonts w:ascii="Times New Roman" w:hAnsi="Times New Roman" w:cs="Times New Roman"/>
                      <w:b/>
                      <w:szCs w:val="21"/>
                    </w:rPr>
                  </w:pPr>
                  <w:r>
                    <w:rPr>
                      <w:rFonts w:ascii="Times New Roman" w:hAnsi="Times New Roman" w:cs="Times New Roman"/>
                      <w:b/>
                      <w:szCs w:val="21"/>
                    </w:rPr>
                    <w:t>（mg/m</w:t>
                  </w:r>
                  <w:r>
                    <w:rPr>
                      <w:rFonts w:ascii="Times New Roman" w:hAnsi="Times New Roman" w:cs="Times New Roman"/>
                      <w:b/>
                      <w:szCs w:val="21"/>
                      <w:vertAlign w:val="superscript"/>
                    </w:rPr>
                    <w:t>3</w:t>
                  </w:r>
                  <w:r>
                    <w:rPr>
                      <w:rFonts w:ascii="Times New Roman" w:hAnsi="Times New Roman" w:cs="Times New Roman"/>
                      <w:b/>
                      <w:szCs w:val="21"/>
                    </w:rPr>
                    <w:t>）</w:t>
                  </w:r>
                </w:p>
              </w:tc>
              <w:tc>
                <w:tcPr>
                  <w:tcW w:w="739" w:type="pct"/>
                  <w:tcBorders>
                    <w:tl2br w:val="nil"/>
                    <w:tr2bl w:val="nil"/>
                  </w:tcBorders>
                  <w:vAlign w:val="center"/>
                </w:tcPr>
                <w:p w14:paraId="65E65CF5">
                  <w:pPr>
                    <w:adjustRightInd w:val="0"/>
                    <w:snapToGrid w:val="0"/>
                    <w:jc w:val="center"/>
                    <w:rPr>
                      <w:rFonts w:ascii="Times New Roman" w:hAnsi="Times New Roman" w:cs="Times New Roman"/>
                      <w:b/>
                      <w:szCs w:val="21"/>
                    </w:rPr>
                  </w:pPr>
                  <w:r>
                    <w:rPr>
                      <w:rFonts w:ascii="Times New Roman" w:hAnsi="Times New Roman" w:cs="Times New Roman"/>
                      <w:b/>
                      <w:szCs w:val="21"/>
                    </w:rPr>
                    <w:t>参数</w:t>
                  </w:r>
                </w:p>
              </w:tc>
              <w:tc>
                <w:tcPr>
                  <w:tcW w:w="541" w:type="pct"/>
                  <w:tcBorders>
                    <w:tl2br w:val="nil"/>
                    <w:tr2bl w:val="nil"/>
                  </w:tcBorders>
                  <w:vAlign w:val="center"/>
                </w:tcPr>
                <w:p w14:paraId="4FF6A062">
                  <w:pPr>
                    <w:adjustRightInd w:val="0"/>
                    <w:snapToGrid w:val="0"/>
                    <w:jc w:val="center"/>
                    <w:rPr>
                      <w:rFonts w:ascii="Times New Roman" w:hAnsi="Times New Roman" w:cs="Times New Roman"/>
                      <w:b/>
                      <w:szCs w:val="21"/>
                    </w:rPr>
                  </w:pPr>
                  <w:r>
                    <w:rPr>
                      <w:rFonts w:ascii="Times New Roman" w:hAnsi="Times New Roman" w:cs="Times New Roman"/>
                      <w:b/>
                      <w:szCs w:val="21"/>
                    </w:rPr>
                    <w:t>排放量</w:t>
                  </w:r>
                </w:p>
                <w:p w14:paraId="018F5A2A">
                  <w:pPr>
                    <w:adjustRightInd w:val="0"/>
                    <w:snapToGrid w:val="0"/>
                    <w:jc w:val="center"/>
                    <w:rPr>
                      <w:rFonts w:ascii="Times New Roman" w:hAnsi="Times New Roman" w:cs="Times New Roman"/>
                      <w:b/>
                      <w:szCs w:val="21"/>
                    </w:rPr>
                  </w:pPr>
                  <w:r>
                    <w:rPr>
                      <w:rFonts w:ascii="Times New Roman" w:hAnsi="Times New Roman" w:cs="Times New Roman"/>
                      <w:b/>
                      <w:szCs w:val="21"/>
                    </w:rPr>
                    <w:t>（t/a）</w:t>
                  </w:r>
                </w:p>
              </w:tc>
              <w:tc>
                <w:tcPr>
                  <w:tcW w:w="643" w:type="pct"/>
                  <w:tcBorders>
                    <w:tl2br w:val="nil"/>
                    <w:tr2bl w:val="nil"/>
                  </w:tcBorders>
                  <w:vAlign w:val="center"/>
                </w:tcPr>
                <w:p w14:paraId="727B26BC">
                  <w:pPr>
                    <w:adjustRightInd w:val="0"/>
                    <w:snapToGrid w:val="0"/>
                    <w:jc w:val="center"/>
                    <w:rPr>
                      <w:rFonts w:ascii="Times New Roman" w:hAnsi="Times New Roman" w:cs="Times New Roman"/>
                      <w:b/>
                      <w:szCs w:val="21"/>
                    </w:rPr>
                  </w:pPr>
                  <w:r>
                    <w:rPr>
                      <w:rFonts w:ascii="Times New Roman" w:hAnsi="Times New Roman" w:cs="Times New Roman"/>
                      <w:b/>
                      <w:szCs w:val="21"/>
                    </w:rPr>
                    <w:t>排放</w:t>
                  </w:r>
                </w:p>
                <w:p w14:paraId="226AA07F">
                  <w:pPr>
                    <w:adjustRightInd w:val="0"/>
                    <w:snapToGrid w:val="0"/>
                    <w:jc w:val="center"/>
                    <w:rPr>
                      <w:rFonts w:ascii="Times New Roman" w:hAnsi="Times New Roman" w:cs="Times New Roman"/>
                      <w:b/>
                      <w:szCs w:val="21"/>
                    </w:rPr>
                  </w:pPr>
                  <w:r>
                    <w:rPr>
                      <w:rFonts w:ascii="Times New Roman" w:hAnsi="Times New Roman" w:cs="Times New Roman"/>
                      <w:b/>
                      <w:szCs w:val="21"/>
                    </w:rPr>
                    <w:t>速率</w:t>
                  </w:r>
                </w:p>
                <w:p w14:paraId="79791D32">
                  <w:pPr>
                    <w:adjustRightInd w:val="0"/>
                    <w:snapToGrid w:val="0"/>
                    <w:jc w:val="center"/>
                    <w:rPr>
                      <w:rFonts w:ascii="Times New Roman" w:hAnsi="Times New Roman" w:cs="Times New Roman"/>
                      <w:b/>
                      <w:szCs w:val="21"/>
                    </w:rPr>
                  </w:pPr>
                  <w:r>
                    <w:rPr>
                      <w:rFonts w:ascii="Times New Roman" w:hAnsi="Times New Roman" w:cs="Times New Roman"/>
                      <w:b/>
                      <w:szCs w:val="21"/>
                    </w:rPr>
                    <w:t>（kg/h）</w:t>
                  </w:r>
                </w:p>
              </w:tc>
              <w:tc>
                <w:tcPr>
                  <w:tcW w:w="757" w:type="pct"/>
                  <w:tcBorders>
                    <w:tl2br w:val="nil"/>
                    <w:tr2bl w:val="nil"/>
                  </w:tcBorders>
                  <w:vAlign w:val="center"/>
                </w:tcPr>
                <w:p w14:paraId="2A7A0765">
                  <w:pPr>
                    <w:adjustRightInd w:val="0"/>
                    <w:snapToGrid w:val="0"/>
                    <w:jc w:val="center"/>
                    <w:rPr>
                      <w:rFonts w:ascii="Times New Roman" w:hAnsi="Times New Roman" w:cs="Times New Roman"/>
                      <w:b/>
                      <w:szCs w:val="21"/>
                    </w:rPr>
                  </w:pPr>
                  <w:r>
                    <w:rPr>
                      <w:rFonts w:ascii="Times New Roman" w:hAnsi="Times New Roman" w:cs="Times New Roman"/>
                      <w:b/>
                      <w:szCs w:val="21"/>
                    </w:rPr>
                    <w:t>排放浓度</w:t>
                  </w:r>
                </w:p>
                <w:p w14:paraId="12FA0C6F">
                  <w:pPr>
                    <w:adjustRightInd w:val="0"/>
                    <w:snapToGrid w:val="0"/>
                    <w:jc w:val="center"/>
                    <w:rPr>
                      <w:rFonts w:ascii="Times New Roman" w:hAnsi="Times New Roman" w:cs="Times New Roman"/>
                      <w:b/>
                      <w:szCs w:val="21"/>
                    </w:rPr>
                  </w:pPr>
                  <w:r>
                    <w:rPr>
                      <w:rFonts w:ascii="Times New Roman" w:hAnsi="Times New Roman" w:cs="Times New Roman"/>
                      <w:b/>
                      <w:szCs w:val="21"/>
                    </w:rPr>
                    <w:t>（mg/m</w:t>
                  </w:r>
                  <w:r>
                    <w:rPr>
                      <w:rFonts w:ascii="Times New Roman" w:hAnsi="Times New Roman" w:cs="Times New Roman"/>
                      <w:b/>
                      <w:szCs w:val="21"/>
                      <w:vertAlign w:val="superscript"/>
                    </w:rPr>
                    <w:t>3</w:t>
                  </w:r>
                  <w:r>
                    <w:rPr>
                      <w:rFonts w:ascii="Times New Roman" w:hAnsi="Times New Roman" w:cs="Times New Roman"/>
                      <w:b/>
                      <w:szCs w:val="21"/>
                    </w:rPr>
                    <w:t>）</w:t>
                  </w:r>
                </w:p>
              </w:tc>
            </w:tr>
            <w:tr w14:paraId="04F775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353" w:type="pct"/>
                  <w:tcBorders>
                    <w:tl2br w:val="nil"/>
                    <w:tr2bl w:val="nil"/>
                  </w:tcBorders>
                  <w:vAlign w:val="center"/>
                </w:tcPr>
                <w:p w14:paraId="43D15519">
                  <w:pPr>
                    <w:adjustRightInd w:val="0"/>
                    <w:snapToGrid w:val="0"/>
                    <w:jc w:val="center"/>
                    <w:rPr>
                      <w:rFonts w:ascii="Times New Roman" w:hAnsi="Times New Roman" w:eastAsia="宋体" w:cs="Times New Roman"/>
                      <w:szCs w:val="21"/>
                    </w:rPr>
                  </w:pPr>
                  <w:r>
                    <w:rPr>
                      <w:rFonts w:ascii="Times New Roman" w:hAnsi="Times New Roman" w:cs="Times New Roman"/>
                      <w:szCs w:val="21"/>
                    </w:rPr>
                    <w:t>漆雾</w:t>
                  </w:r>
                </w:p>
              </w:tc>
              <w:tc>
                <w:tcPr>
                  <w:tcW w:w="547" w:type="pct"/>
                  <w:tcBorders>
                    <w:tl2br w:val="nil"/>
                    <w:tr2bl w:val="nil"/>
                  </w:tcBorders>
                  <w:vAlign w:val="center"/>
                </w:tcPr>
                <w:p w14:paraId="539C023C">
                  <w:pPr>
                    <w:adjustRightInd w:val="0"/>
                    <w:snapToGrid w:val="0"/>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rPr>
                    <w:t>1.</w:t>
                  </w:r>
                  <w:r>
                    <w:rPr>
                      <w:rFonts w:hint="eastAsia" w:ascii="Times New Roman" w:hAnsi="Times New Roman" w:eastAsia="宋体" w:cs="Times New Roman"/>
                      <w:color w:val="FF0000"/>
                      <w:szCs w:val="21"/>
                      <w:lang w:val="en-US" w:eastAsia="zh-CN"/>
                    </w:rPr>
                    <w:t>383</w:t>
                  </w:r>
                </w:p>
              </w:tc>
              <w:tc>
                <w:tcPr>
                  <w:tcW w:w="658" w:type="pct"/>
                  <w:tcBorders>
                    <w:tl2br w:val="nil"/>
                    <w:tr2bl w:val="nil"/>
                  </w:tcBorders>
                  <w:vAlign w:val="center"/>
                </w:tcPr>
                <w:p w14:paraId="4E5FC8BF">
                  <w:pPr>
                    <w:adjustRightInd w:val="0"/>
                    <w:snapToGrid w:val="0"/>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rPr>
                    <w:t>1.</w:t>
                  </w:r>
                  <w:r>
                    <w:rPr>
                      <w:rFonts w:hint="eastAsia" w:ascii="Times New Roman" w:hAnsi="Times New Roman" w:eastAsia="宋体" w:cs="Times New Roman"/>
                      <w:color w:val="FF0000"/>
                      <w:szCs w:val="21"/>
                      <w:lang w:val="en-US" w:eastAsia="zh-CN"/>
                    </w:rPr>
                    <w:t>15</w:t>
                  </w:r>
                </w:p>
              </w:tc>
              <w:tc>
                <w:tcPr>
                  <w:tcW w:w="757" w:type="pct"/>
                  <w:tcBorders>
                    <w:tl2br w:val="nil"/>
                    <w:tr2bl w:val="nil"/>
                  </w:tcBorders>
                  <w:vAlign w:val="center"/>
                </w:tcPr>
                <w:p w14:paraId="69264A68">
                  <w:pPr>
                    <w:adjustRightInd w:val="0"/>
                    <w:snapToGrid w:val="0"/>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rPr>
                    <w:t>1</w:t>
                  </w:r>
                  <w:r>
                    <w:rPr>
                      <w:rFonts w:hint="eastAsia" w:ascii="Times New Roman" w:hAnsi="Times New Roman" w:eastAsia="宋体" w:cs="Times New Roman"/>
                      <w:color w:val="FF0000"/>
                      <w:szCs w:val="21"/>
                      <w:lang w:val="en-US" w:eastAsia="zh-CN"/>
                    </w:rPr>
                    <w:t>15</w:t>
                  </w:r>
                </w:p>
              </w:tc>
              <w:tc>
                <w:tcPr>
                  <w:tcW w:w="739" w:type="pct"/>
                  <w:vMerge w:val="restart"/>
                  <w:tcBorders>
                    <w:tl2br w:val="nil"/>
                    <w:tr2bl w:val="nil"/>
                  </w:tcBorders>
                  <w:vAlign w:val="center"/>
                </w:tcPr>
                <w:p w14:paraId="48178D00">
                  <w:pPr>
                    <w:adjustRightInd w:val="0"/>
                    <w:snapToGrid w:val="0"/>
                    <w:jc w:val="center"/>
                    <w:rPr>
                      <w:rFonts w:ascii="Times New Roman" w:hAnsi="Times New Roman" w:cs="Times New Roman"/>
                      <w:szCs w:val="21"/>
                    </w:rPr>
                  </w:pPr>
                  <w:r>
                    <w:rPr>
                      <w:rFonts w:ascii="Times New Roman" w:hAnsi="Times New Roman" w:cs="Times New Roman"/>
                      <w:szCs w:val="21"/>
                    </w:rPr>
                    <w:t>废气收集效率为9</w:t>
                  </w:r>
                  <w:r>
                    <w:rPr>
                      <w:rFonts w:hint="eastAsia" w:ascii="Times New Roman" w:hAnsi="Times New Roman" w:cs="Times New Roman"/>
                      <w:szCs w:val="21"/>
                    </w:rPr>
                    <w:t>5</w:t>
                  </w:r>
                  <w:r>
                    <w:rPr>
                      <w:rFonts w:ascii="Times New Roman" w:hAnsi="Times New Roman" w:cs="Times New Roman"/>
                      <w:szCs w:val="21"/>
                    </w:rPr>
                    <w:t>%</w:t>
                  </w:r>
                </w:p>
                <w:p w14:paraId="19E9C1CC">
                  <w:pPr>
                    <w:adjustRightInd w:val="0"/>
                    <w:snapToGrid w:val="0"/>
                    <w:jc w:val="center"/>
                    <w:rPr>
                      <w:rFonts w:ascii="Times New Roman" w:hAnsi="Times New Roman" w:cs="Times New Roman"/>
                      <w:szCs w:val="21"/>
                    </w:rPr>
                  </w:pPr>
                  <w:r>
                    <w:rPr>
                      <w:rFonts w:ascii="Times New Roman" w:hAnsi="Times New Roman" w:cs="Times New Roman"/>
                      <w:szCs w:val="21"/>
                    </w:rPr>
                    <w:t>风量</w:t>
                  </w:r>
                  <w:r>
                    <w:rPr>
                      <w:rFonts w:hint="eastAsia" w:ascii="Times New Roman" w:hAnsi="Times New Roman" w:cs="Times New Roman"/>
                      <w:szCs w:val="21"/>
                    </w:rPr>
                    <w:t>10</w:t>
                  </w:r>
                  <w:r>
                    <w:rPr>
                      <w:rFonts w:ascii="Times New Roman" w:hAnsi="Times New Roman" w:cs="Times New Roman"/>
                      <w:szCs w:val="21"/>
                    </w:rPr>
                    <w:t>000m</w:t>
                  </w:r>
                  <w:r>
                    <w:rPr>
                      <w:rFonts w:ascii="Times New Roman" w:hAnsi="Times New Roman" w:cs="Times New Roman"/>
                      <w:szCs w:val="21"/>
                      <w:vertAlign w:val="superscript"/>
                    </w:rPr>
                    <w:t>3</w:t>
                  </w:r>
                  <w:r>
                    <w:rPr>
                      <w:rFonts w:ascii="Times New Roman" w:hAnsi="Times New Roman" w:cs="Times New Roman"/>
                      <w:szCs w:val="21"/>
                    </w:rPr>
                    <w:t>/h</w:t>
                  </w:r>
                </w:p>
                <w:p w14:paraId="5A9279A0">
                  <w:pPr>
                    <w:adjustRightInd w:val="0"/>
                    <w:snapToGrid w:val="0"/>
                    <w:jc w:val="center"/>
                    <w:rPr>
                      <w:rFonts w:hint="default" w:ascii="Times New Roman" w:hAnsi="Times New Roman" w:cs="Times New Roman" w:eastAsiaTheme="minorEastAsia"/>
                      <w:color w:val="FF0000"/>
                      <w:szCs w:val="21"/>
                      <w:lang w:val="en-US" w:eastAsia="zh-CN"/>
                    </w:rPr>
                  </w:pPr>
                  <w:r>
                    <w:rPr>
                      <w:rFonts w:ascii="Times New Roman" w:hAnsi="Times New Roman" w:cs="Times New Roman"/>
                      <w:szCs w:val="21"/>
                    </w:rPr>
                    <w:t>排气筒高度15m，</w:t>
                  </w:r>
                  <w:r>
                    <w:rPr>
                      <w:rFonts w:hint="eastAsia" w:ascii="Times New Roman" w:hAnsi="Times New Roman" w:cs="Times New Roman"/>
                      <w:color w:val="FF0000"/>
                      <w:szCs w:val="21"/>
                      <w:lang w:val="en-US" w:eastAsia="zh-CN"/>
                    </w:rPr>
                    <w:t>过滤棉去除效率85%，</w:t>
                  </w:r>
                </w:p>
                <w:p w14:paraId="36A84FF6">
                  <w:pPr>
                    <w:adjustRightInd w:val="0"/>
                    <w:snapToGrid w:val="0"/>
                    <w:jc w:val="center"/>
                    <w:rPr>
                      <w:rFonts w:ascii="Times New Roman" w:hAnsi="Times New Roman" w:eastAsia="宋体" w:cs="Times New Roman"/>
                      <w:szCs w:val="21"/>
                    </w:rPr>
                  </w:pPr>
                  <w:r>
                    <w:rPr>
                      <w:rFonts w:hint="eastAsia" w:ascii="Times New Roman" w:hAnsi="Times New Roman" w:cs="Times New Roman"/>
                      <w:color w:val="FF0000"/>
                      <w:szCs w:val="21"/>
                      <w:lang w:val="en-US" w:eastAsia="zh-CN"/>
                    </w:rPr>
                    <w:t>二级活性炭</w:t>
                  </w:r>
                  <w:commentRangeStart w:id="44"/>
                  <w:r>
                    <w:rPr>
                      <w:rFonts w:ascii="Times New Roman" w:hAnsi="Times New Roman" w:cs="Times New Roman"/>
                      <w:color w:val="FF0000"/>
                      <w:szCs w:val="21"/>
                    </w:rPr>
                    <w:t>去除率</w:t>
                  </w:r>
                  <w:r>
                    <w:rPr>
                      <w:rFonts w:hint="eastAsia" w:ascii="Times New Roman" w:hAnsi="Times New Roman" w:cs="Times New Roman"/>
                      <w:color w:val="FF0000"/>
                      <w:szCs w:val="21"/>
                      <w:lang w:val="en-US" w:eastAsia="zh-CN"/>
                    </w:rPr>
                    <w:t>60</w:t>
                  </w:r>
                  <w:r>
                    <w:rPr>
                      <w:rFonts w:ascii="Times New Roman" w:hAnsi="Times New Roman" w:cs="Times New Roman"/>
                      <w:color w:val="FF0000"/>
                      <w:szCs w:val="21"/>
                    </w:rPr>
                    <w:t>%</w:t>
                  </w:r>
                  <w:commentRangeEnd w:id="44"/>
                  <w:r>
                    <w:rPr>
                      <w:color w:val="FF0000"/>
                    </w:rPr>
                    <w:commentReference w:id="44"/>
                  </w:r>
                </w:p>
              </w:tc>
              <w:tc>
                <w:tcPr>
                  <w:tcW w:w="541" w:type="pct"/>
                  <w:tcBorders>
                    <w:tl2br w:val="nil"/>
                    <w:tr2bl w:val="nil"/>
                  </w:tcBorders>
                  <w:vAlign w:val="center"/>
                </w:tcPr>
                <w:p w14:paraId="0C9BD653">
                  <w:pPr>
                    <w:adjustRightInd w:val="0"/>
                    <w:snapToGrid w:val="0"/>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rPr>
                    <w:t>0.</w:t>
                  </w:r>
                  <w:r>
                    <w:rPr>
                      <w:rFonts w:hint="eastAsia" w:ascii="Times New Roman" w:hAnsi="Times New Roman" w:eastAsia="宋体" w:cs="Times New Roman"/>
                      <w:color w:val="FF0000"/>
                      <w:szCs w:val="21"/>
                      <w:lang w:val="en-US" w:eastAsia="zh-CN"/>
                    </w:rPr>
                    <w:t>197</w:t>
                  </w:r>
                </w:p>
              </w:tc>
              <w:tc>
                <w:tcPr>
                  <w:tcW w:w="643" w:type="pct"/>
                  <w:tcBorders>
                    <w:tl2br w:val="nil"/>
                    <w:tr2bl w:val="nil"/>
                  </w:tcBorders>
                  <w:vAlign w:val="center"/>
                </w:tcPr>
                <w:p w14:paraId="7F727634">
                  <w:pPr>
                    <w:adjustRightInd w:val="0"/>
                    <w:snapToGrid w:val="0"/>
                    <w:jc w:val="center"/>
                    <w:rPr>
                      <w:rFonts w:hint="eastAsia" w:ascii="Times New Roman" w:hAnsi="Times New Roman" w:eastAsia="宋体" w:cs="Times New Roman"/>
                      <w:color w:val="FF0000"/>
                      <w:szCs w:val="21"/>
                      <w:lang w:eastAsia="zh-CN"/>
                    </w:rPr>
                  </w:pPr>
                  <w:r>
                    <w:rPr>
                      <w:rFonts w:hint="eastAsia" w:ascii="Times New Roman" w:hAnsi="Times New Roman" w:eastAsia="宋体" w:cs="Times New Roman"/>
                      <w:color w:val="FF0000"/>
                      <w:szCs w:val="21"/>
                    </w:rPr>
                    <w:t>0.1</w:t>
                  </w:r>
                  <w:r>
                    <w:rPr>
                      <w:rFonts w:hint="eastAsia" w:ascii="Times New Roman" w:hAnsi="Times New Roman" w:eastAsia="宋体" w:cs="Times New Roman"/>
                      <w:color w:val="FF0000"/>
                      <w:szCs w:val="21"/>
                      <w:lang w:val="en-US" w:eastAsia="zh-CN"/>
                    </w:rPr>
                    <w:t>6</w:t>
                  </w:r>
                </w:p>
              </w:tc>
              <w:tc>
                <w:tcPr>
                  <w:tcW w:w="757" w:type="pct"/>
                  <w:tcBorders>
                    <w:tl2br w:val="nil"/>
                    <w:tr2bl w:val="nil"/>
                  </w:tcBorders>
                  <w:vAlign w:val="center"/>
                </w:tcPr>
                <w:p w14:paraId="34A2A4C4">
                  <w:pPr>
                    <w:adjustRightInd w:val="0"/>
                    <w:snapToGrid w:val="0"/>
                    <w:jc w:val="center"/>
                    <w:rPr>
                      <w:rFonts w:hint="eastAsia" w:ascii="Times New Roman" w:hAnsi="Times New Roman" w:eastAsia="宋体" w:cs="Times New Roman"/>
                      <w:color w:val="FF0000"/>
                      <w:szCs w:val="21"/>
                      <w:lang w:eastAsia="zh-CN"/>
                    </w:rPr>
                  </w:pPr>
                  <w:r>
                    <w:rPr>
                      <w:rFonts w:hint="eastAsia" w:ascii="Times New Roman" w:hAnsi="Times New Roman" w:eastAsia="宋体" w:cs="Times New Roman"/>
                      <w:color w:val="FF0000"/>
                      <w:szCs w:val="21"/>
                    </w:rPr>
                    <w:t>1</w:t>
                  </w:r>
                  <w:r>
                    <w:rPr>
                      <w:rFonts w:hint="eastAsia" w:ascii="Times New Roman" w:hAnsi="Times New Roman" w:eastAsia="宋体" w:cs="Times New Roman"/>
                      <w:color w:val="FF0000"/>
                      <w:szCs w:val="21"/>
                      <w:lang w:val="en-US" w:eastAsia="zh-CN"/>
                    </w:rPr>
                    <w:t>6</w:t>
                  </w:r>
                </w:p>
              </w:tc>
            </w:tr>
            <w:tr w14:paraId="50E8E5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3" w:type="pct"/>
                  <w:tcBorders>
                    <w:tl2br w:val="nil"/>
                    <w:tr2bl w:val="nil"/>
                  </w:tcBorders>
                  <w:vAlign w:val="center"/>
                </w:tcPr>
                <w:p w14:paraId="24147239">
                  <w:pPr>
                    <w:adjustRightInd w:val="0"/>
                    <w:snapToGrid w:val="0"/>
                    <w:jc w:val="center"/>
                    <w:rPr>
                      <w:rFonts w:ascii="Times New Roman" w:hAnsi="Times New Roman" w:cs="Times New Roman"/>
                      <w:szCs w:val="21"/>
                    </w:rPr>
                  </w:pPr>
                  <w:r>
                    <w:rPr>
                      <w:rFonts w:ascii="Times New Roman" w:hAnsi="Times New Roman" w:cs="Times New Roman"/>
                      <w:szCs w:val="21"/>
                    </w:rPr>
                    <w:t>非甲烷总烃</w:t>
                  </w:r>
                </w:p>
              </w:tc>
              <w:tc>
                <w:tcPr>
                  <w:tcW w:w="547" w:type="pct"/>
                  <w:tcBorders>
                    <w:tl2br w:val="nil"/>
                    <w:tr2bl w:val="nil"/>
                  </w:tcBorders>
                  <w:vAlign w:val="center"/>
                </w:tcPr>
                <w:p w14:paraId="66319011">
                  <w:pPr>
                    <w:adjustRightInd w:val="0"/>
                    <w:snapToGrid w:val="0"/>
                    <w:jc w:val="center"/>
                    <w:rPr>
                      <w:rFonts w:hint="eastAsia" w:ascii="Times New Roman" w:hAnsi="Times New Roman" w:eastAsia="宋体" w:cs="Times New Roman"/>
                      <w:color w:val="FF0000"/>
                      <w:szCs w:val="21"/>
                    </w:rPr>
                  </w:pPr>
                  <w:r>
                    <w:rPr>
                      <w:rFonts w:hint="eastAsia" w:ascii="Times New Roman" w:hAnsi="Times New Roman" w:eastAsia="宋体" w:cs="Times New Roman"/>
                      <w:color w:val="FF0000"/>
                      <w:szCs w:val="21"/>
                    </w:rPr>
                    <w:t>0.829</w:t>
                  </w:r>
                </w:p>
              </w:tc>
              <w:tc>
                <w:tcPr>
                  <w:tcW w:w="658" w:type="pct"/>
                  <w:tcBorders>
                    <w:tl2br w:val="nil"/>
                    <w:tr2bl w:val="nil"/>
                  </w:tcBorders>
                  <w:vAlign w:val="center"/>
                </w:tcPr>
                <w:p w14:paraId="12117653">
                  <w:pPr>
                    <w:adjustRightInd w:val="0"/>
                    <w:snapToGrid w:val="0"/>
                    <w:jc w:val="center"/>
                    <w:rPr>
                      <w:rFonts w:hint="eastAsia" w:ascii="Times New Roman" w:hAnsi="Times New Roman" w:eastAsia="宋体" w:cs="Times New Roman"/>
                      <w:color w:val="FF0000"/>
                      <w:szCs w:val="21"/>
                    </w:rPr>
                  </w:pPr>
                  <w:r>
                    <w:rPr>
                      <w:rFonts w:hint="eastAsia" w:ascii="Times New Roman" w:hAnsi="Times New Roman" w:eastAsia="宋体" w:cs="Times New Roman"/>
                      <w:color w:val="FF0000"/>
                      <w:szCs w:val="21"/>
                    </w:rPr>
                    <w:t>0.69</w:t>
                  </w:r>
                </w:p>
              </w:tc>
              <w:tc>
                <w:tcPr>
                  <w:tcW w:w="757" w:type="pct"/>
                  <w:tcBorders>
                    <w:tl2br w:val="nil"/>
                    <w:tr2bl w:val="nil"/>
                  </w:tcBorders>
                  <w:vAlign w:val="center"/>
                </w:tcPr>
                <w:p w14:paraId="3BE71146">
                  <w:pPr>
                    <w:adjustRightInd w:val="0"/>
                    <w:snapToGrid w:val="0"/>
                    <w:jc w:val="center"/>
                    <w:rPr>
                      <w:rFonts w:hint="eastAsia" w:ascii="Times New Roman" w:hAnsi="Times New Roman" w:eastAsia="宋体" w:cs="Times New Roman"/>
                      <w:color w:val="FF0000"/>
                      <w:szCs w:val="21"/>
                    </w:rPr>
                  </w:pPr>
                  <w:r>
                    <w:rPr>
                      <w:rFonts w:hint="eastAsia" w:ascii="Times New Roman" w:hAnsi="Times New Roman" w:eastAsia="宋体" w:cs="Times New Roman"/>
                      <w:color w:val="FF0000"/>
                      <w:szCs w:val="21"/>
                    </w:rPr>
                    <w:t>69</w:t>
                  </w:r>
                </w:p>
              </w:tc>
              <w:tc>
                <w:tcPr>
                  <w:tcW w:w="739" w:type="pct"/>
                  <w:vMerge w:val="continue"/>
                  <w:tcBorders>
                    <w:tl2br w:val="nil"/>
                    <w:tr2bl w:val="nil"/>
                  </w:tcBorders>
                  <w:vAlign w:val="center"/>
                </w:tcPr>
                <w:p w14:paraId="057E8389">
                  <w:pPr>
                    <w:adjustRightInd w:val="0"/>
                    <w:snapToGrid w:val="0"/>
                    <w:rPr>
                      <w:rFonts w:ascii="Times New Roman" w:hAnsi="Times New Roman" w:cs="Times New Roman"/>
                      <w:szCs w:val="21"/>
                    </w:rPr>
                  </w:pPr>
                </w:p>
              </w:tc>
              <w:tc>
                <w:tcPr>
                  <w:tcW w:w="541" w:type="pct"/>
                  <w:tcBorders>
                    <w:tl2br w:val="nil"/>
                    <w:tr2bl w:val="nil"/>
                  </w:tcBorders>
                  <w:vAlign w:val="center"/>
                </w:tcPr>
                <w:p w14:paraId="5C74F888">
                  <w:pPr>
                    <w:adjustRightInd w:val="0"/>
                    <w:snapToGrid w:val="0"/>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rPr>
                    <w:t>0.</w:t>
                  </w:r>
                  <w:r>
                    <w:rPr>
                      <w:rFonts w:hint="eastAsia" w:ascii="Times New Roman" w:hAnsi="Times New Roman" w:eastAsia="宋体" w:cs="Times New Roman"/>
                      <w:color w:val="FF0000"/>
                      <w:szCs w:val="21"/>
                      <w:lang w:val="en-US" w:eastAsia="zh-CN"/>
                    </w:rPr>
                    <w:t>315</w:t>
                  </w:r>
                </w:p>
              </w:tc>
              <w:tc>
                <w:tcPr>
                  <w:tcW w:w="643" w:type="pct"/>
                  <w:tcBorders>
                    <w:tl2br w:val="nil"/>
                    <w:tr2bl w:val="nil"/>
                  </w:tcBorders>
                  <w:vAlign w:val="center"/>
                </w:tcPr>
                <w:p w14:paraId="6BA108EB">
                  <w:pPr>
                    <w:adjustRightInd w:val="0"/>
                    <w:snapToGrid w:val="0"/>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rPr>
                    <w:t>0.</w:t>
                  </w:r>
                  <w:r>
                    <w:rPr>
                      <w:rFonts w:hint="eastAsia" w:ascii="Times New Roman" w:hAnsi="Times New Roman" w:eastAsia="宋体" w:cs="Times New Roman"/>
                      <w:color w:val="FF0000"/>
                      <w:szCs w:val="21"/>
                      <w:lang w:val="en-US" w:eastAsia="zh-CN"/>
                    </w:rPr>
                    <w:t>263</w:t>
                  </w:r>
                </w:p>
              </w:tc>
              <w:tc>
                <w:tcPr>
                  <w:tcW w:w="757" w:type="pct"/>
                  <w:tcBorders>
                    <w:tl2br w:val="nil"/>
                    <w:tr2bl w:val="nil"/>
                  </w:tcBorders>
                  <w:vAlign w:val="center"/>
                </w:tcPr>
                <w:p w14:paraId="24C935D0">
                  <w:pPr>
                    <w:adjustRightInd w:val="0"/>
                    <w:snapToGrid w:val="0"/>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26.3</w:t>
                  </w:r>
                </w:p>
              </w:tc>
            </w:tr>
          </w:tbl>
          <w:p w14:paraId="63AB20E7">
            <w:pPr>
              <w:tabs>
                <w:tab w:val="left" w:pos="600"/>
              </w:tabs>
              <w:adjustRightInd w:val="0"/>
              <w:snapToGrid w:val="0"/>
              <w:jc w:val="center"/>
              <w:rPr>
                <w:rFonts w:ascii="Times New Roman" w:hAnsi="Times New Roman" w:cs="Times New Roman"/>
                <w:b/>
                <w:szCs w:val="21"/>
              </w:rPr>
            </w:pPr>
            <w:r>
              <w:rPr>
                <w:rFonts w:ascii="Times New Roman" w:hAnsi="Times New Roman" w:cs="Times New Roman"/>
                <w:b/>
                <w:szCs w:val="21"/>
              </w:rPr>
              <w:t>表4-</w:t>
            </w:r>
            <w:r>
              <w:rPr>
                <w:rFonts w:hint="eastAsia" w:ascii="Times New Roman" w:hAnsi="Times New Roman" w:cs="Times New Roman"/>
                <w:b/>
                <w:szCs w:val="21"/>
              </w:rPr>
              <w:t xml:space="preserve">5    </w:t>
            </w:r>
            <w:r>
              <w:rPr>
                <w:rFonts w:ascii="Times New Roman" w:hAnsi="Times New Roman" w:cs="Times New Roman"/>
                <w:b/>
                <w:szCs w:val="21"/>
              </w:rPr>
              <w:t>喷涂废气无组织产排情况</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1618"/>
              <w:gridCol w:w="1780"/>
              <w:gridCol w:w="1503"/>
              <w:gridCol w:w="1785"/>
            </w:tblGrid>
            <w:tr w14:paraId="7A1DB7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5" w:type="pct"/>
                  <w:tcBorders>
                    <w:bottom w:val="single" w:color="auto" w:sz="12" w:space="0"/>
                  </w:tcBorders>
                  <w:vAlign w:val="center"/>
                </w:tcPr>
                <w:p w14:paraId="5AC0FA5C">
                  <w:pPr>
                    <w:adjustRightInd w:val="0"/>
                    <w:snapToGrid w:val="0"/>
                    <w:jc w:val="center"/>
                    <w:rPr>
                      <w:rFonts w:ascii="Times New Roman" w:hAnsi="Times New Roman" w:cs="Times New Roman"/>
                      <w:b/>
                      <w:szCs w:val="21"/>
                    </w:rPr>
                  </w:pPr>
                  <w:r>
                    <w:rPr>
                      <w:rFonts w:ascii="Times New Roman" w:hAnsi="Times New Roman" w:cs="Times New Roman"/>
                      <w:b/>
                      <w:szCs w:val="21"/>
                    </w:rPr>
                    <w:t>污染源</w:t>
                  </w:r>
                </w:p>
              </w:tc>
              <w:tc>
                <w:tcPr>
                  <w:tcW w:w="969" w:type="pct"/>
                  <w:tcBorders>
                    <w:bottom w:val="single" w:color="auto" w:sz="12" w:space="0"/>
                  </w:tcBorders>
                  <w:vAlign w:val="center"/>
                </w:tcPr>
                <w:p w14:paraId="2CEA63A9">
                  <w:pPr>
                    <w:adjustRightInd w:val="0"/>
                    <w:snapToGrid w:val="0"/>
                    <w:jc w:val="center"/>
                    <w:rPr>
                      <w:rFonts w:ascii="Times New Roman" w:hAnsi="Times New Roman" w:cs="Times New Roman"/>
                      <w:b/>
                      <w:szCs w:val="21"/>
                    </w:rPr>
                  </w:pPr>
                  <w:r>
                    <w:rPr>
                      <w:rFonts w:ascii="Times New Roman" w:hAnsi="Times New Roman" w:cs="Times New Roman"/>
                      <w:b/>
                      <w:szCs w:val="21"/>
                    </w:rPr>
                    <w:t>产生量（t/a）</w:t>
                  </w:r>
                </w:p>
              </w:tc>
              <w:tc>
                <w:tcPr>
                  <w:tcW w:w="1066" w:type="pct"/>
                  <w:tcBorders>
                    <w:bottom w:val="single" w:color="auto" w:sz="12" w:space="0"/>
                  </w:tcBorders>
                  <w:vAlign w:val="center"/>
                </w:tcPr>
                <w:p w14:paraId="0DF299FD">
                  <w:pPr>
                    <w:adjustRightInd w:val="0"/>
                    <w:snapToGrid w:val="0"/>
                    <w:jc w:val="center"/>
                    <w:rPr>
                      <w:rFonts w:ascii="Times New Roman" w:hAnsi="Times New Roman" w:cs="Times New Roman"/>
                      <w:b/>
                      <w:szCs w:val="21"/>
                    </w:rPr>
                  </w:pPr>
                  <w:r>
                    <w:rPr>
                      <w:rFonts w:ascii="Times New Roman" w:hAnsi="Times New Roman" w:cs="Times New Roman"/>
                      <w:b/>
                      <w:szCs w:val="21"/>
                    </w:rPr>
                    <w:t>产生速率（kg/h）</w:t>
                  </w:r>
                </w:p>
              </w:tc>
              <w:tc>
                <w:tcPr>
                  <w:tcW w:w="900" w:type="pct"/>
                  <w:tcBorders>
                    <w:bottom w:val="single" w:color="auto" w:sz="12" w:space="0"/>
                  </w:tcBorders>
                  <w:vAlign w:val="center"/>
                </w:tcPr>
                <w:p w14:paraId="65CB57F1">
                  <w:pPr>
                    <w:adjustRightInd w:val="0"/>
                    <w:snapToGrid w:val="0"/>
                    <w:jc w:val="center"/>
                    <w:rPr>
                      <w:rFonts w:ascii="Times New Roman" w:hAnsi="Times New Roman" w:eastAsia="宋体" w:cs="Times New Roman"/>
                      <w:b/>
                      <w:szCs w:val="21"/>
                    </w:rPr>
                  </w:pPr>
                  <w:r>
                    <w:rPr>
                      <w:rFonts w:ascii="Times New Roman" w:hAnsi="Times New Roman" w:cs="Times New Roman"/>
                      <w:b/>
                      <w:szCs w:val="21"/>
                    </w:rPr>
                    <w:t>排放量（t/a）</w:t>
                  </w:r>
                </w:p>
              </w:tc>
              <w:tc>
                <w:tcPr>
                  <w:tcW w:w="1069" w:type="pct"/>
                  <w:tcBorders>
                    <w:bottom w:val="single" w:color="auto" w:sz="12" w:space="0"/>
                  </w:tcBorders>
                  <w:vAlign w:val="center"/>
                </w:tcPr>
                <w:p w14:paraId="70429D9B">
                  <w:pPr>
                    <w:adjustRightInd w:val="0"/>
                    <w:snapToGrid w:val="0"/>
                    <w:jc w:val="center"/>
                    <w:rPr>
                      <w:rFonts w:ascii="Times New Roman" w:hAnsi="Times New Roman" w:eastAsia="宋体" w:cs="Times New Roman"/>
                      <w:b/>
                      <w:szCs w:val="21"/>
                    </w:rPr>
                  </w:pPr>
                  <w:r>
                    <w:rPr>
                      <w:rFonts w:ascii="Times New Roman" w:hAnsi="Times New Roman" w:cs="Times New Roman"/>
                      <w:b/>
                      <w:szCs w:val="21"/>
                    </w:rPr>
                    <w:t>排放速率（kg/h）</w:t>
                  </w:r>
                </w:p>
              </w:tc>
            </w:tr>
            <w:tr w14:paraId="027CCF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5" w:type="pct"/>
                  <w:tcBorders>
                    <w:top w:val="single" w:color="auto" w:sz="12" w:space="0"/>
                    <w:tl2br w:val="nil"/>
                    <w:tr2bl w:val="nil"/>
                  </w:tcBorders>
                  <w:vAlign w:val="center"/>
                </w:tcPr>
                <w:p w14:paraId="7B37C482">
                  <w:pPr>
                    <w:adjustRightInd w:val="0"/>
                    <w:snapToGrid w:val="0"/>
                    <w:jc w:val="center"/>
                    <w:rPr>
                      <w:rFonts w:ascii="Times New Roman" w:hAnsi="Times New Roman" w:cs="Times New Roman"/>
                      <w:color w:val="FF0000"/>
                      <w:szCs w:val="21"/>
                    </w:rPr>
                  </w:pPr>
                  <w:r>
                    <w:rPr>
                      <w:rFonts w:ascii="Times New Roman" w:hAnsi="Times New Roman" w:cs="Times New Roman"/>
                      <w:color w:val="FF0000"/>
                      <w:szCs w:val="21"/>
                    </w:rPr>
                    <w:t>颗粒物（漆雾）</w:t>
                  </w:r>
                </w:p>
              </w:tc>
              <w:tc>
                <w:tcPr>
                  <w:tcW w:w="969" w:type="pct"/>
                  <w:tcBorders>
                    <w:top w:val="single" w:color="auto" w:sz="12" w:space="0"/>
                    <w:tl2br w:val="nil"/>
                    <w:tr2bl w:val="nil"/>
                  </w:tcBorders>
                  <w:vAlign w:val="center"/>
                </w:tcPr>
                <w:p w14:paraId="40BE8B13">
                  <w:pPr>
                    <w:adjustRightInd w:val="0"/>
                    <w:snapToGrid w:val="0"/>
                    <w:jc w:val="center"/>
                    <w:rPr>
                      <w:rFonts w:hint="default" w:ascii="Times New Roman" w:hAnsi="Times New Roman" w:cs="Times New Roman" w:eastAsiaTheme="minorEastAsia"/>
                      <w:color w:val="FF0000"/>
                      <w:szCs w:val="21"/>
                      <w:lang w:val="en-US" w:eastAsia="zh-CN"/>
                    </w:rPr>
                  </w:pPr>
                  <w:r>
                    <w:rPr>
                      <w:rFonts w:ascii="Times New Roman" w:hAnsi="Times New Roman" w:cs="Times New Roman"/>
                      <w:color w:val="FF0000"/>
                      <w:szCs w:val="21"/>
                    </w:rPr>
                    <w:t>0.</w:t>
                  </w:r>
                  <w:r>
                    <w:rPr>
                      <w:rFonts w:hint="eastAsia" w:ascii="Times New Roman" w:hAnsi="Times New Roman" w:cs="Times New Roman"/>
                      <w:color w:val="FF0000"/>
                      <w:szCs w:val="21"/>
                    </w:rPr>
                    <w:t>0</w:t>
                  </w:r>
                  <w:r>
                    <w:rPr>
                      <w:rFonts w:hint="eastAsia" w:ascii="Times New Roman" w:hAnsi="Times New Roman" w:cs="Times New Roman"/>
                      <w:color w:val="FF0000"/>
                      <w:szCs w:val="21"/>
                      <w:lang w:val="en-US" w:eastAsia="zh-CN"/>
                    </w:rPr>
                    <w:t>69</w:t>
                  </w:r>
                </w:p>
              </w:tc>
              <w:tc>
                <w:tcPr>
                  <w:tcW w:w="1066" w:type="pct"/>
                  <w:tcBorders>
                    <w:top w:val="single" w:color="auto" w:sz="12" w:space="0"/>
                    <w:tl2br w:val="nil"/>
                    <w:tr2bl w:val="nil"/>
                  </w:tcBorders>
                  <w:vAlign w:val="center"/>
                </w:tcPr>
                <w:p w14:paraId="00DD0346">
                  <w:pPr>
                    <w:adjustRightInd w:val="0"/>
                    <w:snapToGrid w:val="0"/>
                    <w:jc w:val="center"/>
                    <w:rPr>
                      <w:rFonts w:hint="default" w:ascii="Times New Roman" w:hAnsi="Times New Roman" w:cs="Times New Roman" w:eastAsiaTheme="minorEastAsia"/>
                      <w:color w:val="FF0000"/>
                      <w:szCs w:val="21"/>
                      <w:lang w:val="en-US" w:eastAsia="zh-CN"/>
                    </w:rPr>
                  </w:pPr>
                  <w:r>
                    <w:rPr>
                      <w:rFonts w:hint="eastAsia" w:ascii="Times New Roman" w:hAnsi="Times New Roman" w:cs="Times New Roman"/>
                      <w:color w:val="FF0000"/>
                      <w:szCs w:val="21"/>
                    </w:rPr>
                    <w:t>0.0</w:t>
                  </w:r>
                  <w:r>
                    <w:rPr>
                      <w:rFonts w:hint="eastAsia" w:ascii="Times New Roman" w:hAnsi="Times New Roman" w:cs="Times New Roman"/>
                      <w:color w:val="FF0000"/>
                      <w:szCs w:val="21"/>
                      <w:lang w:val="en-US" w:eastAsia="zh-CN"/>
                    </w:rPr>
                    <w:t>58</w:t>
                  </w:r>
                </w:p>
              </w:tc>
              <w:tc>
                <w:tcPr>
                  <w:tcW w:w="1490" w:type="dxa"/>
                  <w:tcBorders>
                    <w:top w:val="single" w:color="auto" w:sz="12" w:space="0"/>
                    <w:tl2br w:val="nil"/>
                    <w:tr2bl w:val="nil"/>
                  </w:tcBorders>
                  <w:vAlign w:val="center"/>
                </w:tcPr>
                <w:p w14:paraId="193A84A0">
                  <w:pPr>
                    <w:adjustRightInd w:val="0"/>
                    <w:snapToGrid w:val="0"/>
                    <w:jc w:val="center"/>
                    <w:rPr>
                      <w:rFonts w:hint="default" w:ascii="Times New Roman" w:hAnsi="Times New Roman" w:cs="Times New Roman" w:eastAsiaTheme="minorEastAsia"/>
                      <w:color w:val="FF0000"/>
                      <w:szCs w:val="21"/>
                      <w:lang w:val="en-US" w:eastAsia="zh-CN"/>
                    </w:rPr>
                  </w:pPr>
                  <w:r>
                    <w:rPr>
                      <w:rFonts w:ascii="Times New Roman" w:hAnsi="Times New Roman" w:cs="Times New Roman"/>
                      <w:color w:val="FF0000"/>
                      <w:szCs w:val="21"/>
                    </w:rPr>
                    <w:t>0.</w:t>
                  </w:r>
                  <w:r>
                    <w:rPr>
                      <w:rFonts w:hint="eastAsia" w:ascii="Times New Roman" w:hAnsi="Times New Roman" w:cs="Times New Roman"/>
                      <w:color w:val="FF0000"/>
                      <w:szCs w:val="21"/>
                      <w:lang w:val="en-US" w:eastAsia="zh-CN"/>
                    </w:rPr>
                    <w:t>069</w:t>
                  </w:r>
                </w:p>
              </w:tc>
              <w:tc>
                <w:tcPr>
                  <w:tcW w:w="1770" w:type="dxa"/>
                  <w:tcBorders>
                    <w:top w:val="single" w:color="auto" w:sz="12" w:space="0"/>
                    <w:tl2br w:val="nil"/>
                    <w:tr2bl w:val="nil"/>
                  </w:tcBorders>
                  <w:vAlign w:val="center"/>
                </w:tcPr>
                <w:p w14:paraId="6533775B">
                  <w:pPr>
                    <w:adjustRightInd w:val="0"/>
                    <w:snapToGrid w:val="0"/>
                    <w:jc w:val="center"/>
                    <w:rPr>
                      <w:rFonts w:hint="default" w:ascii="Times New Roman" w:hAnsi="Times New Roman" w:cs="Times New Roman" w:eastAsiaTheme="minorEastAsia"/>
                      <w:color w:val="FF0000"/>
                      <w:szCs w:val="21"/>
                      <w:lang w:val="en-US" w:eastAsia="zh-CN"/>
                    </w:rPr>
                  </w:pPr>
                  <w:r>
                    <w:rPr>
                      <w:rFonts w:hint="eastAsia" w:ascii="Times New Roman" w:hAnsi="Times New Roman" w:cs="Times New Roman"/>
                      <w:color w:val="FF0000"/>
                      <w:szCs w:val="21"/>
                    </w:rPr>
                    <w:t>0.0</w:t>
                  </w:r>
                  <w:r>
                    <w:rPr>
                      <w:rFonts w:hint="eastAsia" w:ascii="Times New Roman" w:hAnsi="Times New Roman" w:cs="Times New Roman"/>
                      <w:color w:val="FF0000"/>
                      <w:szCs w:val="21"/>
                      <w:lang w:val="en-US" w:eastAsia="zh-CN"/>
                    </w:rPr>
                    <w:t>58</w:t>
                  </w:r>
                </w:p>
              </w:tc>
            </w:tr>
            <w:tr w14:paraId="55D32C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5" w:type="pct"/>
                  <w:tcBorders>
                    <w:tl2br w:val="nil"/>
                    <w:tr2bl w:val="nil"/>
                  </w:tcBorders>
                  <w:vAlign w:val="center"/>
                </w:tcPr>
                <w:p w14:paraId="41367E91">
                  <w:pPr>
                    <w:adjustRightInd w:val="0"/>
                    <w:snapToGrid w:val="0"/>
                    <w:jc w:val="center"/>
                    <w:rPr>
                      <w:rFonts w:ascii="Times New Roman" w:hAnsi="Times New Roman" w:cs="Times New Roman"/>
                      <w:color w:val="FF0000"/>
                      <w:szCs w:val="21"/>
                    </w:rPr>
                  </w:pPr>
                  <w:r>
                    <w:rPr>
                      <w:rFonts w:ascii="Times New Roman" w:hAnsi="Times New Roman" w:cs="Times New Roman"/>
                      <w:color w:val="FF0000"/>
                      <w:szCs w:val="21"/>
                    </w:rPr>
                    <w:t>非甲烷总烃</w:t>
                  </w:r>
                </w:p>
              </w:tc>
              <w:tc>
                <w:tcPr>
                  <w:tcW w:w="969" w:type="pct"/>
                  <w:tcBorders>
                    <w:tl2br w:val="nil"/>
                    <w:tr2bl w:val="nil"/>
                  </w:tcBorders>
                  <w:vAlign w:val="center"/>
                </w:tcPr>
                <w:p w14:paraId="4A340FE9">
                  <w:pPr>
                    <w:adjustRightInd w:val="0"/>
                    <w:snapToGrid w:val="0"/>
                    <w:jc w:val="center"/>
                    <w:rPr>
                      <w:rFonts w:ascii="Times New Roman" w:hAnsi="Times New Roman" w:eastAsia="宋体" w:cs="Times New Roman"/>
                      <w:color w:val="FF0000"/>
                      <w:szCs w:val="21"/>
                    </w:rPr>
                  </w:pPr>
                  <w:r>
                    <w:rPr>
                      <w:rFonts w:ascii="Times New Roman" w:hAnsi="Times New Roman" w:cs="Times New Roman"/>
                      <w:color w:val="FF0000"/>
                      <w:szCs w:val="21"/>
                    </w:rPr>
                    <w:t>0.</w:t>
                  </w:r>
                  <w:r>
                    <w:rPr>
                      <w:rFonts w:hint="eastAsia" w:ascii="Times New Roman" w:hAnsi="Times New Roman" w:cs="Times New Roman"/>
                      <w:color w:val="FF0000"/>
                      <w:szCs w:val="21"/>
                    </w:rPr>
                    <w:t>041</w:t>
                  </w:r>
                </w:p>
              </w:tc>
              <w:tc>
                <w:tcPr>
                  <w:tcW w:w="1066" w:type="pct"/>
                  <w:tcBorders>
                    <w:tl2br w:val="nil"/>
                    <w:tr2bl w:val="nil"/>
                  </w:tcBorders>
                  <w:vAlign w:val="center"/>
                </w:tcPr>
                <w:p w14:paraId="54FE5437">
                  <w:pPr>
                    <w:adjustRightInd w:val="0"/>
                    <w:snapToGrid w:val="0"/>
                    <w:jc w:val="center"/>
                    <w:rPr>
                      <w:rFonts w:ascii="Times New Roman" w:hAnsi="Times New Roman" w:eastAsia="宋体" w:cs="Times New Roman"/>
                      <w:color w:val="FF0000"/>
                      <w:szCs w:val="21"/>
                    </w:rPr>
                  </w:pPr>
                  <w:r>
                    <w:rPr>
                      <w:rFonts w:ascii="Times New Roman" w:hAnsi="Times New Roman" w:cs="Times New Roman"/>
                      <w:color w:val="FF0000"/>
                      <w:szCs w:val="21"/>
                    </w:rPr>
                    <w:t>0.0</w:t>
                  </w:r>
                  <w:r>
                    <w:rPr>
                      <w:rFonts w:hint="eastAsia" w:ascii="Times New Roman" w:hAnsi="Times New Roman" w:cs="Times New Roman"/>
                      <w:color w:val="FF0000"/>
                      <w:szCs w:val="21"/>
                    </w:rPr>
                    <w:t>34</w:t>
                  </w:r>
                </w:p>
              </w:tc>
              <w:tc>
                <w:tcPr>
                  <w:tcW w:w="1490" w:type="dxa"/>
                  <w:tcBorders>
                    <w:tl2br w:val="nil"/>
                    <w:tr2bl w:val="nil"/>
                  </w:tcBorders>
                  <w:vAlign w:val="center"/>
                </w:tcPr>
                <w:p w14:paraId="568EEDF1">
                  <w:pPr>
                    <w:adjustRightInd w:val="0"/>
                    <w:snapToGrid w:val="0"/>
                    <w:jc w:val="center"/>
                    <w:rPr>
                      <w:rFonts w:ascii="Times New Roman" w:hAnsi="Times New Roman" w:eastAsia="宋体" w:cs="Times New Roman"/>
                      <w:color w:val="FF0000"/>
                      <w:szCs w:val="21"/>
                    </w:rPr>
                  </w:pPr>
                  <w:r>
                    <w:rPr>
                      <w:rFonts w:ascii="Times New Roman" w:hAnsi="Times New Roman" w:cs="Times New Roman"/>
                      <w:color w:val="FF0000"/>
                      <w:szCs w:val="21"/>
                    </w:rPr>
                    <w:t>0.</w:t>
                  </w:r>
                  <w:r>
                    <w:rPr>
                      <w:rFonts w:hint="eastAsia" w:ascii="Times New Roman" w:hAnsi="Times New Roman" w:cs="Times New Roman"/>
                      <w:color w:val="FF0000"/>
                      <w:szCs w:val="21"/>
                    </w:rPr>
                    <w:t>041</w:t>
                  </w:r>
                </w:p>
              </w:tc>
              <w:tc>
                <w:tcPr>
                  <w:tcW w:w="1770" w:type="dxa"/>
                  <w:tcBorders>
                    <w:tl2br w:val="nil"/>
                    <w:tr2bl w:val="nil"/>
                  </w:tcBorders>
                  <w:vAlign w:val="center"/>
                </w:tcPr>
                <w:p w14:paraId="57B5EA4D">
                  <w:pPr>
                    <w:adjustRightInd w:val="0"/>
                    <w:snapToGrid w:val="0"/>
                    <w:jc w:val="center"/>
                    <w:rPr>
                      <w:rFonts w:ascii="Times New Roman" w:hAnsi="Times New Roman" w:eastAsia="宋体" w:cs="Times New Roman"/>
                      <w:color w:val="FF0000"/>
                      <w:szCs w:val="21"/>
                    </w:rPr>
                  </w:pPr>
                  <w:r>
                    <w:rPr>
                      <w:rFonts w:ascii="Times New Roman" w:hAnsi="Times New Roman" w:cs="Times New Roman"/>
                      <w:color w:val="FF0000"/>
                      <w:szCs w:val="21"/>
                    </w:rPr>
                    <w:t>0.0</w:t>
                  </w:r>
                  <w:r>
                    <w:rPr>
                      <w:rFonts w:hint="eastAsia" w:ascii="Times New Roman" w:hAnsi="Times New Roman" w:cs="Times New Roman"/>
                      <w:color w:val="FF0000"/>
                      <w:szCs w:val="21"/>
                    </w:rPr>
                    <w:t>34</w:t>
                  </w:r>
                </w:p>
              </w:tc>
            </w:tr>
          </w:tbl>
          <w:p w14:paraId="7B3FF86E">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本项目喷漆工序非甲烷总烃平衡分析详见图4-1，颗粒物（漆雾）平衡详见图4-2。</w:t>
            </w:r>
          </w:p>
          <w:p w14:paraId="45B07243">
            <w:pPr>
              <w:adjustRightInd w:val="0"/>
              <w:snapToGrid w:val="0"/>
              <w:spacing w:line="360" w:lineRule="auto"/>
              <w:rPr>
                <w:rFonts w:ascii="Times New Roman" w:hAnsi="Times New Roman" w:cs="Times New Roman"/>
                <w:szCs w:val="21"/>
              </w:rPr>
            </w:pPr>
            <w:r>
              <w:rPr>
                <w:rFonts w:ascii="Times New Roman" w:hAnsi="Times New Roman" w:cs="Times New Roman"/>
                <w:szCs w:val="21"/>
              </w:rPr>
              <mc:AlternateContent>
                <mc:Choice Requires="wpc">
                  <w:drawing>
                    <wp:inline distT="0" distB="0" distL="114300" distR="114300">
                      <wp:extent cx="5301615" cy="4072255"/>
                      <wp:effectExtent l="0" t="0" r="0" b="0"/>
                      <wp:docPr id="4" name="画布 4"/>
                      <wp:cNvGraphicFramePr/>
                      <a:graphic xmlns:a="http://schemas.openxmlformats.org/drawingml/2006/main">
                        <a:graphicData uri="http://schemas.microsoft.com/office/word/2010/wordprocessingCanvas">
                          <wpc:wpc>
                            <wpc:bg>
                              <a:noFill/>
                            </wpc:bg>
                            <wpc:whole>
                              <a:ln>
                                <a:noFill/>
                              </a:ln>
                            </wpc:whole>
                            <wps:wsp>
                              <wps:cNvPr id="52" name="直接连接符 3"/>
                              <wps:cNvCnPr/>
                              <wps:spPr>
                                <a:xfrm>
                                  <a:off x="2745105" y="315595"/>
                                  <a:ext cx="3810" cy="259080"/>
                                </a:xfrm>
                                <a:prstGeom prst="line">
                                  <a:avLst/>
                                </a:prstGeom>
                                <a:ln w="9525" cap="flat" cmpd="sng">
                                  <a:solidFill>
                                    <a:srgbClr val="000000"/>
                                  </a:solidFill>
                                  <a:prstDash val="solid"/>
                                  <a:headEnd type="none" w="med" len="med"/>
                                  <a:tailEnd type="triangle" w="med" len="med"/>
                                </a:ln>
                              </wps:spPr>
                              <wps:bodyPr/>
                            </wps:wsp>
                            <wps:wsp>
                              <wps:cNvPr id="53" name="文本框 13"/>
                              <wps:cNvSpPr txBox="1"/>
                              <wps:spPr>
                                <a:xfrm>
                                  <a:off x="1584960" y="541655"/>
                                  <a:ext cx="233362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BD6304">
                                    <w:pPr>
                                      <w:jc w:val="center"/>
                                    </w:pPr>
                                    <w:r>
                                      <w:rPr>
                                        <w:rFonts w:hint="eastAsia"/>
                                      </w:rPr>
                                      <w:t>调漆+喷漆+烘</w:t>
                                    </w:r>
                                    <w:r>
                                      <w:rPr>
                                        <w:rFonts w:ascii="Times New Roman" w:hAnsi="Times New Roman" w:cs="Times New Roman"/>
                                      </w:rPr>
                                      <w:t>干：</w:t>
                                    </w:r>
                                    <w:r>
                                      <w:rPr>
                                        <w:rFonts w:hint="eastAsia" w:ascii="Times New Roman" w:hAnsi="Times New Roman" w:cs="Times New Roman"/>
                                      </w:rPr>
                                      <w:t>0.829</w:t>
                                    </w:r>
                                  </w:p>
                                </w:txbxContent>
                              </wps:txbx>
                              <wps:bodyPr upright="1"/>
                            </wps:wsp>
                            <wps:wsp>
                              <wps:cNvPr id="54" name="文本框 14"/>
                              <wps:cNvSpPr txBox="1"/>
                              <wps:spPr>
                                <a:xfrm>
                                  <a:off x="198755" y="1094106"/>
                                  <a:ext cx="15367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7EAEF5">
                                    <w:pPr>
                                      <w:jc w:val="center"/>
                                    </w:pPr>
                                    <w:r>
                                      <w:rPr>
                                        <w:rFonts w:hint="eastAsia" w:ascii="Times New Roman" w:hAnsi="Times New Roman" w:cs="Times New Roman"/>
                                      </w:rPr>
                                      <w:t>烘</w:t>
                                    </w:r>
                                    <w:r>
                                      <w:rPr>
                                        <w:rFonts w:ascii="Times New Roman" w:hAnsi="Times New Roman" w:cs="Times New Roman"/>
                                      </w:rPr>
                                      <w:t>干：</w:t>
                                    </w:r>
                                    <w:r>
                                      <w:rPr>
                                        <w:rFonts w:hint="eastAsia" w:ascii="Times New Roman" w:hAnsi="Times New Roman" w:cs="Times New Roman"/>
                                      </w:rPr>
                                      <w:t>0.481</w:t>
                                    </w:r>
                                  </w:p>
                                </w:txbxContent>
                              </wps:txbx>
                              <wps:bodyPr upright="1"/>
                            </wps:wsp>
                            <wps:wsp>
                              <wps:cNvPr id="55" name="直接连接符 16"/>
                              <wps:cNvCnPr/>
                              <wps:spPr>
                                <a:xfrm>
                                  <a:off x="1282065" y="932180"/>
                                  <a:ext cx="3241040" cy="635"/>
                                </a:xfrm>
                                <a:prstGeom prst="line">
                                  <a:avLst/>
                                </a:prstGeom>
                                <a:ln w="9525" cap="flat" cmpd="sng">
                                  <a:solidFill>
                                    <a:srgbClr val="000000"/>
                                  </a:solidFill>
                                  <a:prstDash val="solid"/>
                                  <a:headEnd type="none" w="med" len="med"/>
                                  <a:tailEnd type="none" w="med" len="med"/>
                                </a:ln>
                              </wps:spPr>
                              <wps:bodyPr/>
                            </wps:wsp>
                            <wps:wsp>
                              <wps:cNvPr id="56" name="直接连接符 19"/>
                              <wps:cNvCnPr/>
                              <wps:spPr>
                                <a:xfrm flipH="1">
                                  <a:off x="1255395" y="949325"/>
                                  <a:ext cx="8890" cy="154940"/>
                                </a:xfrm>
                                <a:prstGeom prst="line">
                                  <a:avLst/>
                                </a:prstGeom>
                                <a:ln w="9525" cap="flat" cmpd="sng">
                                  <a:solidFill>
                                    <a:srgbClr val="000000"/>
                                  </a:solidFill>
                                  <a:prstDash val="solid"/>
                                  <a:headEnd type="none" w="med" len="med"/>
                                  <a:tailEnd type="triangle" w="med" len="med"/>
                                </a:ln>
                              </wps:spPr>
                              <wps:bodyPr/>
                            </wps:wsp>
                            <wps:wsp>
                              <wps:cNvPr id="57" name="直接连接符 20"/>
                              <wps:cNvCnPr/>
                              <wps:spPr>
                                <a:xfrm flipH="1">
                                  <a:off x="2747010" y="808355"/>
                                  <a:ext cx="5080" cy="298450"/>
                                </a:xfrm>
                                <a:prstGeom prst="line">
                                  <a:avLst/>
                                </a:prstGeom>
                                <a:ln w="9525" cap="flat" cmpd="sng">
                                  <a:solidFill>
                                    <a:srgbClr val="000000"/>
                                  </a:solidFill>
                                  <a:prstDash val="solid"/>
                                  <a:headEnd type="none" w="med" len="med"/>
                                  <a:tailEnd type="triangle" w="med" len="med"/>
                                </a:ln>
                              </wps:spPr>
                              <wps:bodyPr/>
                            </wps:wsp>
                            <wps:wsp>
                              <wps:cNvPr id="60" name="文本框 21"/>
                              <wps:cNvSpPr txBox="1"/>
                              <wps:spPr>
                                <a:xfrm>
                                  <a:off x="2126615" y="1082675"/>
                                  <a:ext cx="132715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615561">
                                    <w:pPr>
                                      <w:jc w:val="center"/>
                                    </w:pPr>
                                    <w:r>
                                      <w:rPr>
                                        <w:rFonts w:hint="eastAsia"/>
                                      </w:rPr>
                                      <w:t>喷</w:t>
                                    </w:r>
                                    <w:r>
                                      <w:rPr>
                                        <w:rFonts w:ascii="Times New Roman" w:hAnsi="Times New Roman" w:cs="Times New Roman"/>
                                      </w:rPr>
                                      <w:t>漆：</w:t>
                                    </w:r>
                                    <w:r>
                                      <w:rPr>
                                        <w:rFonts w:hint="eastAsia" w:ascii="Times New Roman" w:hAnsi="Times New Roman" w:cs="Times New Roman"/>
                                      </w:rPr>
                                      <w:t>0.331</w:t>
                                    </w:r>
                                  </w:p>
                                </w:txbxContent>
                              </wps:txbx>
                              <wps:bodyPr upright="1"/>
                            </wps:wsp>
                            <wps:wsp>
                              <wps:cNvPr id="62" name="直接连接符 22"/>
                              <wps:cNvCnPr/>
                              <wps:spPr>
                                <a:xfrm>
                                  <a:off x="4526915" y="948690"/>
                                  <a:ext cx="0" cy="177800"/>
                                </a:xfrm>
                                <a:prstGeom prst="line">
                                  <a:avLst/>
                                </a:prstGeom>
                                <a:ln w="9525" cap="flat" cmpd="sng">
                                  <a:solidFill>
                                    <a:srgbClr val="000000"/>
                                  </a:solidFill>
                                  <a:prstDash val="solid"/>
                                  <a:headEnd type="none" w="med" len="med"/>
                                  <a:tailEnd type="triangle" w="med" len="med"/>
                                </a:ln>
                              </wps:spPr>
                              <wps:bodyPr/>
                            </wps:wsp>
                            <wps:wsp>
                              <wps:cNvPr id="74" name="文本框 23"/>
                              <wps:cNvSpPr txBox="1"/>
                              <wps:spPr>
                                <a:xfrm>
                                  <a:off x="3764280" y="1091565"/>
                                  <a:ext cx="131000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735709">
                                    <w:pPr>
                                      <w:jc w:val="center"/>
                                      <w:rPr>
                                        <w:rFonts w:ascii="Times New Roman" w:hAnsi="Times New Roman" w:cs="Times New Roman"/>
                                      </w:rPr>
                                    </w:pPr>
                                    <w:r>
                                      <w:rPr>
                                        <w:rFonts w:hint="eastAsia"/>
                                      </w:rPr>
                                      <w:t>调漆：</w:t>
                                    </w:r>
                                    <w:r>
                                      <w:rPr>
                                        <w:rFonts w:ascii="Times New Roman" w:hAnsi="Times New Roman" w:cs="Times New Roman"/>
                                      </w:rPr>
                                      <w:t>0.0</w:t>
                                    </w:r>
                                    <w:r>
                                      <w:rPr>
                                        <w:rFonts w:hint="eastAsia" w:ascii="Times New Roman" w:hAnsi="Times New Roman" w:cs="Times New Roman"/>
                                      </w:rPr>
                                      <w:t>17</w:t>
                                    </w:r>
                                  </w:p>
                                </w:txbxContent>
                              </wps:txbx>
                              <wps:bodyPr upright="1"/>
                            </wps:wsp>
                            <wps:wsp>
                              <wps:cNvPr id="75" name="文本框 24"/>
                              <wps:cNvSpPr txBox="1"/>
                              <wps:spPr>
                                <a:xfrm>
                                  <a:off x="1784350" y="3416300"/>
                                  <a:ext cx="1785620" cy="4908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14C5D8">
                                    <w:pPr>
                                      <w:jc w:val="center"/>
                                      <w:rPr>
                                        <w:rFonts w:ascii="Times New Roman" w:hAnsi="Times New Roman" w:cs="Times New Roman"/>
                                        <w:color w:val="FF0000"/>
                                        <w:szCs w:val="21"/>
                                      </w:rPr>
                                    </w:pPr>
                                    <w:r>
                                      <w:rPr>
                                        <w:rFonts w:hint="eastAsia" w:ascii="Times New Roman" w:hAnsi="Times New Roman" w:cs="Times New Roman"/>
                                        <w:color w:val="FF0000"/>
                                        <w:szCs w:val="21"/>
                                      </w:rPr>
                                      <w:t>二级</w:t>
                                    </w:r>
                                    <w:r>
                                      <w:rPr>
                                        <w:rFonts w:ascii="Times New Roman" w:hAnsi="Times New Roman" w:cs="Times New Roman"/>
                                        <w:color w:val="FF0000"/>
                                        <w:szCs w:val="21"/>
                                      </w:rPr>
                                      <w:t>活性炭</w:t>
                                    </w:r>
                                  </w:p>
                                  <w:p w14:paraId="1D828AB7">
                                    <w:pPr>
                                      <w:jc w:val="center"/>
                                      <w:rPr>
                                        <w:rFonts w:hint="default" w:ascii="Times New Roman" w:hAnsi="Times New Roman" w:cs="Times New Roman" w:eastAsiaTheme="minorEastAsia"/>
                                        <w:color w:val="FF0000"/>
                                        <w:highlight w:val="cyan"/>
                                        <w:lang w:val="en-US" w:eastAsia="zh-CN"/>
                                      </w:rPr>
                                    </w:pPr>
                                    <w:r>
                                      <w:rPr>
                                        <w:rFonts w:ascii="Times New Roman" w:hAnsi="Times New Roman" w:cs="Times New Roman"/>
                                        <w:color w:val="FF0000"/>
                                        <w:szCs w:val="21"/>
                                      </w:rPr>
                                      <w:t>（</w:t>
                                    </w:r>
                                    <w:r>
                                      <w:rPr>
                                        <w:rFonts w:hint="eastAsia" w:ascii="Times New Roman" w:hAnsi="Times New Roman" w:cs="Times New Roman"/>
                                        <w:color w:val="FF0000"/>
                                        <w:szCs w:val="21"/>
                                        <w:highlight w:val="cyan"/>
                                        <w:lang w:val="en-US" w:eastAsia="zh-CN"/>
                                      </w:rPr>
                                      <w:t>60</w:t>
                                    </w:r>
                                    <w:r>
                                      <w:rPr>
                                        <w:rFonts w:ascii="Times New Roman" w:hAnsi="Times New Roman" w:cs="Times New Roman"/>
                                        <w:color w:val="FF0000"/>
                                        <w:szCs w:val="21"/>
                                        <w:highlight w:val="cyan"/>
                                      </w:rPr>
                                      <w:t>%效率）</w:t>
                                    </w:r>
                                    <w:r>
                                      <w:rPr>
                                        <w:rFonts w:ascii="Times New Roman" w:hAnsi="Times New Roman" w:cs="Times New Roman"/>
                                        <w:color w:val="FF0000"/>
                                        <w:highlight w:val="cyan"/>
                                      </w:rPr>
                                      <w:t>：0.</w:t>
                                    </w:r>
                                    <w:r>
                                      <w:rPr>
                                        <w:rFonts w:hint="eastAsia" w:ascii="Times New Roman" w:hAnsi="Times New Roman" w:cs="Times New Roman"/>
                                        <w:color w:val="FF0000"/>
                                        <w:highlight w:val="cyan"/>
                                        <w:lang w:val="en-US" w:eastAsia="zh-CN"/>
                                      </w:rPr>
                                      <w:t>473</w:t>
                                    </w:r>
                                  </w:p>
                                </w:txbxContent>
                              </wps:txbx>
                              <wps:bodyPr upright="1"/>
                            </wps:wsp>
                            <wps:wsp>
                              <wps:cNvPr id="76" name="文本框 25"/>
                              <wps:cNvSpPr txBox="1"/>
                              <wps:spPr>
                                <a:xfrm>
                                  <a:off x="250190" y="3454400"/>
                                  <a:ext cx="1339850" cy="287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C6F2F7">
                                    <w:pPr>
                                      <w:jc w:val="center"/>
                                      <w:rPr>
                                        <w:rFonts w:hint="default" w:ascii="Times New Roman" w:hAnsi="Times New Roman" w:cs="Times New Roman" w:eastAsiaTheme="minorEastAsia"/>
                                        <w:color w:val="FF0000"/>
                                        <w:lang w:val="en-US" w:eastAsia="zh-CN"/>
                                      </w:rPr>
                                    </w:pPr>
                                    <w:r>
                                      <w:rPr>
                                        <w:rFonts w:ascii="Times New Roman" w:hAnsi="Times New Roman" w:cs="Times New Roman"/>
                                        <w:color w:val="FF0000"/>
                                      </w:rPr>
                                      <w:t>排气筒排放：0.</w:t>
                                    </w:r>
                                    <w:r>
                                      <w:rPr>
                                        <w:rFonts w:hint="eastAsia" w:ascii="Times New Roman" w:hAnsi="Times New Roman" w:cs="Times New Roman"/>
                                        <w:color w:val="FF0000"/>
                                        <w:lang w:val="en-US" w:eastAsia="zh-CN"/>
                                      </w:rPr>
                                      <w:t>315</w:t>
                                    </w:r>
                                  </w:p>
                                </w:txbxContent>
                              </wps:txbx>
                              <wps:bodyPr upright="1"/>
                            </wps:wsp>
                            <wps:wsp>
                              <wps:cNvPr id="77" name="左大括号 26"/>
                              <wps:cNvSpPr/>
                              <wps:spPr>
                                <a:xfrm rot="-5400000">
                                  <a:off x="2650490" y="-193040"/>
                                  <a:ext cx="142240" cy="3307715"/>
                                </a:xfrm>
                                <a:prstGeom prst="leftBrace">
                                  <a:avLst>
                                    <a:gd name="adj1" fmla="val 78071"/>
                                    <a:gd name="adj2" fmla="val 50532"/>
                                  </a:avLst>
                                </a:prstGeom>
                                <a:solidFill>
                                  <a:srgbClr val="FFFFFF">
                                    <a:alpha val="0"/>
                                  </a:srgbClr>
                                </a:solidFill>
                                <a:ln w="9525" cap="flat" cmpd="sng">
                                  <a:solidFill>
                                    <a:srgbClr val="000000"/>
                                  </a:solidFill>
                                  <a:prstDash val="solid"/>
                                  <a:headEnd type="none" w="med" len="med"/>
                                  <a:tailEnd type="none" w="med" len="med"/>
                                </a:ln>
                              </wps:spPr>
                              <wps:bodyPr upright="1"/>
                            </wps:wsp>
                            <wps:wsp>
                              <wps:cNvPr id="78" name="文本框 28"/>
                              <wps:cNvSpPr txBox="1"/>
                              <wps:spPr>
                                <a:xfrm>
                                  <a:off x="1976755" y="75565"/>
                                  <a:ext cx="151955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C42F93">
                                    <w:pPr>
                                      <w:rPr>
                                        <w:rFonts w:eastAsia="宋体"/>
                                      </w:rPr>
                                    </w:pPr>
                                    <w:r>
                                      <w:rPr>
                                        <w:rFonts w:hint="eastAsia" w:ascii="Times New Roman" w:hAnsi="Times New Roman" w:cs="Times New Roman"/>
                                      </w:rPr>
                                      <w:t>非甲烷总烃</w:t>
                                    </w:r>
                                    <w:r>
                                      <w:rPr>
                                        <w:rFonts w:ascii="Times New Roman" w:hAnsi="Times New Roman" w:cs="Times New Roman"/>
                                      </w:rPr>
                                      <w:t>：</w:t>
                                    </w:r>
                                    <w:r>
                                      <w:rPr>
                                        <w:rFonts w:hint="eastAsia" w:ascii="Times New Roman" w:hAnsi="Times New Roman" w:cs="Times New Roman"/>
                                      </w:rPr>
                                      <w:t>0.829</w:t>
                                    </w:r>
                                  </w:p>
                                </w:txbxContent>
                              </wps:txbx>
                              <wps:bodyPr upright="1"/>
                            </wps:wsp>
                            <wps:wsp>
                              <wps:cNvPr id="79" name="直接连接符 33"/>
                              <wps:cNvCnPr/>
                              <wps:spPr>
                                <a:xfrm flipH="1">
                                  <a:off x="2738120" y="1509395"/>
                                  <a:ext cx="9525" cy="215900"/>
                                </a:xfrm>
                                <a:prstGeom prst="line">
                                  <a:avLst/>
                                </a:prstGeom>
                                <a:ln w="9525" cap="flat" cmpd="sng">
                                  <a:solidFill>
                                    <a:srgbClr val="000000"/>
                                  </a:solidFill>
                                  <a:prstDash val="solid"/>
                                  <a:headEnd type="none" w="med" len="med"/>
                                  <a:tailEnd type="triangle" w="med" len="med"/>
                                </a:ln>
                              </wps:spPr>
                              <wps:bodyPr/>
                            </wps:wsp>
                            <wps:wsp>
                              <wps:cNvPr id="80" name="文本框 57"/>
                              <wps:cNvSpPr txBox="1"/>
                              <wps:spPr>
                                <a:xfrm>
                                  <a:off x="953770" y="2459990"/>
                                  <a:ext cx="162877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B46AF1">
                                    <w:pPr>
                                      <w:jc w:val="center"/>
                                      <w:rPr>
                                        <w:rFonts w:ascii="Times New Roman" w:hAnsi="Times New Roman" w:cs="Times New Roman"/>
                                        <w:color w:val="000000"/>
                                        <w:szCs w:val="21"/>
                                      </w:rPr>
                                    </w:pPr>
                                    <w:r>
                                      <w:rPr>
                                        <w:rFonts w:ascii="Times New Roman" w:hAnsi="Times New Roman" w:cs="Times New Roman"/>
                                        <w:color w:val="000000"/>
                                        <w:szCs w:val="21"/>
                                      </w:rPr>
                                      <w:t>负压+集中吸风</w:t>
                                    </w:r>
                                  </w:p>
                                  <w:p w14:paraId="78822A9F">
                                    <w:pPr>
                                      <w:jc w:val="center"/>
                                      <w:rPr>
                                        <w:rFonts w:ascii="Times New Roman" w:hAnsi="Times New Roman" w:cs="Times New Roman"/>
                                      </w:rPr>
                                    </w:pPr>
                                    <w:r>
                                      <w:rPr>
                                        <w:rFonts w:ascii="Times New Roman" w:hAnsi="Times New Roman" w:cs="Times New Roman"/>
                                        <w:color w:val="000000"/>
                                        <w:szCs w:val="21"/>
                                      </w:rPr>
                                      <w:t>（95%收集效率）</w:t>
                                    </w:r>
                                    <w:r>
                                      <w:rPr>
                                        <w:rFonts w:ascii="Times New Roman" w:hAnsi="Times New Roman" w:cs="Times New Roman"/>
                                      </w:rPr>
                                      <w:t>：0.</w:t>
                                    </w:r>
                                    <w:r>
                                      <w:rPr>
                                        <w:rFonts w:hint="eastAsia" w:ascii="Times New Roman" w:hAnsi="Times New Roman" w:cs="Times New Roman"/>
                                      </w:rPr>
                                      <w:t>788</w:t>
                                    </w:r>
                                  </w:p>
                                </w:txbxContent>
                              </wps:txbx>
                              <wps:bodyPr upright="1"/>
                            </wps:wsp>
                            <wps:wsp>
                              <wps:cNvPr id="81" name="文本框 59"/>
                              <wps:cNvSpPr txBox="1"/>
                              <wps:spPr>
                                <a:xfrm>
                                  <a:off x="3368040" y="2449830"/>
                                  <a:ext cx="1299210"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DBCA7A">
                                    <w:pPr>
                                      <w:jc w:val="center"/>
                                      <w:rPr>
                                        <w:rFonts w:ascii="Times New Roman" w:hAnsi="Times New Roman" w:cs="Times New Roman"/>
                                      </w:rPr>
                                    </w:pPr>
                                    <w:r>
                                      <w:rPr>
                                        <w:rFonts w:ascii="Times New Roman" w:hAnsi="Times New Roman" w:cs="Times New Roman"/>
                                      </w:rPr>
                                      <w:t>无组织排放：0.0</w:t>
                                    </w:r>
                                    <w:r>
                                      <w:rPr>
                                        <w:rFonts w:hint="eastAsia" w:ascii="Times New Roman" w:hAnsi="Times New Roman" w:cs="Times New Roman"/>
                                      </w:rPr>
                                      <w:t>41</w:t>
                                    </w:r>
                                  </w:p>
                                </w:txbxContent>
                              </wps:txbx>
                              <wps:bodyPr upright="1"/>
                            </wps:wsp>
                            <wps:wsp>
                              <wps:cNvPr id="82" name="文本框 21"/>
                              <wps:cNvSpPr txBox="1"/>
                              <wps:spPr>
                                <a:xfrm>
                                  <a:off x="2084070" y="1735455"/>
                                  <a:ext cx="132715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14E4E9">
                                    <w:pPr>
                                      <w:rPr>
                                        <w:rFonts w:eastAsia="宋体"/>
                                      </w:rPr>
                                    </w:pPr>
                                    <w:r>
                                      <w:rPr>
                                        <w:rFonts w:hint="eastAsia" w:ascii="Times New Roman" w:hAnsi="Times New Roman" w:cs="Times New Roman"/>
                                      </w:rPr>
                                      <w:t>非甲烷总烃</w:t>
                                    </w:r>
                                    <w:r>
                                      <w:rPr>
                                        <w:rFonts w:ascii="Times New Roman" w:hAnsi="Times New Roman" w:cs="Times New Roman"/>
                                      </w:rPr>
                                      <w:t>：</w:t>
                                    </w:r>
                                    <w:r>
                                      <w:rPr>
                                        <w:rFonts w:hint="eastAsia" w:ascii="Times New Roman" w:hAnsi="Times New Roman" w:cs="Times New Roman"/>
                                      </w:rPr>
                                      <w:t>0.829</w:t>
                                    </w:r>
                                  </w:p>
                                  <w:p w14:paraId="5264E800"/>
                                </w:txbxContent>
                              </wps:txbx>
                              <wps:bodyPr upright="1"/>
                            </wps:wsp>
                            <wps:wsp>
                              <wps:cNvPr id="83" name="直接连接符 3"/>
                              <wps:cNvCnPr/>
                              <wps:spPr>
                                <a:xfrm>
                                  <a:off x="2740660" y="1989455"/>
                                  <a:ext cx="3810" cy="259080"/>
                                </a:xfrm>
                                <a:prstGeom prst="line">
                                  <a:avLst/>
                                </a:prstGeom>
                                <a:ln w="9525" cap="flat" cmpd="sng">
                                  <a:solidFill>
                                    <a:srgbClr val="000000"/>
                                  </a:solidFill>
                                  <a:prstDash val="solid"/>
                                  <a:headEnd type="none" w="med" len="med"/>
                                  <a:tailEnd type="triangle" w="med" len="med"/>
                                </a:ln>
                              </wps:spPr>
                              <wps:bodyPr/>
                            </wps:wsp>
                            <wps:wsp>
                              <wps:cNvPr id="84" name="直接连接符 60"/>
                              <wps:cNvCnPr/>
                              <wps:spPr>
                                <a:xfrm flipV="1">
                                  <a:off x="1703070" y="2233295"/>
                                  <a:ext cx="2241550" cy="20955"/>
                                </a:xfrm>
                                <a:prstGeom prst="line">
                                  <a:avLst/>
                                </a:prstGeom>
                                <a:ln w="9525" cap="flat" cmpd="sng">
                                  <a:solidFill>
                                    <a:srgbClr val="000000"/>
                                  </a:solidFill>
                                  <a:prstDash val="solid"/>
                                  <a:headEnd type="none" w="med" len="med"/>
                                  <a:tailEnd type="none" w="med" len="med"/>
                                </a:ln>
                              </wps:spPr>
                              <wps:bodyPr/>
                            </wps:wsp>
                            <wps:wsp>
                              <wps:cNvPr id="85" name="直接连接符 22"/>
                              <wps:cNvCnPr/>
                              <wps:spPr>
                                <a:xfrm>
                                  <a:off x="3937000" y="2233295"/>
                                  <a:ext cx="0" cy="177800"/>
                                </a:xfrm>
                                <a:prstGeom prst="line">
                                  <a:avLst/>
                                </a:prstGeom>
                                <a:ln w="9525" cap="flat" cmpd="sng">
                                  <a:solidFill>
                                    <a:srgbClr val="000000"/>
                                  </a:solidFill>
                                  <a:prstDash val="solid"/>
                                  <a:headEnd type="none" w="med" len="med"/>
                                  <a:tailEnd type="triangle" w="med" len="med"/>
                                </a:ln>
                              </wps:spPr>
                              <wps:bodyPr/>
                            </wps:wsp>
                            <wps:wsp>
                              <wps:cNvPr id="86" name="直接连接符 22"/>
                              <wps:cNvCnPr/>
                              <wps:spPr>
                                <a:xfrm>
                                  <a:off x="1718310" y="2268855"/>
                                  <a:ext cx="0" cy="177800"/>
                                </a:xfrm>
                                <a:prstGeom prst="line">
                                  <a:avLst/>
                                </a:prstGeom>
                                <a:ln w="9525" cap="flat" cmpd="sng">
                                  <a:solidFill>
                                    <a:srgbClr val="000000"/>
                                  </a:solidFill>
                                  <a:prstDash val="solid"/>
                                  <a:headEnd type="none" w="med" len="med"/>
                                  <a:tailEnd type="triangle" w="med" len="med"/>
                                </a:ln>
                              </wps:spPr>
                              <wps:bodyPr/>
                            </wps:wsp>
                            <wps:wsp>
                              <wps:cNvPr id="87" name="直接连接符 3"/>
                              <wps:cNvCnPr/>
                              <wps:spPr>
                                <a:xfrm>
                                  <a:off x="1756410" y="2953385"/>
                                  <a:ext cx="3810" cy="259080"/>
                                </a:xfrm>
                                <a:prstGeom prst="line">
                                  <a:avLst/>
                                </a:prstGeom>
                                <a:ln w="9525" cap="flat" cmpd="sng">
                                  <a:solidFill>
                                    <a:srgbClr val="000000"/>
                                  </a:solidFill>
                                  <a:prstDash val="solid"/>
                                  <a:headEnd type="none" w="med" len="med"/>
                                  <a:tailEnd type="triangle" w="med" len="med"/>
                                </a:ln>
                              </wps:spPr>
                              <wps:bodyPr/>
                            </wps:wsp>
                            <wps:wsp>
                              <wps:cNvPr id="88" name="直接连接符 64"/>
                              <wps:cNvCnPr/>
                              <wps:spPr>
                                <a:xfrm flipV="1">
                                  <a:off x="909955" y="3217545"/>
                                  <a:ext cx="1722120" cy="10160"/>
                                </a:xfrm>
                                <a:prstGeom prst="line">
                                  <a:avLst/>
                                </a:prstGeom>
                                <a:ln w="9525" cap="flat" cmpd="sng">
                                  <a:solidFill>
                                    <a:srgbClr val="000000"/>
                                  </a:solidFill>
                                  <a:prstDash val="solid"/>
                                  <a:headEnd type="none" w="med" len="med"/>
                                  <a:tailEnd type="none" w="med" len="med"/>
                                </a:ln>
                              </wps:spPr>
                              <wps:bodyPr/>
                            </wps:wsp>
                            <wps:wsp>
                              <wps:cNvPr id="89" name="直接连接符 22"/>
                              <wps:cNvCnPr/>
                              <wps:spPr>
                                <a:xfrm>
                                  <a:off x="920750" y="3246120"/>
                                  <a:ext cx="0" cy="177800"/>
                                </a:xfrm>
                                <a:prstGeom prst="line">
                                  <a:avLst/>
                                </a:prstGeom>
                                <a:ln w="9525" cap="flat" cmpd="sng">
                                  <a:solidFill>
                                    <a:srgbClr val="000000"/>
                                  </a:solidFill>
                                  <a:prstDash val="solid"/>
                                  <a:headEnd type="none" w="med" len="med"/>
                                  <a:tailEnd type="triangle" w="med" len="med"/>
                                </a:ln>
                              </wps:spPr>
                              <wps:bodyPr/>
                            </wps:wsp>
                            <wps:wsp>
                              <wps:cNvPr id="90" name="直接连接符 22"/>
                              <wps:cNvCnPr/>
                              <wps:spPr>
                                <a:xfrm>
                                  <a:off x="2634615" y="3216910"/>
                                  <a:ext cx="0" cy="177800"/>
                                </a:xfrm>
                                <a:prstGeom prst="line">
                                  <a:avLst/>
                                </a:prstGeom>
                                <a:ln w="9525" cap="flat" cmpd="sng">
                                  <a:solidFill>
                                    <a:srgbClr val="000000"/>
                                  </a:solidFill>
                                  <a:prstDash val="solid"/>
                                  <a:headEnd type="none" w="med" len="med"/>
                                  <a:tailEnd type="triangle" w="med" len="med"/>
                                </a:ln>
                              </wps:spPr>
                              <wps:bodyPr/>
                            </wps:wsp>
                          </wpc:wpc>
                        </a:graphicData>
                      </a:graphic>
                    </wp:inline>
                  </w:drawing>
                </mc:Choice>
                <mc:Fallback>
                  <w:pict>
                    <v:group id="_x0000_s1026" o:spid="_x0000_s1026" o:spt="203" style="height:320.65pt;width:417.45pt;" coordsize="5301615,4072255" editas="canvas" o:gfxdata="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">
                      <o:lock v:ext="edit" aspectratio="f"/>
                      <v:shape id="_x0000_s1026" o:spid="_x0000_s1026" style="position:absolute;left:0;top:0;height:4072255;width:5301615;" filled="f" stroked="f" coordsize="21600,21600" o:gfxdata="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D9LQDX1wAAAAUBAAAPAAAAAAAAAAEAIAAAACIAAABkcnMvZG93bnJldi54&#10;bWxQSwECFAAUAAAACACHTuJAB42m/eEGAAAjOgAADgAAAAAAAAABACAAAAAmAQAAZHJzL2Uyb0Rv&#10;Yy54bWxQSwUGAAAAAAYABgBZAQAAeQoAAAAA&#10;">
                        <v:fill on="f" focussize="0,0"/>
                        <v:stroke on="f"/>
                        <v:imagedata o:title=""/>
                        <o:lock v:ext="edit" aspectratio="f"/>
                      </v:shape>
                      <v:line id="直接连接符 3" o:spid="_x0000_s1026" o:spt="20" style="position:absolute;left:2745105;top:315595;height:259080;width:3810;" filled="f" stroked="t" coordsize="21600,21600" o:gfxdata="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BdncjYAAAABQEAAA8AAAAAAAAAAQAgAAAAIgAAAGRy&#10;cy9kb3ducmV2LnhtbFBLAQIUABQAAAAIAIdO4kAnEEKnBQIAAOoDAAAOAAAAAAAAAAEAIAAAACcB&#10;AABkcnMvZTJvRG9jLnhtbFBLBQYAAAAABgAGAFkBAACeBQAAAAA=&#10;">
                        <v:fill on="f" focussize="0,0"/>
                        <v:stroke color="#000000" joinstyle="round" endarrow="block"/>
                        <v:imagedata o:title=""/>
                        <o:lock v:ext="edit" aspectratio="f"/>
                      </v:line>
                      <v:shape id="文本框 13" o:spid="_x0000_s1026" o:spt="202" type="#_x0000_t202" style="position:absolute;left:1584960;top:541655;height:266700;width:2333625;" fillcolor="#FFFFFF" filled="t" stroked="t" coordsize="21600,21600" o:gfxdata="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LBJajWAAAABQEAAA8A&#10;AAAAAAAAAQAgAAAAIgAAAGRycy9kb3ducmV2LnhtbFBLAQIUABQAAAAIAIdO4kCw+YMNGQIAAEME&#10;AAAOAAAAAAAAAAEAIAAAACUBAABkcnMvZTJvRG9jLnhtbFBLBQYAAAAABgAGAFkBAACwBQAAAAA=&#10;">
                        <v:fill on="t" focussize="0,0"/>
                        <v:stroke color="#000000" joinstyle="miter"/>
                        <v:imagedata o:title=""/>
                        <o:lock v:ext="edit" aspectratio="f"/>
                        <v:textbox>
                          <w:txbxContent>
                            <w:p w14:paraId="51BD6304">
                              <w:pPr>
                                <w:jc w:val="center"/>
                              </w:pPr>
                              <w:r>
                                <w:rPr>
                                  <w:rFonts w:hint="eastAsia"/>
                                </w:rPr>
                                <w:t>调漆+喷漆+烘</w:t>
                              </w:r>
                              <w:r>
                                <w:rPr>
                                  <w:rFonts w:ascii="Times New Roman" w:hAnsi="Times New Roman" w:cs="Times New Roman"/>
                                </w:rPr>
                                <w:t>干：</w:t>
                              </w:r>
                              <w:r>
                                <w:rPr>
                                  <w:rFonts w:hint="eastAsia" w:ascii="Times New Roman" w:hAnsi="Times New Roman" w:cs="Times New Roman"/>
                                </w:rPr>
                                <w:t>0.829</w:t>
                              </w:r>
                            </w:p>
                          </w:txbxContent>
                        </v:textbox>
                      </v:shape>
                      <v:shape id="文本框 14" o:spid="_x0000_s1026" o:spt="202" type="#_x0000_t202" style="position:absolute;left:198755;top:1094106;height:266700;width:1536700;" fillcolor="#FFFFFF" filled="t" stroked="t" coordsize="21600,21600" o:gfxdata="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sElqNYAAAAFAQAADwAAAAAA&#10;AAABACAAAAAiAAAAZHJzL2Rvd25yZXYueG1sUEsBAhQAFAAAAAgAh07iQAl3Qd4VAgAAQwQAAA4A&#10;AAAAAAAAAQAgAAAAJQEAAGRycy9lMm9Eb2MueG1sUEsFBgAAAAAGAAYAWQEAAKwFAAAAAA==&#10;">
                        <v:fill on="t" focussize="0,0"/>
                        <v:stroke color="#000000" joinstyle="miter"/>
                        <v:imagedata o:title=""/>
                        <o:lock v:ext="edit" aspectratio="f"/>
                        <v:textbox>
                          <w:txbxContent>
                            <w:p w14:paraId="7D7EAEF5">
                              <w:pPr>
                                <w:jc w:val="center"/>
                              </w:pPr>
                              <w:r>
                                <w:rPr>
                                  <w:rFonts w:hint="eastAsia" w:ascii="Times New Roman" w:hAnsi="Times New Roman" w:cs="Times New Roman"/>
                                </w:rPr>
                                <w:t>烘</w:t>
                              </w:r>
                              <w:r>
                                <w:rPr>
                                  <w:rFonts w:ascii="Times New Roman" w:hAnsi="Times New Roman" w:cs="Times New Roman"/>
                                </w:rPr>
                                <w:t>干：</w:t>
                              </w:r>
                              <w:r>
                                <w:rPr>
                                  <w:rFonts w:hint="eastAsia" w:ascii="Times New Roman" w:hAnsi="Times New Roman" w:cs="Times New Roman"/>
                                </w:rPr>
                                <w:t>0.481</w:t>
                              </w:r>
                            </w:p>
                          </w:txbxContent>
                        </v:textbox>
                      </v:shape>
                      <v:line id="直接连接符 16" o:spid="_x0000_s1026" o:spt="20" style="position:absolute;left:1282065;top:932180;height:635;width:3241040;" filled="f" stroked="t" coordsize="21600,21600" o:gfxdata="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yk+qNYAAAAFAQAADwAAAAAAAAABACAAAAAiAAAAZHJzL2Rvd25yZXYueG1s&#10;UEsBAhQAFAAAAAgAh07iQId4OXH6AQAA5wMAAA4AAAAAAAAAAQAgAAAAJQEAAGRycy9lMm9Eb2Mu&#10;eG1sUEsFBgAAAAAGAAYAWQEAAJEFAAAAAA==&#10;">
                        <v:fill on="f" focussize="0,0"/>
                        <v:stroke color="#000000" joinstyle="round"/>
                        <v:imagedata o:title=""/>
                        <o:lock v:ext="edit" aspectratio="f"/>
                      </v:line>
                      <v:line id="直接连接符 19" o:spid="_x0000_s1026" o:spt="20" style="position:absolute;left:1255395;top:949325;flip:x;height:154940;width:8890;" filled="f" stroked="t" coordsize="21600,21600" o:gfxdata="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4NQib1wAAAAUBAAAPAAAAAAAAAAEAIAAA&#10;ACIAAABkcnMvZG93bnJldi54bWxQSwECFAAUAAAACACHTuJAyBj6hw0CAAD1AwAADgAAAAAAAAAB&#10;ACAAAAAmAQAAZHJzL2Uyb0RvYy54bWxQSwUGAAAAAAYABgBZAQAApQUAAAAA&#10;">
                        <v:fill on="f" focussize="0,0"/>
                        <v:stroke color="#000000" joinstyle="round" endarrow="block"/>
                        <v:imagedata o:title=""/>
                        <o:lock v:ext="edit" aspectratio="f"/>
                      </v:line>
                      <v:line id="直接连接符 20" o:spid="_x0000_s1026" o:spt="20" style="position:absolute;left:2747010;top:808355;flip:x;height:298450;width:5080;" filled="f" stroked="t" coordsize="21600,21600" o:gfxdata="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DUIm9cAAAAFAQAADwAAAAAAAAABACAAAAAi&#10;AAAAZHJzL2Rvd25yZXYueG1sUEsBAhQAFAAAAAgAh07iQGqdtkYLAgAA9QMAAA4AAAAAAAAAAQAg&#10;AAAAJgEAAGRycy9lMm9Eb2MueG1sUEsFBgAAAAAGAAYAWQEAAKMFAAAAAA==&#10;">
                        <v:fill on="f" focussize="0,0"/>
                        <v:stroke color="#000000" joinstyle="round" endarrow="block"/>
                        <v:imagedata o:title=""/>
                        <o:lock v:ext="edit" aspectratio="f"/>
                      </v:line>
                      <v:shape id="文本框 21" o:spid="_x0000_s1026" o:spt="202" type="#_x0000_t202" style="position:absolute;left:2126615;top:1082675;height:266700;width:1327150;" fillcolor="#FFFFFF" filled="t" stroked="t" coordsize="21600,21600" o:gfxdata="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LBJajWAAAABQEAAA8AAAAA&#10;AAAAAQAgAAAAIgAAAGRycy9kb3ducmV2LnhtbFBLAQIUABQAAAAIAIdO4kDuc6xMFgIAAEQEAAAO&#10;AAAAAAAAAAEAIAAAACUBAABkcnMvZTJvRG9jLnhtbFBLBQYAAAAABgAGAFkBAACtBQAAAAA=&#10;">
                        <v:fill on="t" focussize="0,0"/>
                        <v:stroke color="#000000" joinstyle="miter"/>
                        <v:imagedata o:title=""/>
                        <o:lock v:ext="edit" aspectratio="f"/>
                        <v:textbox>
                          <w:txbxContent>
                            <w:p w14:paraId="74615561">
                              <w:pPr>
                                <w:jc w:val="center"/>
                              </w:pPr>
                              <w:r>
                                <w:rPr>
                                  <w:rFonts w:hint="eastAsia"/>
                                </w:rPr>
                                <w:t>喷</w:t>
                              </w:r>
                              <w:r>
                                <w:rPr>
                                  <w:rFonts w:ascii="Times New Roman" w:hAnsi="Times New Roman" w:cs="Times New Roman"/>
                                </w:rPr>
                                <w:t>漆：</w:t>
                              </w:r>
                              <w:r>
                                <w:rPr>
                                  <w:rFonts w:hint="eastAsia" w:ascii="Times New Roman" w:hAnsi="Times New Roman" w:cs="Times New Roman"/>
                                </w:rPr>
                                <w:t>0.331</w:t>
                              </w:r>
                            </w:p>
                          </w:txbxContent>
                        </v:textbox>
                      </v:shape>
                      <v:line id="直接连接符 22" o:spid="_x0000_s1026" o:spt="20" style="position:absolute;left:4526915;top:948690;height:177800;width:0;" filled="f" stroked="t" coordsize="21600,21600" o:gfxdata="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BdncjYAAAABQEAAA8AAAAAAAAAAQAgAAAAIgAAAGRycy9k&#10;b3ducmV2LnhtbFBLAQIUABQAAAAIAIdO4kC3xr3tAgIAAOgDAAAOAAAAAAAAAAEAIAAAACcBAABk&#10;cnMvZTJvRG9jLnhtbFBLBQYAAAAABgAGAFkBAACbBQAAAAA=&#10;">
                        <v:fill on="f" focussize="0,0"/>
                        <v:stroke color="#000000" joinstyle="round" endarrow="block"/>
                        <v:imagedata o:title=""/>
                        <o:lock v:ext="edit" aspectratio="f"/>
                      </v:line>
                      <v:shape id="文本框 23" o:spid="_x0000_s1026" o:spt="202" type="#_x0000_t202" style="position:absolute;left:3764280;top:1091565;height:266700;width:1310005;" fillcolor="#FFFFFF" filled="t" stroked="t" coordsize="21600,21600" o:gfxdata="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sElqNYAAAAFAQAA&#10;DwAAAAAAAAABACAAAAAiAAAAZHJzL2Rvd25yZXYueG1sUEsBAhQAFAAAAAgAh07iQD5WpgAbAgAA&#10;RAQAAA4AAAAAAAAAAQAgAAAAJQEAAGRycy9lMm9Eb2MueG1sUEsFBgAAAAAGAAYAWQEAALIFAAAA&#10;AA==&#10;">
                        <v:fill on="t" focussize="0,0"/>
                        <v:stroke color="#000000" joinstyle="miter"/>
                        <v:imagedata o:title=""/>
                        <o:lock v:ext="edit" aspectratio="f"/>
                        <v:textbox>
                          <w:txbxContent>
                            <w:p w14:paraId="36735709">
                              <w:pPr>
                                <w:jc w:val="center"/>
                                <w:rPr>
                                  <w:rFonts w:ascii="Times New Roman" w:hAnsi="Times New Roman" w:cs="Times New Roman"/>
                                </w:rPr>
                              </w:pPr>
                              <w:r>
                                <w:rPr>
                                  <w:rFonts w:hint="eastAsia"/>
                                </w:rPr>
                                <w:t>调漆：</w:t>
                              </w:r>
                              <w:r>
                                <w:rPr>
                                  <w:rFonts w:ascii="Times New Roman" w:hAnsi="Times New Roman" w:cs="Times New Roman"/>
                                </w:rPr>
                                <w:t>0.0</w:t>
                              </w:r>
                              <w:r>
                                <w:rPr>
                                  <w:rFonts w:hint="eastAsia" w:ascii="Times New Roman" w:hAnsi="Times New Roman" w:cs="Times New Roman"/>
                                </w:rPr>
                                <w:t>17</w:t>
                              </w:r>
                            </w:p>
                          </w:txbxContent>
                        </v:textbox>
                      </v:shape>
                      <v:shape id="文本框 24" o:spid="_x0000_s1026" o:spt="202" type="#_x0000_t202" style="position:absolute;left:1784350;top:3416300;height:490855;width:1785620;" fillcolor="#FFFFFF" filled="t" stroked="t" coordsize="21600,21600" o:gfxdata="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iwSWo1gAAAAUBAAAPAAAAAAAA&#10;AAEAIAAAACIAAABkcnMvZG93bnJldi54bWxQSwECFAAUAAAACACHTuJAGJClIRQCAABEBAAADgAA&#10;AAAAAAABACAAAAAlAQAAZHJzL2Uyb0RvYy54bWxQSwUGAAAAAAYABgBZAQAAqwUAAAAA&#10;">
                        <v:fill on="t" focussize="0,0"/>
                        <v:stroke color="#000000" joinstyle="miter"/>
                        <v:imagedata o:title=""/>
                        <o:lock v:ext="edit" aspectratio="f"/>
                        <v:textbox>
                          <w:txbxContent>
                            <w:p w14:paraId="3914C5D8">
                              <w:pPr>
                                <w:jc w:val="center"/>
                                <w:rPr>
                                  <w:rFonts w:ascii="Times New Roman" w:hAnsi="Times New Roman" w:cs="Times New Roman"/>
                                  <w:color w:val="FF0000"/>
                                  <w:szCs w:val="21"/>
                                </w:rPr>
                              </w:pPr>
                              <w:r>
                                <w:rPr>
                                  <w:rFonts w:hint="eastAsia" w:ascii="Times New Roman" w:hAnsi="Times New Roman" w:cs="Times New Roman"/>
                                  <w:color w:val="FF0000"/>
                                  <w:szCs w:val="21"/>
                                </w:rPr>
                                <w:t>二级</w:t>
                              </w:r>
                              <w:r>
                                <w:rPr>
                                  <w:rFonts w:ascii="Times New Roman" w:hAnsi="Times New Roman" w:cs="Times New Roman"/>
                                  <w:color w:val="FF0000"/>
                                  <w:szCs w:val="21"/>
                                </w:rPr>
                                <w:t>活性炭</w:t>
                              </w:r>
                            </w:p>
                            <w:p w14:paraId="1D828AB7">
                              <w:pPr>
                                <w:jc w:val="center"/>
                                <w:rPr>
                                  <w:rFonts w:hint="default" w:ascii="Times New Roman" w:hAnsi="Times New Roman" w:cs="Times New Roman" w:eastAsiaTheme="minorEastAsia"/>
                                  <w:color w:val="FF0000"/>
                                  <w:highlight w:val="cyan"/>
                                  <w:lang w:val="en-US" w:eastAsia="zh-CN"/>
                                </w:rPr>
                              </w:pPr>
                              <w:r>
                                <w:rPr>
                                  <w:rFonts w:ascii="Times New Roman" w:hAnsi="Times New Roman" w:cs="Times New Roman"/>
                                  <w:color w:val="FF0000"/>
                                  <w:szCs w:val="21"/>
                                </w:rPr>
                                <w:t>（</w:t>
                              </w:r>
                              <w:r>
                                <w:rPr>
                                  <w:rFonts w:hint="eastAsia" w:ascii="Times New Roman" w:hAnsi="Times New Roman" w:cs="Times New Roman"/>
                                  <w:color w:val="FF0000"/>
                                  <w:szCs w:val="21"/>
                                  <w:highlight w:val="cyan"/>
                                  <w:lang w:val="en-US" w:eastAsia="zh-CN"/>
                                </w:rPr>
                                <w:t>60</w:t>
                              </w:r>
                              <w:r>
                                <w:rPr>
                                  <w:rFonts w:ascii="Times New Roman" w:hAnsi="Times New Roman" w:cs="Times New Roman"/>
                                  <w:color w:val="FF0000"/>
                                  <w:szCs w:val="21"/>
                                  <w:highlight w:val="cyan"/>
                                </w:rPr>
                                <w:t>%效率）</w:t>
                              </w:r>
                              <w:r>
                                <w:rPr>
                                  <w:rFonts w:ascii="Times New Roman" w:hAnsi="Times New Roman" w:cs="Times New Roman"/>
                                  <w:color w:val="FF0000"/>
                                  <w:highlight w:val="cyan"/>
                                </w:rPr>
                                <w:t>：0.</w:t>
                              </w:r>
                              <w:r>
                                <w:rPr>
                                  <w:rFonts w:hint="eastAsia" w:ascii="Times New Roman" w:hAnsi="Times New Roman" w:cs="Times New Roman"/>
                                  <w:color w:val="FF0000"/>
                                  <w:highlight w:val="cyan"/>
                                  <w:lang w:val="en-US" w:eastAsia="zh-CN"/>
                                </w:rPr>
                                <w:t>473</w:t>
                              </w:r>
                            </w:p>
                          </w:txbxContent>
                        </v:textbox>
                      </v:shape>
                      <v:shape id="文本框 25" o:spid="_x0000_s1026" o:spt="202" type="#_x0000_t202" style="position:absolute;left:250190;top:3454400;height:287655;width:1339850;" fillcolor="#FFFFFF" filled="t" stroked="t" coordsize="21600,21600" o:gfxdata="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sElqNYAAAAFAQAADwAA&#10;AAAAAAABACAAAAAiAAAAZHJzL2Rvd25yZXYueG1sUEsBAhQAFAAAAAgAh07iQGEI468YAgAAQwQA&#10;AA4AAAAAAAAAAQAgAAAAJQEAAGRycy9lMm9Eb2MueG1sUEsFBgAAAAAGAAYAWQEAAK8FAAAAAA==&#10;">
                        <v:fill on="t" focussize="0,0"/>
                        <v:stroke color="#000000" joinstyle="miter"/>
                        <v:imagedata o:title=""/>
                        <o:lock v:ext="edit" aspectratio="f"/>
                        <v:textbox>
                          <w:txbxContent>
                            <w:p w14:paraId="59C6F2F7">
                              <w:pPr>
                                <w:jc w:val="center"/>
                                <w:rPr>
                                  <w:rFonts w:hint="default" w:ascii="Times New Roman" w:hAnsi="Times New Roman" w:cs="Times New Roman" w:eastAsiaTheme="minorEastAsia"/>
                                  <w:color w:val="FF0000"/>
                                  <w:lang w:val="en-US" w:eastAsia="zh-CN"/>
                                </w:rPr>
                              </w:pPr>
                              <w:r>
                                <w:rPr>
                                  <w:rFonts w:ascii="Times New Roman" w:hAnsi="Times New Roman" w:cs="Times New Roman"/>
                                  <w:color w:val="FF0000"/>
                                </w:rPr>
                                <w:t>排气筒排放：0.</w:t>
                              </w:r>
                              <w:r>
                                <w:rPr>
                                  <w:rFonts w:hint="eastAsia" w:ascii="Times New Roman" w:hAnsi="Times New Roman" w:cs="Times New Roman"/>
                                  <w:color w:val="FF0000"/>
                                  <w:lang w:val="en-US" w:eastAsia="zh-CN"/>
                                </w:rPr>
                                <w:t>315</w:t>
                              </w:r>
                            </w:p>
                          </w:txbxContent>
                        </v:textbox>
                      </v:shape>
                      <v:shape id="左大括号 26" o:spid="_x0000_s1026" o:spt="87" type="#_x0000_t87" style="position:absolute;left:2650490;top:-193040;height:3307715;width:142240;rotation:-5898240f;" fillcolor="#FFFFFF" filled="t" stroked="t" coordsize="21600,21600" o:gfxdata="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kU/CfTAAAABQEAAA8AAAAAAAAAAQAg&#10;AAAAIgAAAGRycy9kb3ducmV2LnhtbFBLAQIUABQAAAAIAIdO4kACfksKTAIAAKoEAAAOAAAAAAAA&#10;AAEAIAAAACIBAABkcnMvZTJvRG9jLnhtbFBLBQYAAAAABgAGAFkBAADgBQAAAAA=&#10;" adj="725,10915">
                        <v:fill on="t" opacity="0f" focussize="0,0"/>
                        <v:stroke color="#000000" joinstyle="round"/>
                        <v:imagedata o:title=""/>
                        <o:lock v:ext="edit" aspectratio="f"/>
                      </v:shape>
                      <v:shape id="文本框 28" o:spid="_x0000_s1026" o:spt="202" type="#_x0000_t202" style="position:absolute;left:1976755;top:75565;height:266700;width:1519555;" fillcolor="#FFFFFF" filled="t" stroked="t" coordsize="21600,21600" o:gfxdata="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iwSWo1gAAAAUBAAAPAAAAAAAA&#10;AAEAIAAAACIAAABkcnMvZG93bnJldi54bWxQSwECFAAUAAAACACHTuJAiAaeLRQCAABCBAAADgAA&#10;AAAAAAABACAAAAAlAQAAZHJzL2Uyb0RvYy54bWxQSwUGAAAAAAYABgBZAQAAqwUAAAAA&#10;">
                        <v:fill on="t" focussize="0,0"/>
                        <v:stroke color="#000000" joinstyle="miter"/>
                        <v:imagedata o:title=""/>
                        <o:lock v:ext="edit" aspectratio="f"/>
                        <v:textbox>
                          <w:txbxContent>
                            <w:p w14:paraId="12C42F93">
                              <w:pPr>
                                <w:rPr>
                                  <w:rFonts w:eastAsia="宋体"/>
                                </w:rPr>
                              </w:pPr>
                              <w:r>
                                <w:rPr>
                                  <w:rFonts w:hint="eastAsia" w:ascii="Times New Roman" w:hAnsi="Times New Roman" w:cs="Times New Roman"/>
                                </w:rPr>
                                <w:t>非甲烷总烃</w:t>
                              </w:r>
                              <w:r>
                                <w:rPr>
                                  <w:rFonts w:ascii="Times New Roman" w:hAnsi="Times New Roman" w:cs="Times New Roman"/>
                                </w:rPr>
                                <w:t>：</w:t>
                              </w:r>
                              <w:r>
                                <w:rPr>
                                  <w:rFonts w:hint="eastAsia" w:ascii="Times New Roman" w:hAnsi="Times New Roman" w:cs="Times New Roman"/>
                                </w:rPr>
                                <w:t>0.829</w:t>
                              </w:r>
                            </w:p>
                          </w:txbxContent>
                        </v:textbox>
                      </v:shape>
                      <v:line id="直接连接符 33" o:spid="_x0000_s1026" o:spt="20" style="position:absolute;left:2738120;top:1509395;flip:x;height:215900;width:9525;" filled="f" stroked="t" coordsize="21600,21600" o:gfxdata="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DUIm9cAAAAFAQAADwAAAAAAAAABACAAAAAi&#10;AAAAZHJzL2Rvd25yZXYueG1sUEsBAhQAFAAAAAgAh07iQALMHBoLAgAA9gMAAA4AAAAAAAAAAQAg&#10;AAAAJgEAAGRycy9lMm9Eb2MueG1sUEsFBgAAAAAGAAYAWQEAAKMFAAAAAA==&#10;">
                        <v:fill on="f" focussize="0,0"/>
                        <v:stroke color="#000000" joinstyle="round" endarrow="block"/>
                        <v:imagedata o:title=""/>
                        <o:lock v:ext="edit" aspectratio="f"/>
                      </v:line>
                      <v:shape id="文本框 57" o:spid="_x0000_s1026" o:spt="202" type="#_x0000_t202" style="position:absolute;left:953770;top:2459990;height:476250;width:1628775;" fillcolor="#FFFFFF" filled="t" stroked="t" coordsize="21600,21600" o:gfxdata="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LBJajWAAAABQEAAA8AAAAA&#10;AAAAAQAgAAAAIgAAAGRycy9kb3ducmV2LnhtbFBLAQIUABQAAAAIAIdO4kDsYLTNFgIAAEMEAAAO&#10;AAAAAAAAAAEAIAAAACUBAABkcnMvZTJvRG9jLnhtbFBLBQYAAAAABgAGAFkBAACtBQAAAAA=&#10;">
                        <v:fill on="t" focussize="0,0"/>
                        <v:stroke color="#000000" joinstyle="miter"/>
                        <v:imagedata o:title=""/>
                        <o:lock v:ext="edit" aspectratio="f"/>
                        <v:textbox>
                          <w:txbxContent>
                            <w:p w14:paraId="10B46AF1">
                              <w:pPr>
                                <w:jc w:val="center"/>
                                <w:rPr>
                                  <w:rFonts w:ascii="Times New Roman" w:hAnsi="Times New Roman" w:cs="Times New Roman"/>
                                  <w:color w:val="000000"/>
                                  <w:szCs w:val="21"/>
                                </w:rPr>
                              </w:pPr>
                              <w:r>
                                <w:rPr>
                                  <w:rFonts w:ascii="Times New Roman" w:hAnsi="Times New Roman" w:cs="Times New Roman"/>
                                  <w:color w:val="000000"/>
                                  <w:szCs w:val="21"/>
                                </w:rPr>
                                <w:t>负压+集中吸风</w:t>
                              </w:r>
                            </w:p>
                            <w:p w14:paraId="78822A9F">
                              <w:pPr>
                                <w:jc w:val="center"/>
                                <w:rPr>
                                  <w:rFonts w:ascii="Times New Roman" w:hAnsi="Times New Roman" w:cs="Times New Roman"/>
                                </w:rPr>
                              </w:pPr>
                              <w:r>
                                <w:rPr>
                                  <w:rFonts w:ascii="Times New Roman" w:hAnsi="Times New Roman" w:cs="Times New Roman"/>
                                  <w:color w:val="000000"/>
                                  <w:szCs w:val="21"/>
                                </w:rPr>
                                <w:t>（95%收集效率）</w:t>
                              </w:r>
                              <w:r>
                                <w:rPr>
                                  <w:rFonts w:ascii="Times New Roman" w:hAnsi="Times New Roman" w:cs="Times New Roman"/>
                                </w:rPr>
                                <w:t>：0.</w:t>
                              </w:r>
                              <w:r>
                                <w:rPr>
                                  <w:rFonts w:hint="eastAsia" w:ascii="Times New Roman" w:hAnsi="Times New Roman" w:cs="Times New Roman"/>
                                </w:rPr>
                                <w:t>788</w:t>
                              </w:r>
                            </w:p>
                          </w:txbxContent>
                        </v:textbox>
                      </v:shape>
                      <v:shape id="文本框 59" o:spid="_x0000_s1026" o:spt="202" type="#_x0000_t202" style="position:absolute;left:3368040;top:2449830;height:279400;width:1299210;" fillcolor="#FFFFFF" filled="t" stroked="t" coordsize="21600,21600" o:gfxdata="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sElqNYAAAAFAQAADwAA&#10;AAAAAAABACAAAAAiAAAAZHJzL2Rvd25yZXYueG1sUEsBAhQAFAAAAAgAh07iQJCT/94YAgAARAQA&#10;AA4AAAAAAAAAAQAgAAAAJQEAAGRycy9lMm9Eb2MueG1sUEsFBgAAAAAGAAYAWQEAAK8FAAAAAA==&#10;">
                        <v:fill on="t" focussize="0,0"/>
                        <v:stroke color="#000000" joinstyle="miter"/>
                        <v:imagedata o:title=""/>
                        <o:lock v:ext="edit" aspectratio="f"/>
                        <v:textbox>
                          <w:txbxContent>
                            <w:p w14:paraId="0BDBCA7A">
                              <w:pPr>
                                <w:jc w:val="center"/>
                                <w:rPr>
                                  <w:rFonts w:ascii="Times New Roman" w:hAnsi="Times New Roman" w:cs="Times New Roman"/>
                                </w:rPr>
                              </w:pPr>
                              <w:r>
                                <w:rPr>
                                  <w:rFonts w:ascii="Times New Roman" w:hAnsi="Times New Roman" w:cs="Times New Roman"/>
                                </w:rPr>
                                <w:t>无组织排放：0.0</w:t>
                              </w:r>
                              <w:r>
                                <w:rPr>
                                  <w:rFonts w:hint="eastAsia" w:ascii="Times New Roman" w:hAnsi="Times New Roman" w:cs="Times New Roman"/>
                                </w:rPr>
                                <w:t>41</w:t>
                              </w:r>
                            </w:p>
                          </w:txbxContent>
                        </v:textbox>
                      </v:shape>
                      <v:shape id="文本框 21" o:spid="_x0000_s1026" o:spt="202" type="#_x0000_t202" style="position:absolute;left:2084070;top:1735455;height:266700;width:1327150;" fillcolor="#FFFFFF" filled="t" stroked="t" coordsize="21600,21600" o:gfxdata="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sElqNYAAAAFAQAADwAA&#10;AAAAAAABACAAAAAiAAAAZHJzL2Rvd25yZXYueG1sUEsBAhQAFAAAAAgAh07iQNem21gYAgAARAQA&#10;AA4AAAAAAAAAAQAgAAAAJQEAAGRycy9lMm9Eb2MueG1sUEsFBgAAAAAGAAYAWQEAAK8FAAAAAA==&#10;">
                        <v:fill on="t" focussize="0,0"/>
                        <v:stroke color="#000000" joinstyle="miter"/>
                        <v:imagedata o:title=""/>
                        <o:lock v:ext="edit" aspectratio="f"/>
                        <v:textbox>
                          <w:txbxContent>
                            <w:p w14:paraId="1114E4E9">
                              <w:pPr>
                                <w:rPr>
                                  <w:rFonts w:eastAsia="宋体"/>
                                </w:rPr>
                              </w:pPr>
                              <w:r>
                                <w:rPr>
                                  <w:rFonts w:hint="eastAsia" w:ascii="Times New Roman" w:hAnsi="Times New Roman" w:cs="Times New Roman"/>
                                </w:rPr>
                                <w:t>非甲烷总烃</w:t>
                              </w:r>
                              <w:r>
                                <w:rPr>
                                  <w:rFonts w:ascii="Times New Roman" w:hAnsi="Times New Roman" w:cs="Times New Roman"/>
                                </w:rPr>
                                <w:t>：</w:t>
                              </w:r>
                              <w:r>
                                <w:rPr>
                                  <w:rFonts w:hint="eastAsia" w:ascii="Times New Roman" w:hAnsi="Times New Roman" w:cs="Times New Roman"/>
                                </w:rPr>
                                <w:t>0.829</w:t>
                              </w:r>
                            </w:p>
                            <w:p w14:paraId="5264E800"/>
                          </w:txbxContent>
                        </v:textbox>
                      </v:shape>
                      <v:line id="直接连接符 3" o:spid="_x0000_s1026" o:spt="20" style="position:absolute;left:2740660;top:1989455;height:259080;width:3810;" filled="f" stroked="t" coordsize="21600,21600" o:gfxdata="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&#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wXZ3I2AAAAAUBAAAPAAAAAAAAAAEAIAAAACIAAABk&#10;cnMvZG93bnJldi54bWxQSwECFAAUAAAACACHTuJAgkfd2gYCAADrAwAADgAAAAAAAAABACAAAAAn&#10;AQAAZHJzL2Uyb0RvYy54bWxQSwUGAAAAAAYABgBZAQAAnwUAAAAA&#10;">
                        <v:fill on="f" focussize="0,0"/>
                        <v:stroke color="#000000" joinstyle="round" endarrow="block"/>
                        <v:imagedata o:title=""/>
                        <o:lock v:ext="edit" aspectratio="f"/>
                      </v:line>
                      <v:line id="直接连接符 60" o:spid="_x0000_s1026" o:spt="20" style="position:absolute;left:1703070;top:2233295;flip:y;height:20955;width:2241550;" filled="f" stroked="t" coordsize="21600,21600" o:gfxdata="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HzEG1QAAAAUBAAAPAAAAAAAAAAEAIAAAACIAAABkcnMv&#10;ZG93bnJldi54bWxQSwECFAAUAAAACACHTuJAjtlXEwYCAAD0AwAADgAAAAAAAAABACAAAAAkAQAA&#10;ZHJzL2Uyb0RvYy54bWxQSwUGAAAAAAYABgBZAQAAnAUAAAAA&#10;">
                        <v:fill on="f" focussize="0,0"/>
                        <v:stroke color="#000000" joinstyle="round"/>
                        <v:imagedata o:title=""/>
                        <o:lock v:ext="edit" aspectratio="f"/>
                      </v:line>
                      <v:line id="直接连接符 22" o:spid="_x0000_s1026" o:spt="20" style="position:absolute;left:3937000;top:2233295;height:177800;width:0;" filled="f" stroked="t" coordsize="21600,21600" o:gfxdata="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F2dyNgAAAAFAQAADwAAAAAAAAABACAAAAAiAAAAZHJzL2Rv&#10;d25yZXYueG1sUEsBAhQAFAAAAAgAh07iQFiLEHcBAgAA6QMAAA4AAAAAAAAAAQAgAAAAJwEAAGRy&#10;cy9lMm9Eb2MueG1sUEsFBgAAAAAGAAYAWQEAAJoFAAAAAA==&#10;">
                        <v:fill on="f" focussize="0,0"/>
                        <v:stroke color="#000000" joinstyle="round" endarrow="block"/>
                        <v:imagedata o:title=""/>
                        <o:lock v:ext="edit" aspectratio="f"/>
                      </v:line>
                      <v:line id="直接连接符 22" o:spid="_x0000_s1026" o:spt="20" style="position:absolute;left:1718310;top:2268855;height:177800;width:0;" filled="f" stroked="t" coordsize="21600,21600" o:gfxdata="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XZ3I2AAAAAUBAAAPAAAAAAAAAAEAIAAAACIAAABkcnMv&#10;ZG93bnJldi54bWxQSwECFAAUAAAACACHTuJAKXkukQMCAADpAwAADgAAAAAAAAABACAAAAAnAQAA&#10;ZHJzL2Uyb0RvYy54bWxQSwUGAAAAAAYABgBZAQAAnAUAAAAA&#10;">
                        <v:fill on="f" focussize="0,0"/>
                        <v:stroke color="#000000" joinstyle="round" endarrow="block"/>
                        <v:imagedata o:title=""/>
                        <o:lock v:ext="edit" aspectratio="f"/>
                      </v:line>
                      <v:line id="直接连接符 3" o:spid="_x0000_s1026" o:spt="20" style="position:absolute;left:1756410;top:2953385;height:259080;width:3810;" filled="f" stroked="t" coordsize="21600,21600" o:gfxdata="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BdncjYAAAABQEAAA8AAAAAAAAAAQAgAAAAIgAAAGRy&#10;cy9kb3ducmV2LnhtbFBLAQIUABQAAAAIAIdO4kBJ1Z6fBQIAAOsDAAAOAAAAAAAAAAEAIAAAACcB&#10;AABkcnMvZTJvRG9jLnhtbFBLBQYAAAAABgAGAFkBAACeBQAAAAA=&#10;">
                        <v:fill on="f" focussize="0,0"/>
                        <v:stroke color="#000000" joinstyle="round" endarrow="block"/>
                        <v:imagedata o:title=""/>
                        <o:lock v:ext="edit" aspectratio="f"/>
                      </v:line>
                      <v:line id="直接连接符 64" o:spid="_x0000_s1026" o:spt="20" style="position:absolute;left:909955;top:3217545;flip:y;height:10160;width:1722120;" filled="f" stroked="t" coordsize="21600,21600" o:gfxdata="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&#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8fMQbVAAAABQEAAA8AAAAAAAAAAQAgAAAAIgAAAGRy&#10;cy9kb3ducmV2LnhtbFBLAQIUABQAAAAIAIdO4kBzzGjACAIAAPMDAAAOAAAAAAAAAAEAIAAAACQB&#10;AABkcnMvZTJvRG9jLnhtbFBLBQYAAAAABgAGAFkBAACeBQAAAAA=&#10;">
                        <v:fill on="f" focussize="0,0"/>
                        <v:stroke color="#000000" joinstyle="round"/>
                        <v:imagedata o:title=""/>
                        <o:lock v:ext="edit" aspectratio="f"/>
                      </v:line>
                      <v:line id="直接连接符 22" o:spid="_x0000_s1026" o:spt="20" style="position:absolute;left:920750;top:3246120;height:177800;width:0;" filled="f" stroked="t" coordsize="21600,21600" o:gfxdata="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F2dyNgAAAAFAQAADwAAAAAAAAABACAAAAAiAAAAZHJzL2Rv&#10;d25yZXYueG1sUEsBAhQAFAAAAAgAh07iQF5j+e4BAgAA6AMAAA4AAAAAAAAAAQAgAAAAJwEAAGRy&#10;cy9lMm9Eb2MueG1sUEsFBgAAAAAGAAYAWQEAAJoFAAAAAA==&#10;">
                        <v:fill on="f" focussize="0,0"/>
                        <v:stroke color="#000000" joinstyle="round" endarrow="block"/>
                        <v:imagedata o:title=""/>
                        <o:lock v:ext="edit" aspectratio="f"/>
                      </v:line>
                      <v:line id="直接连接符 22" o:spid="_x0000_s1026" o:spt="20" style="position:absolute;left:2634615;top:3216910;height:177800;width:0;" filled="f" stroked="t" coordsize="21600,21600" o:gfxdata="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XZ3I2AAAAAUBAAAPAAAAAAAAAAEAIAAAACIAAABkcnMv&#10;ZG93bnJldi54bWxQSwECFAAUAAAACACHTuJApXMlfQMCAADpAwAADgAAAAAAAAABACAAAAAnAQAA&#10;ZHJzL2Uyb0RvYy54bWxQSwUGAAAAAAYABgBZAQAAnAUAAAAA&#10;">
                        <v:fill on="f" focussize="0,0"/>
                        <v:stroke color="#000000" joinstyle="round" endarrow="block"/>
                        <v:imagedata o:title=""/>
                        <o:lock v:ext="edit" aspectratio="f"/>
                      </v:line>
                      <w10:wrap type="none"/>
                      <w10:anchorlock/>
                    </v:group>
                  </w:pict>
                </mc:Fallback>
              </mc:AlternateContent>
            </w:r>
          </w:p>
          <w:p w14:paraId="351A23C1">
            <w:pPr>
              <w:adjustRightInd w:val="0"/>
              <w:snapToGrid w:val="0"/>
              <w:spacing w:line="360" w:lineRule="auto"/>
              <w:jc w:val="center"/>
              <w:rPr>
                <w:rFonts w:ascii="Times New Roman" w:hAnsi="Times New Roman" w:cs="Times New Roman"/>
                <w:b/>
                <w:bCs/>
                <w:szCs w:val="21"/>
              </w:rPr>
            </w:pPr>
            <w:r>
              <w:rPr>
                <w:rFonts w:hint="eastAsia" w:ascii="Times New Roman" w:hAnsi="Times New Roman" w:cs="Times New Roman"/>
                <w:b/>
                <w:bCs/>
                <w:szCs w:val="21"/>
              </w:rPr>
              <w:t>图4-1</w:t>
            </w:r>
            <w:r>
              <w:rPr>
                <w:rFonts w:hint="eastAsia" w:ascii="Times New Roman" w:hAnsi="Times New Roman" w:cs="Times New Roman"/>
                <w:b/>
                <w:bCs/>
                <w:color w:val="auto"/>
                <w:szCs w:val="21"/>
              </w:rPr>
              <w:t xml:space="preserve">  喷</w:t>
            </w:r>
            <w:r>
              <w:rPr>
                <w:rFonts w:hint="eastAsia" w:ascii="Times New Roman" w:hAnsi="Times New Roman" w:cs="Times New Roman"/>
                <w:b/>
                <w:bCs/>
                <w:color w:val="FF0000"/>
                <w:szCs w:val="21"/>
              </w:rPr>
              <w:t xml:space="preserve">涂工序非甲烷总烃平衡图 </w:t>
            </w:r>
            <w:r>
              <w:rPr>
                <w:rFonts w:hint="eastAsia" w:ascii="Times New Roman" w:hAnsi="Times New Roman" w:cs="Times New Roman"/>
                <w:b/>
                <w:bCs/>
                <w:szCs w:val="21"/>
              </w:rPr>
              <w:t xml:space="preserve"> 单位t/a</w:t>
            </w:r>
            <w:commentRangeStart w:id="45"/>
            <w:commentRangeStart w:id="46"/>
            <w:r>
              <w:commentReference w:id="45"/>
            </w:r>
            <w:commentRangeEnd w:id="45"/>
            <w:commentRangeEnd w:id="46"/>
            <w:r>
              <w:commentReference w:id="46"/>
            </w:r>
          </w:p>
          <w:p w14:paraId="565B5934">
            <w:pPr>
              <w:adjustRightInd w:val="0"/>
              <w:snapToGrid w:val="0"/>
              <w:spacing w:line="360" w:lineRule="auto"/>
              <w:jc w:val="center"/>
              <w:rPr>
                <w:rFonts w:ascii="Times New Roman" w:hAnsi="Times New Roman" w:cs="Times New Roman"/>
                <w:b/>
                <w:bCs/>
                <w:szCs w:val="21"/>
              </w:rPr>
            </w:pPr>
            <w:r>
              <w:rPr>
                <w:rFonts w:ascii="Times New Roman" w:hAnsi="Times New Roman" w:cs="Times New Roman"/>
                <w:szCs w:val="21"/>
              </w:rPr>
              <mc:AlternateContent>
                <mc:Choice Requires="wpc">
                  <w:drawing>
                    <wp:inline distT="0" distB="0" distL="114300" distR="114300">
                      <wp:extent cx="4901565" cy="2428875"/>
                      <wp:effectExtent l="0" t="0" r="0" b="0"/>
                      <wp:docPr id="73" name="画布 73"/>
                      <wp:cNvGraphicFramePr/>
                      <a:graphic xmlns:a="http://schemas.openxmlformats.org/drawingml/2006/main">
                        <a:graphicData uri="http://schemas.microsoft.com/office/word/2010/wordprocessingCanvas">
                          <wpc:wpc>
                            <wpc:bg>
                              <a:noFill/>
                            </wpc:bg>
                            <wpc:whole>
                              <a:ln>
                                <a:noFill/>
                              </a:ln>
                            </wpc:whole>
                            <wps:wsp>
                              <wps:cNvPr id="91" name="文本框 24"/>
                              <wps:cNvSpPr txBox="1"/>
                              <wps:spPr>
                                <a:xfrm>
                                  <a:off x="2390775" y="1811020"/>
                                  <a:ext cx="1785620" cy="4908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C536EF">
                                    <w:pPr>
                                      <w:jc w:val="center"/>
                                      <w:rPr>
                                        <w:rFonts w:ascii="Times New Roman" w:hAnsi="Times New Roman" w:cs="Times New Roman"/>
                                        <w:szCs w:val="21"/>
                                      </w:rPr>
                                    </w:pPr>
                                    <w:r>
                                      <w:rPr>
                                        <w:rFonts w:hint="eastAsia" w:ascii="Times New Roman" w:hAnsi="Times New Roman" w:cs="Times New Roman"/>
                                        <w:szCs w:val="21"/>
                                      </w:rPr>
                                      <w:t>干式过滤棉</w:t>
                                    </w:r>
                                  </w:p>
                                  <w:p w14:paraId="1868BA2B">
                                    <w:pPr>
                                      <w:jc w:val="center"/>
                                      <w:rPr>
                                        <w:rFonts w:hint="default" w:ascii="Times New Roman" w:hAnsi="Times New Roman" w:cs="Times New Roman" w:eastAsiaTheme="minorEastAsia"/>
                                        <w:lang w:val="en-US" w:eastAsia="zh-CN"/>
                                      </w:rPr>
                                    </w:pPr>
                                    <w:r>
                                      <w:rPr>
                                        <w:rFonts w:ascii="Times New Roman" w:hAnsi="Times New Roman" w:cs="Times New Roman"/>
                                        <w:color w:val="000000"/>
                                        <w:szCs w:val="21"/>
                                      </w:rPr>
                                      <w:t>（85%效率）</w:t>
                                    </w:r>
                                    <w:r>
                                      <w:rPr>
                                        <w:rFonts w:ascii="Times New Roman" w:hAnsi="Times New Roman" w:cs="Times New Roman"/>
                                      </w:rPr>
                                      <w:t>：</w:t>
                                    </w:r>
                                    <w:r>
                                      <w:rPr>
                                        <w:rFonts w:hint="eastAsia" w:ascii="Times New Roman" w:hAnsi="Times New Roman" w:cs="Times New Roman"/>
                                      </w:rPr>
                                      <w:t>1.</w:t>
                                    </w:r>
                                    <w:r>
                                      <w:rPr>
                                        <w:rFonts w:hint="eastAsia" w:ascii="Times New Roman" w:hAnsi="Times New Roman" w:cs="Times New Roman"/>
                                        <w:lang w:val="en-US" w:eastAsia="zh-CN"/>
                                      </w:rPr>
                                      <w:t>117</w:t>
                                    </w:r>
                                  </w:p>
                                </w:txbxContent>
                              </wps:txbx>
                              <wps:bodyPr upright="1"/>
                            </wps:wsp>
                            <wps:wsp>
                              <wps:cNvPr id="92" name="文本框 25"/>
                              <wps:cNvSpPr txBox="1"/>
                              <wps:spPr>
                                <a:xfrm>
                                  <a:off x="226695" y="1792605"/>
                                  <a:ext cx="1339850" cy="287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086836">
                                    <w:pPr>
                                      <w:jc w:val="center"/>
                                      <w:rPr>
                                        <w:rFonts w:hint="default" w:ascii="Times New Roman" w:hAnsi="Times New Roman" w:cs="Times New Roman" w:eastAsiaTheme="minorEastAsia"/>
                                        <w:lang w:val="en-US" w:eastAsia="zh-CN"/>
                                      </w:rPr>
                                    </w:pPr>
                                    <w:r>
                                      <w:rPr>
                                        <w:rFonts w:ascii="Times New Roman" w:hAnsi="Times New Roman" w:cs="Times New Roman"/>
                                      </w:rPr>
                                      <w:t>排气筒排放：0.</w:t>
                                    </w:r>
                                    <w:r>
                                      <w:rPr>
                                        <w:rFonts w:hint="eastAsia" w:ascii="Times New Roman" w:hAnsi="Times New Roman" w:cs="Times New Roman"/>
                                        <w:lang w:val="en-US" w:eastAsia="zh-CN"/>
                                      </w:rPr>
                                      <w:t>197</w:t>
                                    </w:r>
                                  </w:p>
                                </w:txbxContent>
                              </wps:txbx>
                              <wps:bodyPr upright="1"/>
                            </wps:wsp>
                            <wps:wsp>
                              <wps:cNvPr id="93" name="文本框 28"/>
                              <wps:cNvSpPr txBox="1"/>
                              <wps:spPr>
                                <a:xfrm>
                                  <a:off x="1988820" y="83820"/>
                                  <a:ext cx="11176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3F1900">
                                    <w:pPr>
                                      <w:rPr>
                                        <w:rFonts w:hint="default" w:eastAsiaTheme="minorEastAsia"/>
                                        <w:lang w:val="en-US" w:eastAsia="zh-CN"/>
                                      </w:rPr>
                                    </w:pPr>
                                    <w:r>
                                      <w:rPr>
                                        <w:rFonts w:hint="eastAsia" w:ascii="Times New Roman" w:hAnsi="Times New Roman" w:cs="Times New Roman"/>
                                      </w:rPr>
                                      <w:t>水性漆</w:t>
                                    </w:r>
                                    <w:r>
                                      <w:rPr>
                                        <w:rFonts w:ascii="Times New Roman" w:hAnsi="Times New Roman" w:cs="Times New Roman"/>
                                      </w:rPr>
                                      <w:t>：</w:t>
                                    </w:r>
                                    <w:r>
                                      <w:rPr>
                                        <w:rFonts w:hint="eastAsia" w:ascii="Times New Roman" w:hAnsi="Times New Roman" w:cs="Times New Roman"/>
                                      </w:rPr>
                                      <w:t>1.</w:t>
                                    </w:r>
                                    <w:r>
                                      <w:rPr>
                                        <w:rFonts w:hint="eastAsia" w:ascii="Times New Roman" w:hAnsi="Times New Roman" w:cs="Times New Roman"/>
                                        <w:lang w:val="en-US" w:eastAsia="zh-CN"/>
                                      </w:rPr>
                                      <w:t>383</w:t>
                                    </w:r>
                                  </w:p>
                                </w:txbxContent>
                              </wps:txbx>
                              <wps:bodyPr upright="1"/>
                            </wps:wsp>
                            <wps:wsp>
                              <wps:cNvPr id="94" name="文本框 57"/>
                              <wps:cNvSpPr txBox="1"/>
                              <wps:spPr>
                                <a:xfrm>
                                  <a:off x="925830" y="826770"/>
                                  <a:ext cx="162877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E92F85">
                                    <w:pPr>
                                      <w:jc w:val="center"/>
                                      <w:rPr>
                                        <w:rFonts w:ascii="Times New Roman" w:hAnsi="Times New Roman" w:cs="Times New Roman"/>
                                        <w:color w:val="000000"/>
                                        <w:szCs w:val="21"/>
                                      </w:rPr>
                                    </w:pPr>
                                    <w:r>
                                      <w:rPr>
                                        <w:rFonts w:ascii="Times New Roman" w:hAnsi="Times New Roman" w:cs="Times New Roman"/>
                                        <w:color w:val="000000"/>
                                        <w:szCs w:val="21"/>
                                      </w:rPr>
                                      <w:t>负压+集中吸风</w:t>
                                    </w:r>
                                  </w:p>
                                  <w:p w14:paraId="2D1BA32D">
                                    <w:pPr>
                                      <w:jc w:val="center"/>
                                      <w:rPr>
                                        <w:rFonts w:hint="default" w:ascii="Times New Roman" w:hAnsi="Times New Roman" w:cs="Times New Roman" w:eastAsiaTheme="minorEastAsia"/>
                                        <w:lang w:val="en-US" w:eastAsia="zh-CN"/>
                                      </w:rPr>
                                    </w:pPr>
                                    <w:r>
                                      <w:rPr>
                                        <w:rFonts w:ascii="Times New Roman" w:hAnsi="Times New Roman" w:cs="Times New Roman"/>
                                        <w:color w:val="000000"/>
                                        <w:szCs w:val="21"/>
                                      </w:rPr>
                                      <w:t>（95%收集效率）</w:t>
                                    </w:r>
                                    <w:r>
                                      <w:rPr>
                                        <w:rFonts w:hint="eastAsia" w:ascii="Times New Roman" w:hAnsi="Times New Roman" w:cs="Times New Roman"/>
                                      </w:rPr>
                                      <w:t>1.</w:t>
                                    </w:r>
                                    <w:r>
                                      <w:rPr>
                                        <w:rFonts w:hint="eastAsia" w:ascii="Times New Roman" w:hAnsi="Times New Roman" w:cs="Times New Roman"/>
                                        <w:lang w:val="en-US" w:eastAsia="zh-CN"/>
                                      </w:rPr>
                                      <w:t>314</w:t>
                                    </w:r>
                                  </w:p>
                                </w:txbxContent>
                              </wps:txbx>
                              <wps:bodyPr upright="1"/>
                            </wps:wsp>
                            <wps:wsp>
                              <wps:cNvPr id="95" name="文本框 59"/>
                              <wps:cNvSpPr txBox="1"/>
                              <wps:spPr>
                                <a:xfrm>
                                  <a:off x="2822575" y="836295"/>
                                  <a:ext cx="1299210"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2D9BB4">
                                    <w:pPr>
                                      <w:jc w:val="center"/>
                                      <w:rPr>
                                        <w:rFonts w:hint="default" w:ascii="Times New Roman" w:hAnsi="Times New Roman" w:cs="Times New Roman" w:eastAsiaTheme="minorEastAsia"/>
                                        <w:lang w:val="en-US" w:eastAsia="zh-CN"/>
                                      </w:rPr>
                                    </w:pPr>
                                    <w:r>
                                      <w:rPr>
                                        <w:rFonts w:ascii="Times New Roman" w:hAnsi="Times New Roman" w:cs="Times New Roman"/>
                                      </w:rPr>
                                      <w:t>无组织排放：0.</w:t>
                                    </w:r>
                                    <w:r>
                                      <w:rPr>
                                        <w:rFonts w:hint="eastAsia" w:ascii="Times New Roman" w:hAnsi="Times New Roman" w:cs="Times New Roman"/>
                                      </w:rPr>
                                      <w:t>0</w:t>
                                    </w:r>
                                    <w:r>
                                      <w:rPr>
                                        <w:rFonts w:hint="eastAsia" w:ascii="Times New Roman" w:hAnsi="Times New Roman" w:cs="Times New Roman"/>
                                        <w:lang w:val="en-US" w:eastAsia="zh-CN"/>
                                      </w:rPr>
                                      <w:t>69</w:t>
                                    </w:r>
                                  </w:p>
                                </w:txbxContent>
                              </wps:txbx>
                              <wps:bodyPr upright="1"/>
                            </wps:wsp>
                            <wps:wsp>
                              <wps:cNvPr id="96" name="直接连接符 3"/>
                              <wps:cNvCnPr/>
                              <wps:spPr>
                                <a:xfrm>
                                  <a:off x="2512060" y="354330"/>
                                  <a:ext cx="3810" cy="259080"/>
                                </a:xfrm>
                                <a:prstGeom prst="line">
                                  <a:avLst/>
                                </a:prstGeom>
                                <a:ln w="9525" cap="flat" cmpd="sng">
                                  <a:solidFill>
                                    <a:srgbClr val="000000"/>
                                  </a:solidFill>
                                  <a:prstDash val="solid"/>
                                  <a:headEnd type="none" w="med" len="med"/>
                                  <a:tailEnd type="triangle" w="med" len="med"/>
                                </a:ln>
                              </wps:spPr>
                              <wps:bodyPr/>
                            </wps:wsp>
                            <wps:wsp>
                              <wps:cNvPr id="97" name="直接连接符 81"/>
                              <wps:cNvCnPr/>
                              <wps:spPr>
                                <a:xfrm flipV="1">
                                  <a:off x="1665605" y="618490"/>
                                  <a:ext cx="1722120" cy="10160"/>
                                </a:xfrm>
                                <a:prstGeom prst="line">
                                  <a:avLst/>
                                </a:prstGeom>
                                <a:ln w="9525" cap="flat" cmpd="sng">
                                  <a:solidFill>
                                    <a:srgbClr val="000000"/>
                                  </a:solidFill>
                                  <a:prstDash val="solid"/>
                                  <a:headEnd type="none" w="med" len="med"/>
                                  <a:tailEnd type="none" w="med" len="med"/>
                                </a:ln>
                              </wps:spPr>
                              <wps:bodyPr/>
                            </wps:wsp>
                            <wps:wsp>
                              <wps:cNvPr id="98" name="直接连接符 22"/>
                              <wps:cNvCnPr/>
                              <wps:spPr>
                                <a:xfrm>
                                  <a:off x="1676400" y="647065"/>
                                  <a:ext cx="0" cy="177800"/>
                                </a:xfrm>
                                <a:prstGeom prst="line">
                                  <a:avLst/>
                                </a:prstGeom>
                                <a:ln w="9525" cap="flat" cmpd="sng">
                                  <a:solidFill>
                                    <a:srgbClr val="000000"/>
                                  </a:solidFill>
                                  <a:prstDash val="solid"/>
                                  <a:headEnd type="none" w="med" len="med"/>
                                  <a:tailEnd type="triangle" w="med" len="med"/>
                                </a:ln>
                              </wps:spPr>
                              <wps:bodyPr/>
                            </wps:wsp>
                            <wps:wsp>
                              <wps:cNvPr id="99" name="直接连接符 22"/>
                              <wps:cNvCnPr/>
                              <wps:spPr>
                                <a:xfrm>
                                  <a:off x="3390265" y="617855"/>
                                  <a:ext cx="0" cy="177800"/>
                                </a:xfrm>
                                <a:prstGeom prst="line">
                                  <a:avLst/>
                                </a:prstGeom>
                                <a:ln w="9525" cap="flat" cmpd="sng">
                                  <a:solidFill>
                                    <a:srgbClr val="000000"/>
                                  </a:solidFill>
                                  <a:prstDash val="solid"/>
                                  <a:headEnd type="none" w="med" len="med"/>
                                  <a:tailEnd type="triangle" w="med" len="med"/>
                                </a:ln>
                              </wps:spPr>
                              <wps:bodyPr/>
                            </wps:wsp>
                            <wps:wsp>
                              <wps:cNvPr id="100" name="直接连接符 3"/>
                              <wps:cNvCnPr/>
                              <wps:spPr>
                                <a:xfrm>
                                  <a:off x="1728470" y="1301750"/>
                                  <a:ext cx="3810" cy="259080"/>
                                </a:xfrm>
                                <a:prstGeom prst="line">
                                  <a:avLst/>
                                </a:prstGeom>
                                <a:ln w="9525" cap="flat" cmpd="sng">
                                  <a:solidFill>
                                    <a:srgbClr val="000000"/>
                                  </a:solidFill>
                                  <a:prstDash val="solid"/>
                                  <a:headEnd type="none" w="med" len="med"/>
                                  <a:tailEnd type="triangle" w="med" len="med"/>
                                </a:ln>
                              </wps:spPr>
                              <wps:bodyPr/>
                            </wps:wsp>
                            <wps:wsp>
                              <wps:cNvPr id="101" name="直接连接符 85"/>
                              <wps:cNvCnPr/>
                              <wps:spPr>
                                <a:xfrm flipV="1">
                                  <a:off x="882015" y="1565910"/>
                                  <a:ext cx="1722120" cy="10160"/>
                                </a:xfrm>
                                <a:prstGeom prst="line">
                                  <a:avLst/>
                                </a:prstGeom>
                                <a:ln w="9525" cap="flat" cmpd="sng">
                                  <a:solidFill>
                                    <a:srgbClr val="000000"/>
                                  </a:solidFill>
                                  <a:prstDash val="solid"/>
                                  <a:headEnd type="none" w="med" len="med"/>
                                  <a:tailEnd type="none" w="med" len="med"/>
                                </a:ln>
                              </wps:spPr>
                              <wps:bodyPr/>
                            </wps:wsp>
                            <wps:wsp>
                              <wps:cNvPr id="102" name="直接连接符 22"/>
                              <wps:cNvCnPr/>
                              <wps:spPr>
                                <a:xfrm>
                                  <a:off x="892810" y="1594485"/>
                                  <a:ext cx="0" cy="177800"/>
                                </a:xfrm>
                                <a:prstGeom prst="line">
                                  <a:avLst/>
                                </a:prstGeom>
                                <a:ln w="9525" cap="flat" cmpd="sng">
                                  <a:solidFill>
                                    <a:srgbClr val="000000"/>
                                  </a:solidFill>
                                  <a:prstDash val="solid"/>
                                  <a:headEnd type="none" w="med" len="med"/>
                                  <a:tailEnd type="triangle" w="med" len="med"/>
                                </a:ln>
                              </wps:spPr>
                              <wps:bodyPr/>
                            </wps:wsp>
                            <wps:wsp>
                              <wps:cNvPr id="103" name="直接连接符 22"/>
                              <wps:cNvCnPr/>
                              <wps:spPr>
                                <a:xfrm>
                                  <a:off x="2606675" y="1565275"/>
                                  <a:ext cx="0" cy="177800"/>
                                </a:xfrm>
                                <a:prstGeom prst="line">
                                  <a:avLst/>
                                </a:prstGeom>
                                <a:ln w="9525" cap="flat" cmpd="sng">
                                  <a:solidFill>
                                    <a:srgbClr val="000000"/>
                                  </a:solidFill>
                                  <a:prstDash val="solid"/>
                                  <a:headEnd type="none" w="med" len="med"/>
                                  <a:tailEnd type="triangle" w="med" len="med"/>
                                </a:ln>
                              </wps:spPr>
                              <wps:bodyPr/>
                            </wps:wsp>
                          </wpc:wpc>
                        </a:graphicData>
                      </a:graphic>
                    </wp:inline>
                  </w:drawing>
                </mc:Choice>
                <mc:Fallback>
                  <w:pict>
                    <v:group id="_x0000_s1026" o:spid="_x0000_s1026" o:spt="203" style="height:191.25pt;width:385.95pt;" coordsize="4901565,2428875" editas="canvas" o:gfxdata="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">
                      <o:lock v:ext="edit" aspectratio="f"/>
                      <v:shape id="_x0000_s1026" o:spid="_x0000_s1026" style="position:absolute;left:0;top:0;height:2428875;width:4901565;" filled="f" stroked="f" coordsize="21600,21600" o:gfxdata="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">
                        <v:fill on="f" focussize="0,0"/>
                        <v:stroke on="f"/>
                        <v:imagedata o:title=""/>
                        <o:lock v:ext="edit" aspectratio="f"/>
                      </v:shape>
                      <v:shape id="文本框 24" o:spid="_x0000_s1026" o:spt="202" type="#_x0000_t202" style="position:absolute;left:2390775;top:1811020;height:490855;width:1785620;" fillcolor="#FFFFFF" filled="t" stroked="t" coordsize="21600,21600" o:gfxdata="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JawfNYAAAAFAQAADwAAAAAA&#10;AAABACAAAAAiAAAAZHJzL2Rvd25yZXYueG1sUEsBAhQAFAAAAAgAh07iQDDjI+kVAgAARAQAAA4A&#10;AAAAAAAAAQAgAAAAJQEAAGRycy9lMm9Eb2MueG1sUEsFBgAAAAAGAAYAWQEAAKwFAAAAAA==&#10;">
                        <v:fill on="t" focussize="0,0"/>
                        <v:stroke color="#000000" joinstyle="miter"/>
                        <v:imagedata o:title=""/>
                        <o:lock v:ext="edit" aspectratio="f"/>
                        <v:textbox>
                          <w:txbxContent>
                            <w:p w14:paraId="5FC536EF">
                              <w:pPr>
                                <w:jc w:val="center"/>
                                <w:rPr>
                                  <w:rFonts w:ascii="Times New Roman" w:hAnsi="Times New Roman" w:cs="Times New Roman"/>
                                  <w:szCs w:val="21"/>
                                </w:rPr>
                              </w:pPr>
                              <w:r>
                                <w:rPr>
                                  <w:rFonts w:hint="eastAsia" w:ascii="Times New Roman" w:hAnsi="Times New Roman" w:cs="Times New Roman"/>
                                  <w:szCs w:val="21"/>
                                </w:rPr>
                                <w:t>干式过滤棉</w:t>
                              </w:r>
                            </w:p>
                            <w:p w14:paraId="1868BA2B">
                              <w:pPr>
                                <w:jc w:val="center"/>
                                <w:rPr>
                                  <w:rFonts w:hint="default" w:ascii="Times New Roman" w:hAnsi="Times New Roman" w:cs="Times New Roman" w:eastAsiaTheme="minorEastAsia"/>
                                  <w:lang w:val="en-US" w:eastAsia="zh-CN"/>
                                </w:rPr>
                              </w:pPr>
                              <w:r>
                                <w:rPr>
                                  <w:rFonts w:ascii="Times New Roman" w:hAnsi="Times New Roman" w:cs="Times New Roman"/>
                                  <w:color w:val="000000"/>
                                  <w:szCs w:val="21"/>
                                </w:rPr>
                                <w:t>（85%效率）</w:t>
                              </w:r>
                              <w:r>
                                <w:rPr>
                                  <w:rFonts w:ascii="Times New Roman" w:hAnsi="Times New Roman" w:cs="Times New Roman"/>
                                </w:rPr>
                                <w:t>：</w:t>
                              </w:r>
                              <w:r>
                                <w:rPr>
                                  <w:rFonts w:hint="eastAsia" w:ascii="Times New Roman" w:hAnsi="Times New Roman" w:cs="Times New Roman"/>
                                </w:rPr>
                                <w:t>1.</w:t>
                              </w:r>
                              <w:r>
                                <w:rPr>
                                  <w:rFonts w:hint="eastAsia" w:ascii="Times New Roman" w:hAnsi="Times New Roman" w:cs="Times New Roman"/>
                                  <w:lang w:val="en-US" w:eastAsia="zh-CN"/>
                                </w:rPr>
                                <w:t>117</w:t>
                              </w:r>
                            </w:p>
                          </w:txbxContent>
                        </v:textbox>
                      </v:shape>
                      <v:shape id="文本框 25" o:spid="_x0000_s1026" o:spt="202" type="#_x0000_t202" style="position:absolute;left:226695;top:1792605;height:287655;width:1339850;" fillcolor="#FFFFFF" filled="t" stroked="t" coordsize="21600,21600" o:gfxdata="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JawfNYAAAAFAQAADwAA&#10;AAAAAAABACAAAAAiAAAAZHJzL2Rvd25yZXYueG1sUEsBAhQAFAAAAAgAh07iQFeoF0QYAgAAQwQA&#10;AA4AAAAAAAAAAQAgAAAAJQEAAGRycy9lMm9Eb2MueG1sUEsFBgAAAAAGAAYAWQEAAK8FAAAAAA==&#10;">
                        <v:fill on="t" focussize="0,0"/>
                        <v:stroke color="#000000" joinstyle="miter"/>
                        <v:imagedata o:title=""/>
                        <o:lock v:ext="edit" aspectratio="f"/>
                        <v:textbox>
                          <w:txbxContent>
                            <w:p w14:paraId="78086836">
                              <w:pPr>
                                <w:jc w:val="center"/>
                                <w:rPr>
                                  <w:rFonts w:hint="default" w:ascii="Times New Roman" w:hAnsi="Times New Roman" w:cs="Times New Roman" w:eastAsiaTheme="minorEastAsia"/>
                                  <w:lang w:val="en-US" w:eastAsia="zh-CN"/>
                                </w:rPr>
                              </w:pPr>
                              <w:r>
                                <w:rPr>
                                  <w:rFonts w:ascii="Times New Roman" w:hAnsi="Times New Roman" w:cs="Times New Roman"/>
                                </w:rPr>
                                <w:t>排气筒排放：0.</w:t>
                              </w:r>
                              <w:r>
                                <w:rPr>
                                  <w:rFonts w:hint="eastAsia" w:ascii="Times New Roman" w:hAnsi="Times New Roman" w:cs="Times New Roman"/>
                                  <w:lang w:val="en-US" w:eastAsia="zh-CN"/>
                                </w:rPr>
                                <w:t>197</w:t>
                              </w:r>
                            </w:p>
                          </w:txbxContent>
                        </v:textbox>
                      </v:shape>
                      <v:shape id="文本框 28" o:spid="_x0000_s1026" o:spt="202" type="#_x0000_t202" style="position:absolute;left:1988820;top:83820;height:266700;width:1117600;" fillcolor="#FFFFFF" filled="t" stroked="t" coordsize="21600,21600" o:gfxdata="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JawfNYAAAAFAQAADwAAAAAAAAAB&#10;ACAAAAAiAAAAZHJzL2Rvd25yZXYueG1sUEsBAhQAFAAAAAgAh07iQAu/A4gSAgAAQgQAAA4AAAAA&#10;AAAAAQAgAAAAJQEAAGRycy9lMm9Eb2MueG1sUEsFBgAAAAAGAAYAWQEAAKkFAAAAAA==&#10;">
                        <v:fill on="t" focussize="0,0"/>
                        <v:stroke color="#000000" joinstyle="miter"/>
                        <v:imagedata o:title=""/>
                        <o:lock v:ext="edit" aspectratio="f"/>
                        <v:textbox>
                          <w:txbxContent>
                            <w:p w14:paraId="293F1900">
                              <w:pPr>
                                <w:rPr>
                                  <w:rFonts w:hint="default" w:eastAsiaTheme="minorEastAsia"/>
                                  <w:lang w:val="en-US" w:eastAsia="zh-CN"/>
                                </w:rPr>
                              </w:pPr>
                              <w:r>
                                <w:rPr>
                                  <w:rFonts w:hint="eastAsia" w:ascii="Times New Roman" w:hAnsi="Times New Roman" w:cs="Times New Roman"/>
                                </w:rPr>
                                <w:t>水性漆</w:t>
                              </w:r>
                              <w:r>
                                <w:rPr>
                                  <w:rFonts w:ascii="Times New Roman" w:hAnsi="Times New Roman" w:cs="Times New Roman"/>
                                </w:rPr>
                                <w:t>：</w:t>
                              </w:r>
                              <w:r>
                                <w:rPr>
                                  <w:rFonts w:hint="eastAsia" w:ascii="Times New Roman" w:hAnsi="Times New Roman" w:cs="Times New Roman"/>
                                </w:rPr>
                                <w:t>1.</w:t>
                              </w:r>
                              <w:r>
                                <w:rPr>
                                  <w:rFonts w:hint="eastAsia" w:ascii="Times New Roman" w:hAnsi="Times New Roman" w:cs="Times New Roman"/>
                                  <w:lang w:val="en-US" w:eastAsia="zh-CN"/>
                                </w:rPr>
                                <w:t>383</w:t>
                              </w:r>
                            </w:p>
                          </w:txbxContent>
                        </v:textbox>
                      </v:shape>
                      <v:shape id="文本框 57" o:spid="_x0000_s1026" o:spt="202" type="#_x0000_t202" style="position:absolute;left:925830;top:826770;height:476250;width:1628775;" fillcolor="#FFFFFF" filled="t" stroked="t" coordsize="21600,21600" o:gfxdata="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clrB81gAAAAUBAAAPAAAA&#10;AAAAAAEAIAAAACIAAABkcnMvZG93bnJldi54bWxQSwECFAAUAAAACACHTuJA0LybyxcCAABCBAAA&#10;DgAAAAAAAAABACAAAAAlAQAAZHJzL2Uyb0RvYy54bWxQSwUGAAAAAAYABgBZAQAArgUAAAAA&#10;">
                        <v:fill on="t" focussize="0,0"/>
                        <v:stroke color="#000000" joinstyle="miter"/>
                        <v:imagedata o:title=""/>
                        <o:lock v:ext="edit" aspectratio="f"/>
                        <v:textbox>
                          <w:txbxContent>
                            <w:p w14:paraId="78E92F85">
                              <w:pPr>
                                <w:jc w:val="center"/>
                                <w:rPr>
                                  <w:rFonts w:ascii="Times New Roman" w:hAnsi="Times New Roman" w:cs="Times New Roman"/>
                                  <w:color w:val="000000"/>
                                  <w:szCs w:val="21"/>
                                </w:rPr>
                              </w:pPr>
                              <w:r>
                                <w:rPr>
                                  <w:rFonts w:ascii="Times New Roman" w:hAnsi="Times New Roman" w:cs="Times New Roman"/>
                                  <w:color w:val="000000"/>
                                  <w:szCs w:val="21"/>
                                </w:rPr>
                                <w:t>负压+集中吸风</w:t>
                              </w:r>
                            </w:p>
                            <w:p w14:paraId="2D1BA32D">
                              <w:pPr>
                                <w:jc w:val="center"/>
                                <w:rPr>
                                  <w:rFonts w:hint="default" w:ascii="Times New Roman" w:hAnsi="Times New Roman" w:cs="Times New Roman" w:eastAsiaTheme="minorEastAsia"/>
                                  <w:lang w:val="en-US" w:eastAsia="zh-CN"/>
                                </w:rPr>
                              </w:pPr>
                              <w:r>
                                <w:rPr>
                                  <w:rFonts w:ascii="Times New Roman" w:hAnsi="Times New Roman" w:cs="Times New Roman"/>
                                  <w:color w:val="000000"/>
                                  <w:szCs w:val="21"/>
                                </w:rPr>
                                <w:t>（95%收集效率）</w:t>
                              </w:r>
                              <w:r>
                                <w:rPr>
                                  <w:rFonts w:hint="eastAsia" w:ascii="Times New Roman" w:hAnsi="Times New Roman" w:cs="Times New Roman"/>
                                </w:rPr>
                                <w:t>1.</w:t>
                              </w:r>
                              <w:r>
                                <w:rPr>
                                  <w:rFonts w:hint="eastAsia" w:ascii="Times New Roman" w:hAnsi="Times New Roman" w:cs="Times New Roman"/>
                                  <w:lang w:val="en-US" w:eastAsia="zh-CN"/>
                                </w:rPr>
                                <w:t>314</w:t>
                              </w:r>
                            </w:p>
                          </w:txbxContent>
                        </v:textbox>
                      </v:shape>
                      <v:shape id="文本框 59" o:spid="_x0000_s1026" o:spt="202" type="#_x0000_t202" style="position:absolute;left:2822575;top:836295;height:279400;width:1299210;" fillcolor="#FFFFFF" filled="t" stroked="t" coordsize="21600,21600" o:gfxdata="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clrB81gAAAAUBAAAPAAAA&#10;AAAAAAEAIAAAACIAAABkcnMvZG93bnJldi54bWxQSwECFAAUAAAACACHTuJAzGAIKRcCAABDBAAA&#10;DgAAAAAAAAABACAAAAAlAQAAZHJzL2Uyb0RvYy54bWxQSwUGAAAAAAYABgBZAQAArgUAAAAA&#10;">
                        <v:fill on="t" focussize="0,0"/>
                        <v:stroke color="#000000" joinstyle="miter"/>
                        <v:imagedata o:title=""/>
                        <o:lock v:ext="edit" aspectratio="f"/>
                        <v:textbox>
                          <w:txbxContent>
                            <w:p w14:paraId="192D9BB4">
                              <w:pPr>
                                <w:jc w:val="center"/>
                                <w:rPr>
                                  <w:rFonts w:hint="default" w:ascii="Times New Roman" w:hAnsi="Times New Roman" w:cs="Times New Roman" w:eastAsiaTheme="minorEastAsia"/>
                                  <w:lang w:val="en-US" w:eastAsia="zh-CN"/>
                                </w:rPr>
                              </w:pPr>
                              <w:r>
                                <w:rPr>
                                  <w:rFonts w:ascii="Times New Roman" w:hAnsi="Times New Roman" w:cs="Times New Roman"/>
                                </w:rPr>
                                <w:t>无组织排放：0.</w:t>
                              </w:r>
                              <w:r>
                                <w:rPr>
                                  <w:rFonts w:hint="eastAsia" w:ascii="Times New Roman" w:hAnsi="Times New Roman" w:cs="Times New Roman"/>
                                </w:rPr>
                                <w:t>0</w:t>
                              </w:r>
                              <w:r>
                                <w:rPr>
                                  <w:rFonts w:hint="eastAsia" w:ascii="Times New Roman" w:hAnsi="Times New Roman" w:cs="Times New Roman"/>
                                  <w:lang w:val="en-US" w:eastAsia="zh-CN"/>
                                </w:rPr>
                                <w:t>69</w:t>
                              </w:r>
                            </w:p>
                          </w:txbxContent>
                        </v:textbox>
                      </v:shape>
                      <v:line id="直接连接符 3" o:spid="_x0000_s1026" o:spt="20" style="position:absolute;left:2512060;top:354330;height:259080;width:3810;" filled="f" stroked="t" coordsize="21600,21600" o:gfxdata="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Cggc2AAAAAUBAAAPAAAAAAAAAAEAIAAAACIAAABkcnMv&#10;ZG93bnJldi54bWxQSwECFAAUAAAACACHTuJAm3KvvQMCAADqAwAADgAAAAAAAAABACAAAAAnAQAA&#10;ZHJzL2Uyb0RvYy54bWxQSwUGAAAAAAYABgBZAQAAnAUAAAAA&#10;">
                        <v:fill on="f" focussize="0,0"/>
                        <v:stroke color="#000000" joinstyle="round" endarrow="block"/>
                        <v:imagedata o:title=""/>
                        <o:lock v:ext="edit" aspectratio="f"/>
                      </v:line>
                      <v:line id="直接连接符 81" o:spid="_x0000_s1026" o:spt="20" style="position:absolute;left:1665605;top:618490;flip:y;height:10160;width:1722120;" filled="f" stroked="t" coordsize="21600,21600" o:gfxdata="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FIpNLVAAAABQEAAA8AAAAAAAAAAQAgAAAAIgAAAGRycy9k&#10;b3ducmV2LnhtbFBLAQIUABQAAAAIAIdO4kDONh7IBQIAAPMDAAAOAAAAAAAAAAEAIAAAACQBAABk&#10;cnMvZTJvRG9jLnhtbFBLBQYAAAAABgAGAFkBAACbBQAAAAA=&#10;">
                        <v:fill on="f" focussize="0,0"/>
                        <v:stroke color="#000000" joinstyle="round"/>
                        <v:imagedata o:title=""/>
                        <o:lock v:ext="edit" aspectratio="f"/>
                      </v:line>
                      <v:line id="直接连接符 22" o:spid="_x0000_s1026" o:spt="20" style="position:absolute;left:1676400;top:647065;height:177800;width:0;" filled="f" stroked="t" coordsize="21600,21600" o:gfxdata="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Cggc2AAAAAUBAAAPAAAAAAAAAAEAIAAAACIAAABkcnMvZG93&#10;bnJldi54bWxQSwECFAAUAAAACACHTuJAVf4wygACAADoAwAADgAAAAAAAAABACAAAAAnAQAAZHJz&#10;L2Uyb0RvYy54bWxQSwUGAAAAAAYABgBZAQAAmQUAAAAA&#10;">
                        <v:fill on="f" focussize="0,0"/>
                        <v:stroke color="#000000" joinstyle="round" endarrow="block"/>
                        <v:imagedata o:title=""/>
                        <o:lock v:ext="edit" aspectratio="f"/>
                      </v:line>
                      <v:line id="直接连接符 22" o:spid="_x0000_s1026" o:spt="20" style="position:absolute;left:3390265;top:617855;height:177800;width:0;" filled="f" stroked="t" coordsize="21600,21600" o:gfxdata="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Cggc2AAAAAUBAAAPAAAAAAAAAAEAIAAAACIAAABkcnMv&#10;ZG93bnJldi54bWxQSwECFAAUAAAACACHTuJAbqWERwMCAADoAwAADgAAAAAAAAABACAAAAAnAQAA&#10;ZHJzL2Uyb0RvYy54bWxQSwUGAAAAAAYABgBZAQAAnAUAAAAA&#10;">
                        <v:fill on="f" focussize="0,0"/>
                        <v:stroke color="#000000" joinstyle="round" endarrow="block"/>
                        <v:imagedata o:title=""/>
                        <o:lock v:ext="edit" aspectratio="f"/>
                      </v:line>
                      <v:line id="直接连接符 3" o:spid="_x0000_s1026" o:spt="20" style="position:absolute;left:1728470;top:1301750;height:259080;width:3810;" filled="f" stroked="t" coordsize="21600,21600" o:gfxdata="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Cggc2AAAAAUBAAAPAAAAAAAAAAEAIAAAACIAAABkcnMv&#10;ZG93bnJldi54bWxQSwECFAAUAAAACACHTuJA6bfJRwMCAADsAwAADgAAAAAAAAABACAAAAAnAQAA&#10;ZHJzL2Uyb0RvYy54bWxQSwUGAAAAAAYABgBZAQAAnAUAAAAA&#10;">
                        <v:fill on="f" focussize="0,0"/>
                        <v:stroke color="#000000" joinstyle="round" endarrow="block"/>
                        <v:imagedata o:title=""/>
                        <o:lock v:ext="edit" aspectratio="f"/>
                      </v:line>
                      <v:line id="直接连接符 85" o:spid="_x0000_s1026" o:spt="20" style="position:absolute;left:882015;top:1565910;flip:y;height:10160;width:1722120;" filled="f" stroked="t" coordsize="21600,21600" o:gfxdata="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Uik0tUAAAAFAQAADwAAAAAAAAABACAAAAAiAAAAZHJzL2Rv&#10;d25yZXYueG1sUEsBAhQAFAAAAAgAh07iQOrNqVUEAgAA9AMAAA4AAAAAAAAAAQAgAAAAJAEAAGRy&#10;cy9lMm9Eb2MueG1sUEsFBgAAAAAGAAYAWQEAAJoFAAAAAA==&#10;">
                        <v:fill on="f" focussize="0,0"/>
                        <v:stroke color="#000000" joinstyle="round"/>
                        <v:imagedata o:title=""/>
                        <o:lock v:ext="edit" aspectratio="f"/>
                      </v:line>
                      <v:line id="直接连接符 22" o:spid="_x0000_s1026" o:spt="20" style="position:absolute;left:892810;top:1594485;height:177800;width:0;" filled="f" stroked="t" coordsize="21600,21600" o:gfxdata="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4KCBzYAAAABQEAAA8AAAAAAAAAAQAgAAAAIgAAAGRycy9k&#10;b3ducmV2LnhtbFBLAQIUABQAAAAIAIdO4kBS3yslAgIAAOkDAAAOAAAAAAAAAAEAIAAAACcBAABk&#10;cnMvZTJvRG9jLnhtbFBLBQYAAAAABgAGAFkBAACbBQAAAAA=&#10;">
                        <v:fill on="f" focussize="0,0"/>
                        <v:stroke color="#000000" joinstyle="round" endarrow="block"/>
                        <v:imagedata o:title=""/>
                        <o:lock v:ext="edit" aspectratio="f"/>
                      </v:line>
                      <v:line id="直接连接符 22" o:spid="_x0000_s1026" o:spt="20" style="position:absolute;left:2606675;top:1565275;height:177800;width:0;" filled="f" stroked="t" coordsize="21600,21600" o:gfxdata="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goIHNgAAAAFAQAADwAAAAAAAAABACAAAAAiAAAAZHJzL2Rv&#10;d25yZXYueG1sUEsBAhQAFAAAAAgAh07iQNEqf6EBAgAA6gMAAA4AAAAAAAAAAQAgAAAAJwEAAGRy&#10;cy9lMm9Eb2MueG1sUEsFBgAAAAAGAAYAWQEAAJoFAAAAAA==&#10;">
                        <v:fill on="f" focussize="0,0"/>
                        <v:stroke color="#000000" joinstyle="round" endarrow="block"/>
                        <v:imagedata o:title=""/>
                        <o:lock v:ext="edit" aspectratio="f"/>
                      </v:line>
                      <w10:wrap type="none"/>
                      <w10:anchorlock/>
                    </v:group>
                  </w:pict>
                </mc:Fallback>
              </mc:AlternateContent>
            </w:r>
          </w:p>
          <w:p w14:paraId="575462BD">
            <w:pPr>
              <w:adjustRightInd w:val="0"/>
              <w:snapToGrid w:val="0"/>
              <w:spacing w:line="360" w:lineRule="auto"/>
              <w:jc w:val="center"/>
              <w:rPr>
                <w:rFonts w:ascii="Times New Roman" w:hAnsi="Times New Roman" w:cs="Times New Roman"/>
                <w:b/>
                <w:bCs/>
                <w:szCs w:val="21"/>
              </w:rPr>
            </w:pPr>
            <w:r>
              <w:rPr>
                <w:rFonts w:hint="eastAsia" w:ascii="Times New Roman" w:hAnsi="Times New Roman" w:cs="Times New Roman"/>
                <w:b/>
                <w:bCs/>
                <w:szCs w:val="21"/>
              </w:rPr>
              <w:t xml:space="preserve">图4-2 </w:t>
            </w:r>
            <w:r>
              <w:rPr>
                <w:rFonts w:hint="eastAsia" w:ascii="Times New Roman" w:hAnsi="Times New Roman" w:cs="Times New Roman"/>
                <w:b/>
                <w:bCs/>
                <w:color w:val="auto"/>
                <w:szCs w:val="21"/>
              </w:rPr>
              <w:t xml:space="preserve"> 喷</w:t>
            </w:r>
            <w:r>
              <w:rPr>
                <w:rFonts w:hint="eastAsia" w:ascii="Times New Roman" w:hAnsi="Times New Roman" w:cs="Times New Roman"/>
                <w:b/>
                <w:bCs/>
                <w:color w:val="FF0000"/>
                <w:szCs w:val="21"/>
              </w:rPr>
              <w:t>涂工序颗粒物（漆雾）平衡图  单位</w:t>
            </w:r>
            <w:r>
              <w:rPr>
                <w:rFonts w:hint="eastAsia" w:ascii="Times New Roman" w:hAnsi="Times New Roman" w:cs="Times New Roman"/>
                <w:b/>
                <w:bCs/>
                <w:szCs w:val="21"/>
              </w:rPr>
              <w:t>t/a</w:t>
            </w:r>
          </w:p>
          <w:p w14:paraId="09599A34">
            <w:pPr>
              <w:adjustRightInd w:val="0"/>
              <w:snapToGrid w:val="0"/>
              <w:spacing w:line="360" w:lineRule="auto"/>
              <w:ind w:firstLine="480" w:firstLineChars="200"/>
              <w:rPr>
                <w:rFonts w:hint="default" w:ascii="Times New Roman" w:hAnsi="Times New Roman" w:eastAsia="宋体" w:cs="Times New Roman"/>
                <w:color w:val="FF0000"/>
                <w:sz w:val="24"/>
                <w:szCs w:val="24"/>
                <w:highlight w:val="none"/>
                <w:lang w:val="en-US" w:eastAsia="zh-CN"/>
              </w:rPr>
            </w:pPr>
            <w:r>
              <w:rPr>
                <w:rFonts w:hint="eastAsia" w:ascii="Times New Roman" w:hAnsi="Times New Roman" w:eastAsia="宋体" w:cs="Times New Roman"/>
                <w:sz w:val="24"/>
              </w:rPr>
              <w:t>自动喷漆工序、人工喷漆工序共用1根排气筒，设计风量均为10000m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/h，经2套</w:t>
            </w:r>
            <w:r>
              <w:rPr>
                <w:rFonts w:ascii="Times New Roman" w:hAnsi="Times New Roman" w:eastAsia="宋体" w:cs="Times New Roman"/>
                <w:kern w:val="0"/>
                <w:sz w:val="24"/>
                <w:lang w:bidi="ar"/>
              </w:rPr>
              <w:t>过滤棉+</w:t>
            </w:r>
            <w:r>
              <w:rPr>
                <w:rFonts w:hint="eastAsia" w:ascii="Times New Roman" w:hAnsi="Times New Roman" w:eastAsia="宋体" w:cs="Times New Roman"/>
                <w:kern w:val="0"/>
                <w:sz w:val="24"/>
                <w:lang w:bidi="ar"/>
              </w:rPr>
              <w:t>二级</w:t>
            </w:r>
            <w:r>
              <w:rPr>
                <w:rFonts w:ascii="Times New Roman" w:hAnsi="Times New Roman" w:eastAsia="宋体" w:cs="Times New Roman"/>
                <w:kern w:val="0"/>
                <w:sz w:val="24"/>
                <w:lang w:bidi="ar"/>
              </w:rPr>
              <w:t>活性炭吸附</w:t>
            </w:r>
            <w:r>
              <w:rPr>
                <w:rFonts w:hint="eastAsia" w:ascii="Times New Roman" w:hAnsi="Times New Roman" w:eastAsia="宋体" w:cs="Times New Roman"/>
                <w:kern w:val="0"/>
                <w:sz w:val="24"/>
                <w:lang w:bidi="ar"/>
              </w:rPr>
              <w:t>装置</w:t>
            </w:r>
            <w:r>
              <w:rPr>
                <w:rFonts w:hint="eastAsia" w:ascii="Times New Roman" w:hAnsi="Times New Roman" w:eastAsia="宋体" w:cs="Times New Roman"/>
                <w:sz w:val="24"/>
              </w:rPr>
              <w:t>处理后通过1根15m高的DA003排气筒排放</w:t>
            </w:r>
            <w:r>
              <w:rPr>
                <w:rFonts w:hint="eastAsia" w:ascii="Times New Roman" w:hAnsi="Times New Roman" w:eastAsia="宋体" w:cs="Times New Roman"/>
                <w:sz w:val="24"/>
                <w:lang w:eastAsia="zh-CN"/>
              </w:rPr>
              <w:t>。</w:t>
            </w:r>
            <w:r>
              <w:rPr>
                <w:rFonts w:hint="eastAsia" w:ascii="Times New Roman" w:hAnsi="Times New Roman" w:eastAsia="宋体" w:cs="Times New Roman"/>
                <w:b w:val="0"/>
                <w:bCs w:val="0"/>
                <w:color w:val="FF0000"/>
                <w:sz w:val="24"/>
                <w:szCs w:val="24"/>
                <w:highlight w:val="none"/>
                <w:lang w:val="en-US" w:eastAsia="zh-CN"/>
              </w:rPr>
              <w:t>在建项目的人工喷漆工序漆雾</w:t>
            </w:r>
            <w:r>
              <w:rPr>
                <w:rFonts w:hint="default" w:ascii="Times New Roman" w:hAnsi="Times New Roman" w:eastAsia="宋体" w:cs="Times New Roman"/>
                <w:b w:val="0"/>
                <w:bCs w:val="0"/>
                <w:color w:val="FF0000"/>
                <w:kern w:val="2"/>
                <w:sz w:val="24"/>
                <w:szCs w:val="24"/>
                <w:highlight w:val="none"/>
                <w:lang w:val="en-US" w:eastAsia="zh-CN" w:bidi="ar-SA"/>
              </w:rPr>
              <w:t>排放量</w:t>
            </w:r>
            <w:r>
              <w:rPr>
                <w:rFonts w:hint="default" w:ascii="Times New Roman" w:hAnsi="Times New Roman" w:eastAsia="宋体" w:cs="Times New Roman"/>
                <w:color w:val="FF0000"/>
                <w:sz w:val="24"/>
                <w:szCs w:val="24"/>
                <w:highlight w:val="none"/>
                <w:lang w:val="en-US" w:eastAsia="zh-CN"/>
              </w:rPr>
              <w:t>为</w:t>
            </w:r>
            <w:r>
              <w:rPr>
                <w:rFonts w:hint="eastAsia" w:ascii="Times New Roman" w:hAnsi="Times New Roman" w:eastAsia="宋体" w:cs="Times New Roman"/>
                <w:color w:val="FF0000"/>
                <w:sz w:val="24"/>
                <w:szCs w:val="24"/>
                <w:highlight w:val="none"/>
                <w:lang w:val="en-US" w:eastAsia="zh-CN"/>
              </w:rPr>
              <w:t>0.08</w:t>
            </w:r>
            <w:r>
              <w:rPr>
                <w:rFonts w:hint="default" w:ascii="Times New Roman" w:hAnsi="Times New Roman" w:eastAsia="宋体" w:cs="Times New Roman"/>
                <w:color w:val="FF0000"/>
                <w:sz w:val="24"/>
                <w:szCs w:val="24"/>
                <w:highlight w:val="none"/>
                <w:lang w:val="en-US" w:eastAsia="zh-CN"/>
              </w:rPr>
              <w:t>t/a、排放速率</w:t>
            </w:r>
            <w:r>
              <w:rPr>
                <w:rFonts w:hint="eastAsia" w:ascii="Times New Roman" w:hAnsi="Times New Roman" w:eastAsia="宋体" w:cs="Times New Roman"/>
                <w:color w:val="FF0000"/>
                <w:sz w:val="24"/>
                <w:szCs w:val="24"/>
                <w:highlight w:val="none"/>
                <w:lang w:val="en-US" w:eastAsia="zh-CN"/>
              </w:rPr>
              <w:t>0.09</w:t>
            </w:r>
            <w:r>
              <w:rPr>
                <w:rFonts w:hint="default" w:ascii="Times New Roman" w:hAnsi="Times New Roman" w:eastAsia="宋体" w:cs="Times New Roman"/>
                <w:color w:val="FF0000"/>
                <w:sz w:val="24"/>
                <w:szCs w:val="24"/>
                <w:highlight w:val="none"/>
                <w:lang w:val="en-US" w:eastAsia="zh-CN"/>
              </w:rPr>
              <w:t>kg/h</w:t>
            </w:r>
            <w:r>
              <w:rPr>
                <w:rFonts w:hint="eastAsia" w:ascii="Times New Roman" w:hAnsi="Times New Roman" w:eastAsia="宋体" w:cs="Times New Roman"/>
                <w:color w:val="FF0000"/>
                <w:sz w:val="24"/>
                <w:szCs w:val="24"/>
                <w:highlight w:val="none"/>
                <w:lang w:val="en-US" w:eastAsia="zh-CN"/>
              </w:rPr>
              <w:t>，非甲烷总烃排放量为</w:t>
            </w:r>
            <w:r>
              <w:rPr>
                <w:rFonts w:hint="default" w:ascii="Times New Roman" w:hAnsi="Times New Roman" w:eastAsia="宋体" w:cs="Times New Roman"/>
                <w:color w:val="FF0000"/>
                <w:sz w:val="24"/>
                <w:szCs w:val="24"/>
                <w:highlight w:val="none"/>
                <w:lang w:val="en-US" w:eastAsia="zh-CN"/>
              </w:rPr>
              <w:t>0.0</w:t>
            </w:r>
            <w:r>
              <w:rPr>
                <w:rFonts w:hint="eastAsia" w:ascii="Times New Roman" w:hAnsi="Times New Roman" w:eastAsia="宋体" w:cs="Times New Roman"/>
                <w:color w:val="FF0000"/>
                <w:sz w:val="24"/>
                <w:szCs w:val="24"/>
                <w:highlight w:val="none"/>
                <w:lang w:val="en-US" w:eastAsia="zh-CN"/>
              </w:rPr>
              <w:t>36</w:t>
            </w:r>
            <w:r>
              <w:rPr>
                <w:rFonts w:hint="default" w:ascii="Times New Roman" w:hAnsi="Times New Roman" w:eastAsia="宋体" w:cs="Times New Roman"/>
                <w:color w:val="FF0000"/>
                <w:sz w:val="24"/>
                <w:szCs w:val="24"/>
                <w:highlight w:val="none"/>
                <w:lang w:val="en-US" w:eastAsia="zh-CN"/>
              </w:rPr>
              <w:t>t/a，排放速率为0.0</w:t>
            </w:r>
            <w:r>
              <w:rPr>
                <w:rFonts w:hint="eastAsia" w:ascii="Times New Roman" w:hAnsi="Times New Roman" w:eastAsia="宋体" w:cs="Times New Roman"/>
                <w:color w:val="FF0000"/>
                <w:sz w:val="24"/>
                <w:szCs w:val="24"/>
                <w:highlight w:val="none"/>
                <w:lang w:val="en-US" w:eastAsia="zh-CN"/>
              </w:rPr>
              <w:t>4</w:t>
            </w:r>
            <w:r>
              <w:rPr>
                <w:rFonts w:hint="default" w:ascii="Times New Roman" w:hAnsi="Times New Roman" w:eastAsia="宋体" w:cs="Times New Roman"/>
                <w:color w:val="FF0000"/>
                <w:sz w:val="24"/>
                <w:szCs w:val="24"/>
                <w:highlight w:val="none"/>
                <w:lang w:val="en-US" w:eastAsia="zh-CN"/>
              </w:rPr>
              <w:t>kg/h</w:t>
            </w:r>
            <w:r>
              <w:rPr>
                <w:rFonts w:hint="eastAsia" w:ascii="Times New Roman" w:hAnsi="Times New Roman" w:eastAsia="宋体" w:cs="Times New Roman"/>
                <w:color w:val="FF0000"/>
                <w:sz w:val="24"/>
                <w:szCs w:val="24"/>
                <w:highlight w:val="none"/>
                <w:lang w:val="en-US" w:eastAsia="zh-CN"/>
              </w:rPr>
              <w:t>。本项目漆雾</w:t>
            </w:r>
            <w:r>
              <w:rPr>
                <w:rFonts w:hint="eastAsia" w:ascii="Times New Roman" w:hAnsi="Times New Roman" w:eastAsia="宋体" w:cs="Times New Roman"/>
                <w:b w:val="0"/>
                <w:bCs w:val="0"/>
                <w:color w:val="FF0000"/>
                <w:sz w:val="24"/>
                <w:szCs w:val="24"/>
                <w:highlight w:val="none"/>
                <w:lang w:val="en-US" w:eastAsia="zh-CN"/>
              </w:rPr>
              <w:t>自动喷漆工序</w:t>
            </w:r>
            <w:r>
              <w:rPr>
                <w:rFonts w:hint="default" w:ascii="Times New Roman" w:hAnsi="Times New Roman" w:eastAsia="宋体" w:cs="Times New Roman"/>
                <w:b w:val="0"/>
                <w:bCs w:val="0"/>
                <w:color w:val="FF0000"/>
                <w:kern w:val="2"/>
                <w:sz w:val="24"/>
                <w:szCs w:val="24"/>
                <w:highlight w:val="none"/>
                <w:lang w:val="en-US" w:eastAsia="zh-CN" w:bidi="ar-SA"/>
              </w:rPr>
              <w:t>排放量</w:t>
            </w:r>
            <w:r>
              <w:rPr>
                <w:rFonts w:hint="default" w:ascii="Times New Roman" w:hAnsi="Times New Roman" w:eastAsia="宋体" w:cs="Times New Roman"/>
                <w:color w:val="FF0000"/>
                <w:sz w:val="24"/>
                <w:szCs w:val="24"/>
                <w:highlight w:val="none"/>
                <w:lang w:val="en-US" w:eastAsia="zh-CN"/>
              </w:rPr>
              <w:t>为</w:t>
            </w:r>
            <w:r>
              <w:rPr>
                <w:rFonts w:hint="eastAsia" w:ascii="Times New Roman" w:hAnsi="Times New Roman" w:eastAsia="宋体" w:cs="Times New Roman"/>
                <w:color w:val="FF0000"/>
                <w:sz w:val="24"/>
                <w:szCs w:val="24"/>
                <w:highlight w:val="none"/>
                <w:lang w:val="en-US" w:eastAsia="zh-CN"/>
              </w:rPr>
              <w:t>0.197</w:t>
            </w:r>
            <w:r>
              <w:rPr>
                <w:rFonts w:hint="default" w:ascii="Times New Roman" w:hAnsi="Times New Roman" w:eastAsia="宋体" w:cs="Times New Roman"/>
                <w:color w:val="FF0000"/>
                <w:sz w:val="24"/>
                <w:szCs w:val="24"/>
                <w:highlight w:val="none"/>
                <w:lang w:val="en-US" w:eastAsia="zh-CN"/>
              </w:rPr>
              <w:t>t/a、排放速率</w:t>
            </w:r>
            <w:r>
              <w:rPr>
                <w:rFonts w:hint="eastAsia" w:ascii="Times New Roman" w:hAnsi="Times New Roman" w:eastAsia="宋体" w:cs="Times New Roman"/>
                <w:color w:val="FF0000"/>
                <w:sz w:val="24"/>
                <w:szCs w:val="24"/>
                <w:highlight w:val="none"/>
                <w:lang w:val="en-US" w:eastAsia="zh-CN"/>
              </w:rPr>
              <w:t>0.16</w:t>
            </w:r>
            <w:r>
              <w:rPr>
                <w:rFonts w:hint="default" w:ascii="Times New Roman" w:hAnsi="Times New Roman" w:eastAsia="宋体" w:cs="Times New Roman"/>
                <w:color w:val="FF0000"/>
                <w:sz w:val="24"/>
                <w:szCs w:val="24"/>
                <w:highlight w:val="none"/>
                <w:lang w:val="en-US" w:eastAsia="zh-CN"/>
              </w:rPr>
              <w:t>kg/h</w:t>
            </w:r>
            <w:r>
              <w:rPr>
                <w:rFonts w:hint="eastAsia" w:ascii="Times New Roman" w:hAnsi="Times New Roman" w:eastAsia="宋体" w:cs="Times New Roman"/>
                <w:color w:val="FF0000"/>
                <w:sz w:val="24"/>
                <w:szCs w:val="24"/>
                <w:highlight w:val="none"/>
                <w:lang w:val="en-US" w:eastAsia="zh-CN"/>
              </w:rPr>
              <w:t>，非甲烷总烃排放量为</w:t>
            </w:r>
            <w:r>
              <w:rPr>
                <w:rFonts w:hint="default" w:ascii="Times New Roman" w:hAnsi="Times New Roman" w:eastAsia="宋体" w:cs="Times New Roman"/>
                <w:color w:val="FF0000"/>
                <w:sz w:val="24"/>
                <w:szCs w:val="24"/>
                <w:highlight w:val="none"/>
                <w:lang w:val="en-US" w:eastAsia="zh-CN"/>
              </w:rPr>
              <w:t>0.</w:t>
            </w:r>
            <w:r>
              <w:rPr>
                <w:rFonts w:hint="eastAsia" w:ascii="Times New Roman" w:hAnsi="Times New Roman" w:eastAsia="宋体" w:cs="Times New Roman"/>
                <w:color w:val="FF0000"/>
                <w:sz w:val="24"/>
                <w:szCs w:val="24"/>
                <w:highlight w:val="none"/>
                <w:lang w:val="en-US" w:eastAsia="zh-CN"/>
              </w:rPr>
              <w:t>315</w:t>
            </w:r>
            <w:r>
              <w:rPr>
                <w:rFonts w:hint="default" w:ascii="Times New Roman" w:hAnsi="Times New Roman" w:eastAsia="宋体" w:cs="Times New Roman"/>
                <w:color w:val="FF0000"/>
                <w:sz w:val="24"/>
                <w:szCs w:val="24"/>
                <w:highlight w:val="none"/>
                <w:lang w:val="en-US" w:eastAsia="zh-CN"/>
              </w:rPr>
              <w:t>t/a，排放速率为0.</w:t>
            </w:r>
            <w:r>
              <w:rPr>
                <w:rFonts w:hint="eastAsia" w:ascii="Times New Roman" w:hAnsi="Times New Roman" w:eastAsia="宋体" w:cs="Times New Roman"/>
                <w:color w:val="FF0000"/>
                <w:sz w:val="24"/>
                <w:szCs w:val="24"/>
                <w:highlight w:val="none"/>
                <w:lang w:val="en-US" w:eastAsia="zh-CN"/>
              </w:rPr>
              <w:t>263</w:t>
            </w:r>
            <w:r>
              <w:rPr>
                <w:rFonts w:hint="default" w:ascii="Times New Roman" w:hAnsi="Times New Roman" w:eastAsia="宋体" w:cs="Times New Roman"/>
                <w:color w:val="FF0000"/>
                <w:sz w:val="24"/>
                <w:szCs w:val="24"/>
                <w:highlight w:val="none"/>
                <w:lang w:val="en-US" w:eastAsia="zh-CN"/>
              </w:rPr>
              <w:t>kg/h</w:t>
            </w:r>
            <w:r>
              <w:rPr>
                <w:rFonts w:hint="eastAsia" w:ascii="Times New Roman" w:hAnsi="Times New Roman" w:eastAsia="宋体" w:cs="Times New Roman"/>
                <w:color w:val="FF0000"/>
                <w:sz w:val="24"/>
                <w:szCs w:val="24"/>
                <w:highlight w:val="none"/>
                <w:lang w:val="en-US" w:eastAsia="zh-CN"/>
              </w:rPr>
              <w:t>。</w:t>
            </w:r>
          </w:p>
          <w:p w14:paraId="504D719F">
            <w:pPr>
              <w:adjustRightInd w:val="0"/>
              <w:snapToGrid w:val="0"/>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因此</w:t>
            </w:r>
            <w:r>
              <w:rPr>
                <w:rFonts w:hint="eastAsia" w:ascii="Times New Roman" w:hAnsi="Times New Roman" w:eastAsia="宋体" w:cs="Times New Roman"/>
                <w:color w:val="FF0000"/>
                <w:sz w:val="24"/>
              </w:rPr>
              <w:t>，DA003排气筒颗粒物的排放量为0.</w:t>
            </w:r>
            <w:r>
              <w:rPr>
                <w:rFonts w:hint="eastAsia" w:ascii="Times New Roman" w:hAnsi="Times New Roman" w:eastAsia="宋体" w:cs="Times New Roman"/>
                <w:color w:val="FF0000"/>
                <w:sz w:val="24"/>
                <w:lang w:val="en-US" w:eastAsia="zh-CN"/>
              </w:rPr>
              <w:t>277</w:t>
            </w:r>
            <w:r>
              <w:rPr>
                <w:rFonts w:ascii="Times New Roman" w:hAnsi="Times New Roman" w:eastAsia="宋体" w:cs="Times New Roman"/>
                <w:color w:val="FF0000"/>
                <w:sz w:val="24"/>
              </w:rPr>
              <w:t>t/a，排放速率为</w:t>
            </w:r>
            <w:r>
              <w:rPr>
                <w:rFonts w:hint="eastAsia" w:ascii="Times New Roman" w:hAnsi="Times New Roman" w:eastAsia="宋体" w:cs="Times New Roman"/>
                <w:color w:val="FF0000"/>
                <w:sz w:val="24"/>
              </w:rPr>
              <w:t>0.2</w:t>
            </w:r>
            <w:r>
              <w:rPr>
                <w:rFonts w:hint="eastAsia" w:ascii="Times New Roman" w:hAnsi="Times New Roman" w:eastAsia="宋体" w:cs="Times New Roman"/>
                <w:color w:val="FF0000"/>
                <w:sz w:val="24"/>
                <w:lang w:val="en-US" w:eastAsia="zh-CN"/>
              </w:rPr>
              <w:t>5</w:t>
            </w:r>
            <w:r>
              <w:rPr>
                <w:rFonts w:ascii="Times New Roman" w:hAnsi="Times New Roman" w:eastAsia="宋体" w:cs="Times New Roman"/>
                <w:color w:val="FF0000"/>
                <w:sz w:val="24"/>
              </w:rPr>
              <w:t>kg/h，排放浓度为</w:t>
            </w:r>
            <w:r>
              <w:rPr>
                <w:rFonts w:hint="eastAsia" w:ascii="Times New Roman" w:hAnsi="Times New Roman" w:eastAsia="宋体" w:cs="Times New Roman"/>
                <w:color w:val="FF0000"/>
                <w:sz w:val="24"/>
              </w:rPr>
              <w:t>2</w:t>
            </w:r>
            <w:r>
              <w:rPr>
                <w:rFonts w:hint="eastAsia" w:ascii="Times New Roman" w:hAnsi="Times New Roman" w:eastAsia="宋体" w:cs="Times New Roman"/>
                <w:color w:val="FF0000"/>
                <w:sz w:val="24"/>
                <w:lang w:val="en-US" w:eastAsia="zh-CN"/>
              </w:rPr>
              <w:t>5</w:t>
            </w:r>
            <w:r>
              <w:rPr>
                <w:rFonts w:ascii="Times New Roman" w:hAnsi="Times New Roman" w:eastAsia="宋体" w:cs="Times New Roman"/>
                <w:color w:val="FF0000"/>
                <w:sz w:val="24"/>
              </w:rPr>
              <w:t>mg/m</w:t>
            </w:r>
            <w:r>
              <w:rPr>
                <w:rFonts w:ascii="Times New Roman" w:hAnsi="Times New Roman" w:eastAsia="宋体" w:cs="Times New Roman"/>
                <w:color w:val="FF0000"/>
                <w:sz w:val="24"/>
                <w:vertAlign w:val="superscript"/>
              </w:rPr>
              <w:t>3</w:t>
            </w:r>
            <w:r>
              <w:rPr>
                <w:rFonts w:hint="eastAsia" w:ascii="Times New Roman" w:hAnsi="Times New Roman" w:eastAsia="宋体" w:cs="Times New Roman"/>
                <w:color w:val="FF0000"/>
                <w:sz w:val="24"/>
              </w:rPr>
              <w:t>，排放速率和排放浓度均可满足</w:t>
            </w:r>
            <w:r>
              <w:rPr>
                <w:rFonts w:ascii="Times New Roman" w:hAnsi="Times New Roman" w:eastAsia="宋体" w:cs="Times New Roman"/>
                <w:color w:val="FF0000"/>
                <w:sz w:val="24"/>
              </w:rPr>
              <w:t>《</w:t>
            </w:r>
            <w:r>
              <w:rPr>
                <w:rFonts w:hint="eastAsia" w:ascii="Times New Roman" w:hAnsi="Times New Roman" w:eastAsia="宋体" w:cs="Times New Roman"/>
                <w:color w:val="FF0000"/>
                <w:sz w:val="24"/>
              </w:rPr>
              <w:t>大气污染物综合排放标准</w:t>
            </w:r>
            <w:r>
              <w:rPr>
                <w:rFonts w:ascii="Times New Roman" w:hAnsi="Times New Roman" w:eastAsia="宋体" w:cs="Times New Roman"/>
                <w:color w:val="FF0000"/>
                <w:sz w:val="24"/>
              </w:rPr>
              <w:t>》（GB</w:t>
            </w:r>
            <w:r>
              <w:rPr>
                <w:rFonts w:hint="eastAsia" w:ascii="Times New Roman" w:hAnsi="Times New Roman" w:eastAsia="宋体" w:cs="Times New Roman"/>
                <w:color w:val="FF0000"/>
                <w:sz w:val="24"/>
              </w:rPr>
              <w:t>16297</w:t>
            </w:r>
            <w:r>
              <w:rPr>
                <w:rFonts w:ascii="Times New Roman" w:hAnsi="Times New Roman" w:eastAsia="宋体" w:cs="Times New Roman"/>
                <w:color w:val="FF0000"/>
                <w:sz w:val="24"/>
              </w:rPr>
              <w:t>-</w:t>
            </w:r>
            <w:r>
              <w:rPr>
                <w:rFonts w:hint="eastAsia" w:ascii="Times New Roman" w:hAnsi="Times New Roman" w:eastAsia="宋体" w:cs="Times New Roman"/>
                <w:color w:val="FF0000"/>
                <w:sz w:val="24"/>
              </w:rPr>
              <w:t>1996</w:t>
            </w:r>
            <w:r>
              <w:rPr>
                <w:rFonts w:ascii="Times New Roman" w:hAnsi="Times New Roman" w:eastAsia="宋体" w:cs="Times New Roman"/>
                <w:color w:val="FF0000"/>
                <w:sz w:val="24"/>
              </w:rPr>
              <w:t>）中表</w:t>
            </w:r>
            <w:r>
              <w:rPr>
                <w:rFonts w:hint="eastAsia" w:ascii="Times New Roman" w:hAnsi="Times New Roman" w:eastAsia="宋体" w:cs="Times New Roman"/>
                <w:color w:val="FF0000"/>
                <w:sz w:val="24"/>
              </w:rPr>
              <w:t>2中二级标准限值</w:t>
            </w:r>
            <w:r>
              <w:rPr>
                <w:rFonts w:hint="eastAsia" w:ascii="Times New Roman" w:hAnsi="Times New Roman" w:eastAsia="宋体" w:cs="Times New Roman"/>
                <w:color w:val="FF0000"/>
                <w:sz w:val="24"/>
                <w:lang w:eastAsia="zh-CN"/>
              </w:rPr>
              <w:t>。</w:t>
            </w:r>
            <w:r>
              <w:rPr>
                <w:rFonts w:hint="eastAsia" w:ascii="Times New Roman" w:hAnsi="Times New Roman" w:eastAsia="宋体" w:cs="Times New Roman"/>
                <w:color w:val="FF0000"/>
                <w:sz w:val="24"/>
              </w:rPr>
              <w:t>非甲烷总烃的排放量为0.</w:t>
            </w:r>
            <w:r>
              <w:rPr>
                <w:rFonts w:hint="eastAsia" w:ascii="Times New Roman" w:hAnsi="Times New Roman" w:eastAsia="宋体" w:cs="Times New Roman"/>
                <w:color w:val="FF0000"/>
                <w:sz w:val="24"/>
                <w:lang w:val="en-US" w:eastAsia="zh-CN"/>
              </w:rPr>
              <w:t>351</w:t>
            </w:r>
            <w:r>
              <w:rPr>
                <w:rFonts w:ascii="Times New Roman" w:hAnsi="Times New Roman" w:eastAsia="宋体" w:cs="Times New Roman"/>
                <w:color w:val="FF0000"/>
                <w:sz w:val="24"/>
              </w:rPr>
              <w:t>t/a，排放速率为</w:t>
            </w:r>
            <w:r>
              <w:rPr>
                <w:rFonts w:hint="eastAsia" w:ascii="Times New Roman" w:hAnsi="Times New Roman" w:eastAsia="宋体" w:cs="Times New Roman"/>
                <w:color w:val="FF0000"/>
                <w:sz w:val="24"/>
              </w:rPr>
              <w:t>0.</w:t>
            </w:r>
            <w:r>
              <w:rPr>
                <w:rFonts w:hint="eastAsia" w:ascii="Times New Roman" w:hAnsi="Times New Roman" w:eastAsia="宋体" w:cs="Times New Roman"/>
                <w:color w:val="FF0000"/>
                <w:sz w:val="24"/>
                <w:lang w:val="en-US" w:eastAsia="zh-CN"/>
              </w:rPr>
              <w:t>303</w:t>
            </w:r>
            <w:r>
              <w:rPr>
                <w:rFonts w:ascii="Times New Roman" w:hAnsi="Times New Roman" w:eastAsia="宋体" w:cs="Times New Roman"/>
                <w:color w:val="FF0000"/>
                <w:sz w:val="24"/>
              </w:rPr>
              <w:t>kg/h，排放浓度为</w:t>
            </w:r>
            <w:r>
              <w:rPr>
                <w:rFonts w:hint="eastAsia" w:ascii="Times New Roman" w:hAnsi="Times New Roman" w:eastAsia="宋体" w:cs="Times New Roman"/>
                <w:color w:val="FF0000"/>
                <w:sz w:val="24"/>
                <w:lang w:val="en-US" w:eastAsia="zh-CN"/>
              </w:rPr>
              <w:t>30.3</w:t>
            </w:r>
            <w:r>
              <w:rPr>
                <w:rFonts w:ascii="Times New Roman" w:hAnsi="Times New Roman" w:eastAsia="宋体" w:cs="Times New Roman"/>
                <w:color w:val="FF0000"/>
                <w:sz w:val="24"/>
              </w:rPr>
              <w:t>mg/m</w:t>
            </w:r>
            <w:r>
              <w:rPr>
                <w:rFonts w:ascii="Times New Roman" w:hAnsi="Times New Roman" w:eastAsia="宋体" w:cs="Times New Roman"/>
                <w:color w:val="FF0000"/>
                <w:sz w:val="24"/>
                <w:vertAlign w:val="superscript"/>
              </w:rPr>
              <w:t>3</w:t>
            </w:r>
            <w:r>
              <w:rPr>
                <w:rFonts w:hint="eastAsia" w:ascii="Times New Roman" w:hAnsi="Times New Roman" w:eastAsia="宋体" w:cs="Times New Roman"/>
                <w:color w:val="FF0000"/>
                <w:sz w:val="24"/>
              </w:rPr>
              <w:t>，</w:t>
            </w:r>
            <w:r>
              <w:rPr>
                <w:rFonts w:hint="eastAsia" w:ascii="Times New Roman" w:hAnsi="Times New Roman" w:eastAsia="宋体" w:cs="Times New Roman"/>
                <w:sz w:val="24"/>
              </w:rPr>
              <w:t>排放浓度均可满足</w:t>
            </w:r>
            <w:r>
              <w:rPr>
                <w:rFonts w:ascii="Times New Roman" w:hAnsi="Times New Roman" w:cs="Times New Roman"/>
                <w:kern w:val="0"/>
                <w:sz w:val="24"/>
              </w:rPr>
              <w:t>《挥发性有机物排放控制标准》（DB61/T1061-2017）</w:t>
            </w:r>
            <w:r>
              <w:rPr>
                <w:rFonts w:ascii="Times New Roman" w:hAnsi="Times New Roman" w:eastAsia="宋体" w:cs="Times New Roman"/>
                <w:sz w:val="24"/>
              </w:rPr>
              <w:t>中表</w:t>
            </w:r>
            <w:r>
              <w:rPr>
                <w:rFonts w:hint="eastAsia" w:ascii="Times New Roman" w:hAnsi="Times New Roman" w:eastAsia="宋体" w:cs="Times New Roman"/>
                <w:sz w:val="24"/>
              </w:rPr>
              <w:t>2中二级标准限值，对环境影响较小。</w:t>
            </w:r>
          </w:p>
          <w:p w14:paraId="206FDB31">
            <w:pPr>
              <w:pStyle w:val="25"/>
              <w:adjustRightInd w:val="0"/>
              <w:snapToGrid w:val="0"/>
              <w:spacing w:line="360" w:lineRule="auto"/>
              <w:ind w:firstLine="482"/>
              <w:rPr>
                <w:rFonts w:ascii="Times New Roman" w:hAnsi="Times New Roman" w:cs="Times New Roman"/>
                <w:b/>
                <w:bCs/>
                <w:sz w:val="24"/>
              </w:rPr>
            </w:pPr>
            <w:r>
              <w:rPr>
                <w:rFonts w:ascii="Times New Roman" w:hAnsi="Times New Roman" w:cs="Times New Roman"/>
                <w:b/>
                <w:bCs/>
                <w:sz w:val="24"/>
              </w:rPr>
              <w:t>3、处理措施可行性分析</w:t>
            </w:r>
          </w:p>
          <w:p w14:paraId="54014FA7">
            <w:pPr>
              <w:pStyle w:val="2"/>
              <w:adjustRightInd w:val="0"/>
              <w:snapToGrid w:val="0"/>
              <w:spacing w:line="360" w:lineRule="auto"/>
              <w:ind w:left="0" w:leftChars="0" w:firstLine="480" w:firstLineChars="200"/>
              <w:rPr>
                <w:rFonts w:ascii="Times New Roman" w:hAnsi="Times New Roman" w:cs="Times New Roman"/>
                <w:sz w:val="24"/>
              </w:rPr>
            </w:pPr>
            <w:r>
              <w:rPr>
                <w:rFonts w:ascii="Times New Roman" w:hAnsi="Times New Roman" w:cs="Times New Roman"/>
                <w:sz w:val="24"/>
              </w:rPr>
              <w:t>参照《排放源统计调查产排污核算方法和系数手册》（生态环境部办公厅2021年6月11日印发）中</w:t>
            </w:r>
            <w:r>
              <w:rPr>
                <w:rFonts w:hint="eastAsia" w:ascii="Times New Roman" w:hAnsi="Times New Roman" w:cs="Times New Roman"/>
                <w:sz w:val="24"/>
              </w:rPr>
              <w:t>“</w:t>
            </w:r>
            <w:r>
              <w:rPr>
                <w:rFonts w:ascii="Times New Roman" w:hAnsi="Times New Roman" w:cs="Times New Roman"/>
                <w:sz w:val="24"/>
              </w:rPr>
              <w:t>《33—37，431—434机械行业系数手册》</w:t>
            </w:r>
            <w:r>
              <w:rPr>
                <w:rFonts w:hint="eastAsia" w:ascii="Times New Roman" w:hAnsi="Times New Roman" w:cs="Times New Roman"/>
                <w:sz w:val="24"/>
              </w:rPr>
              <w:t>”</w:t>
            </w:r>
            <w:r>
              <w:rPr>
                <w:rFonts w:ascii="Times New Roman" w:hAnsi="Times New Roman" w:cs="Times New Roman"/>
                <w:sz w:val="24"/>
              </w:rPr>
              <w:t>中</w:t>
            </w:r>
            <w:r>
              <w:rPr>
                <w:rFonts w:hint="eastAsia" w:ascii="Times New Roman" w:hAnsi="Times New Roman" w:cs="Times New Roman"/>
                <w:sz w:val="24"/>
                <w:lang w:eastAsia="zh-CN"/>
              </w:rPr>
              <w:t>“</w:t>
            </w:r>
            <w:r>
              <w:rPr>
                <w:rFonts w:ascii="Times New Roman" w:hAnsi="Times New Roman" w:cs="Times New Roman"/>
                <w:sz w:val="24"/>
              </w:rPr>
              <w:t>抛丸、喷砂、打磨</w:t>
            </w:r>
            <w:r>
              <w:rPr>
                <w:rFonts w:hint="eastAsia" w:ascii="Times New Roman" w:hAnsi="Times New Roman" w:cs="Times New Roman"/>
                <w:sz w:val="24"/>
                <w:lang w:eastAsia="zh-CN"/>
              </w:rPr>
              <w:t>”</w:t>
            </w:r>
            <w:r>
              <w:rPr>
                <w:rFonts w:ascii="Times New Roman" w:hAnsi="Times New Roman" w:cs="Times New Roman"/>
                <w:sz w:val="24"/>
              </w:rPr>
              <w:t>工序末端治理技术中包含</w:t>
            </w:r>
            <w:r>
              <w:rPr>
                <w:rFonts w:hint="eastAsia" w:ascii="Times New Roman" w:hAnsi="Times New Roman" w:cs="Times New Roman"/>
                <w:sz w:val="24"/>
              </w:rPr>
              <w:t>“布袋除尘”，“14涂装</w:t>
            </w:r>
            <w:r>
              <w:rPr>
                <w:rFonts w:ascii="Times New Roman" w:hAnsi="Times New Roman" w:cs="Times New Roman"/>
                <w:sz w:val="24"/>
              </w:rPr>
              <w:t>—</w:t>
            </w:r>
            <w:r>
              <w:rPr>
                <w:rFonts w:hint="eastAsia" w:ascii="Times New Roman" w:hAnsi="Times New Roman" w:cs="Times New Roman"/>
                <w:sz w:val="24"/>
              </w:rPr>
              <w:t>喷漆”</w:t>
            </w:r>
            <w:r>
              <w:rPr>
                <w:rFonts w:ascii="Times New Roman" w:hAnsi="Times New Roman" w:cs="Times New Roman"/>
                <w:sz w:val="24"/>
              </w:rPr>
              <w:t>的末端治理技术中包含</w:t>
            </w:r>
            <w:r>
              <w:rPr>
                <w:rFonts w:hint="eastAsia" w:ascii="Times New Roman" w:hAnsi="Times New Roman" w:cs="Times New Roman"/>
                <w:sz w:val="24"/>
              </w:rPr>
              <w:t>“其他（吸附法）”，</w:t>
            </w:r>
            <w:r>
              <w:rPr>
                <w:rFonts w:ascii="Times New Roman" w:hAnsi="Times New Roman" w:cs="Times New Roman"/>
                <w:sz w:val="24"/>
              </w:rPr>
              <w:t>因此，本项目</w:t>
            </w:r>
            <w:r>
              <w:rPr>
                <w:rFonts w:hint="eastAsia" w:ascii="Times New Roman" w:hAnsi="Times New Roman" w:cs="Times New Roman"/>
                <w:sz w:val="24"/>
              </w:rPr>
              <w:t>喷砂工序废气采用布袋除尘器</w:t>
            </w:r>
            <w:r>
              <w:rPr>
                <w:rFonts w:ascii="Times New Roman" w:hAnsi="Times New Roman" w:cs="Times New Roman"/>
                <w:sz w:val="24"/>
              </w:rPr>
              <w:t>处理技术可行</w:t>
            </w:r>
            <w:r>
              <w:rPr>
                <w:rFonts w:hint="eastAsia" w:ascii="Times New Roman" w:hAnsi="Times New Roman" w:cs="Times New Roman"/>
                <w:sz w:val="24"/>
              </w:rPr>
              <w:t>。</w:t>
            </w:r>
          </w:p>
          <w:p w14:paraId="5E5CA3DC">
            <w:pPr>
              <w:pStyle w:val="2"/>
              <w:adjustRightInd w:val="0"/>
              <w:snapToGrid w:val="0"/>
              <w:spacing w:line="360" w:lineRule="auto"/>
              <w:ind w:left="0" w:leftChars="0" w:firstLine="480" w:firstLineChars="200"/>
              <w:rPr>
                <w:rFonts w:ascii="Times New Roman" w:hAnsi="Times New Roman" w:cs="Times New Roman"/>
                <w:sz w:val="24"/>
              </w:rPr>
            </w:pPr>
            <w:r>
              <w:rPr>
                <w:rFonts w:ascii="Times New Roman" w:hAnsi="Times New Roman" w:cs="Times New Roman"/>
                <w:sz w:val="24"/>
              </w:rPr>
              <w:t>参照《挥发性有机物（非甲烷总烃）污染防治技术政策》</w:t>
            </w:r>
            <w:r>
              <w:rPr>
                <w:rFonts w:hint="eastAsia" w:ascii="Times New Roman" w:hAnsi="Times New Roman" w:cs="Times New Roman"/>
                <w:sz w:val="24"/>
              </w:rPr>
              <w:t xml:space="preserve"> (公告2013年第31号2013-05-24实施)中“三、末端治理与综合利用”，对于含VOCs的废气，均可采用吸附技术实现达标排放。因此，自动喷漆工序</w:t>
            </w:r>
            <w:r>
              <w:rPr>
                <w:rFonts w:ascii="Times New Roman" w:hAnsi="Times New Roman" w:cs="Times New Roman"/>
                <w:sz w:val="24"/>
              </w:rPr>
              <w:t>废气采用</w:t>
            </w:r>
            <w:r>
              <w:rPr>
                <w:rFonts w:hint="eastAsia" w:ascii="Times New Roman" w:hAnsi="Times New Roman" w:cs="Times New Roman"/>
                <w:sz w:val="24"/>
              </w:rPr>
              <w:t>“</w:t>
            </w:r>
            <w:r>
              <w:rPr>
                <w:rFonts w:ascii="Times New Roman" w:hAnsi="Times New Roman" w:cs="Times New Roman"/>
                <w:sz w:val="24"/>
              </w:rPr>
              <w:t>过滤棉+</w:t>
            </w:r>
            <w:r>
              <w:rPr>
                <w:rFonts w:hint="eastAsia" w:ascii="Times New Roman" w:hAnsi="Times New Roman" w:cs="Times New Roman"/>
                <w:sz w:val="24"/>
              </w:rPr>
              <w:t>二级</w:t>
            </w:r>
            <w:r>
              <w:rPr>
                <w:rFonts w:ascii="Times New Roman" w:hAnsi="Times New Roman" w:cs="Times New Roman"/>
                <w:sz w:val="24"/>
              </w:rPr>
              <w:t>活性炭吸附</w:t>
            </w:r>
            <w:r>
              <w:rPr>
                <w:rFonts w:hint="eastAsia" w:ascii="Times New Roman" w:hAnsi="Times New Roman" w:cs="Times New Roman"/>
                <w:sz w:val="24"/>
              </w:rPr>
              <w:t>装置”</w:t>
            </w:r>
            <w:r>
              <w:rPr>
                <w:rFonts w:ascii="Times New Roman" w:hAnsi="Times New Roman" w:cs="Times New Roman"/>
                <w:sz w:val="24"/>
              </w:rPr>
              <w:t>处理技术可行。</w:t>
            </w:r>
          </w:p>
          <w:p w14:paraId="180CC16A">
            <w:pPr>
              <w:pStyle w:val="2"/>
              <w:adjustRightInd w:val="0"/>
              <w:snapToGrid w:val="0"/>
              <w:spacing w:line="360" w:lineRule="auto"/>
              <w:ind w:left="0" w:leftChars="0" w:firstLine="480" w:firstLineChars="200"/>
              <w:rPr>
                <w:rFonts w:ascii="Times New Roman" w:hAnsi="Times New Roman" w:cs="Times New Roman"/>
                <w:sz w:val="24"/>
              </w:rPr>
            </w:pPr>
            <w:r>
              <w:rPr>
                <w:rFonts w:ascii="Times New Roman" w:hAnsi="Times New Roman" w:cs="Times New Roman"/>
                <w:sz w:val="24"/>
              </w:rPr>
              <w:t>喷漆的废气先通过</w:t>
            </w:r>
            <w:r>
              <w:rPr>
                <w:rFonts w:hint="eastAsia" w:ascii="Times New Roman" w:hAnsi="Times New Roman" w:cs="Times New Roman"/>
                <w:sz w:val="24"/>
              </w:rPr>
              <w:t>干式过滤棉</w:t>
            </w:r>
            <w:r>
              <w:rPr>
                <w:rFonts w:ascii="Times New Roman" w:hAnsi="Times New Roman" w:cs="Times New Roman"/>
                <w:sz w:val="24"/>
              </w:rPr>
              <w:t>去除漆雾</w:t>
            </w:r>
            <w:r>
              <w:rPr>
                <w:rFonts w:hint="eastAsia" w:ascii="Times New Roman" w:hAnsi="Times New Roman" w:cs="Times New Roman"/>
                <w:sz w:val="24"/>
              </w:rPr>
              <w:t>颗粒</w:t>
            </w:r>
            <w:r>
              <w:rPr>
                <w:rFonts w:ascii="Times New Roman" w:hAnsi="Times New Roman" w:cs="Times New Roman"/>
                <w:sz w:val="24"/>
              </w:rPr>
              <w:t>，净化后的气体再通过密闭管道送</w:t>
            </w:r>
            <w:r>
              <w:rPr>
                <w:rFonts w:hint="eastAsia" w:ascii="Times New Roman" w:hAnsi="Times New Roman" w:cs="Times New Roman"/>
                <w:sz w:val="24"/>
              </w:rPr>
              <w:t>二级</w:t>
            </w:r>
            <w:r>
              <w:rPr>
                <w:rFonts w:ascii="Times New Roman" w:hAnsi="Times New Roman" w:cs="Times New Roman"/>
                <w:sz w:val="24"/>
              </w:rPr>
              <w:t>活性炭吸附装置进行处置。</w:t>
            </w:r>
          </w:p>
          <w:p w14:paraId="21D6CB16">
            <w:pPr>
              <w:pStyle w:val="25"/>
              <w:adjustRightInd w:val="0"/>
              <w:snapToGrid w:val="0"/>
              <w:spacing w:line="360" w:lineRule="auto"/>
              <w:ind w:firstLine="480"/>
              <w:rPr>
                <w:rFonts w:ascii="Times New Roman" w:hAnsi="Times New Roman" w:eastAsia="宋体" w:cs="Times New Roman"/>
                <w:kern w:val="0"/>
                <w:sz w:val="24"/>
                <w:lang w:bidi="ar"/>
              </w:rPr>
            </w:pPr>
            <w:r>
              <w:rPr>
                <w:rFonts w:ascii="Times New Roman" w:hAnsi="Times New Roman" w:cs="Times New Roman"/>
                <w:sz w:val="24"/>
              </w:rPr>
              <w:t>活性炭比表面积一般在700m</w:t>
            </w:r>
            <w:r>
              <w:rPr>
                <w:rFonts w:ascii="Times New Roman" w:hAnsi="Times New Roman" w:cs="Times New Roman"/>
                <w:sz w:val="24"/>
                <w:vertAlign w:val="superscript"/>
              </w:rPr>
              <w:t>2</w:t>
            </w:r>
            <w:r>
              <w:rPr>
                <w:rFonts w:ascii="Times New Roman" w:hAnsi="Times New Roman" w:cs="Times New Roman"/>
                <w:sz w:val="24"/>
              </w:rPr>
              <w:t>/g～1500m</w:t>
            </w:r>
            <w:r>
              <w:rPr>
                <w:rFonts w:ascii="Times New Roman" w:hAnsi="Times New Roman" w:cs="Times New Roman"/>
                <w:sz w:val="24"/>
                <w:vertAlign w:val="superscript"/>
              </w:rPr>
              <w:t>2</w:t>
            </w:r>
            <w:r>
              <w:rPr>
                <w:rFonts w:ascii="Times New Roman" w:hAnsi="Times New Roman" w:cs="Times New Roman"/>
                <w:sz w:val="24"/>
              </w:rPr>
              <w:t>/g范围内，具有优异的吸附能力，故活性炭常常被用来吸附处理空气中的</w:t>
            </w:r>
            <w:r>
              <w:rPr>
                <w:rFonts w:ascii="Times New Roman" w:hAnsi="Times New Roman" w:eastAsia="宋体" w:cs="Times New Roman"/>
                <w:kern w:val="0"/>
                <w:sz w:val="24"/>
                <w:lang w:bidi="ar"/>
              </w:rPr>
              <w:t>有机溶剂和恶臭物质。根据《生态环境部关于加快解决当前挥发性有机物治理突出问题的通知》（环大气〔2021〕65号）规定，</w:t>
            </w:r>
            <w:r>
              <w:rPr>
                <w:rFonts w:hint="eastAsia" w:ascii="Times New Roman" w:hAnsi="Times New Roman" w:eastAsia="宋体" w:cs="Times New Roman"/>
                <w:kern w:val="0"/>
                <w:sz w:val="24"/>
                <w:lang w:bidi="ar"/>
              </w:rPr>
              <w:t>“</w:t>
            </w:r>
            <w:r>
              <w:rPr>
                <w:rFonts w:ascii="Times New Roman" w:hAnsi="Times New Roman" w:eastAsia="宋体" w:cs="Times New Roman"/>
                <w:kern w:val="0"/>
                <w:sz w:val="24"/>
                <w:lang w:bidi="ar"/>
              </w:rPr>
              <w:t>采用活性炭吸附工艺的企业，应根据废气排放特征，按照相关工程技术规范设计净化工艺和设备，使废气在吸附装置中有足够的停留时间，选择符合相关产品质量标准的活性炭，并足额充填、及时更换。采用蜂窝活性炭作为吸附剂时，其碘值不宜低于650mg/g</w:t>
            </w:r>
            <w:r>
              <w:rPr>
                <w:rFonts w:hint="eastAsia" w:ascii="Times New Roman" w:hAnsi="Times New Roman" w:eastAsia="宋体" w:cs="Times New Roman"/>
                <w:kern w:val="0"/>
                <w:sz w:val="24"/>
                <w:lang w:bidi="ar"/>
              </w:rPr>
              <w:t>”</w:t>
            </w:r>
            <w:r>
              <w:rPr>
                <w:rFonts w:ascii="Times New Roman" w:hAnsi="Times New Roman" w:eastAsia="宋体" w:cs="Times New Roman"/>
                <w:kern w:val="0"/>
                <w:sz w:val="24"/>
                <w:lang w:bidi="ar"/>
              </w:rPr>
              <w:t>。本项目二级活性炭吸附采用蜂窝活性炭，环评要求其碘值不低于650mg/g。</w:t>
            </w:r>
          </w:p>
          <w:p w14:paraId="6688A61D">
            <w:pPr>
              <w:pStyle w:val="25"/>
              <w:adjustRightInd w:val="0"/>
              <w:snapToGrid w:val="0"/>
              <w:spacing w:line="360" w:lineRule="auto"/>
              <w:ind w:firstLine="480"/>
              <w:rPr>
                <w:rFonts w:ascii="Times New Roman" w:hAnsi="Times New Roman" w:cs="Times New Roman"/>
                <w:sz w:val="24"/>
              </w:rPr>
            </w:pPr>
            <w:r>
              <w:rPr>
                <w:rFonts w:hint="eastAsia" w:ascii="Times New Roman" w:hAnsi="Times New Roman" w:cs="Times New Roman"/>
                <w:sz w:val="24"/>
              </w:rPr>
              <w:t>本项目采用蜂窝活性炭作为废气吸附剂，具有以下优势：</w:t>
            </w:r>
          </w:p>
          <w:p w14:paraId="4CE96171">
            <w:pPr>
              <w:pStyle w:val="25"/>
              <w:adjustRightInd w:val="0"/>
              <w:snapToGrid w:val="0"/>
              <w:spacing w:line="360" w:lineRule="auto"/>
              <w:ind w:firstLine="480"/>
              <w:rPr>
                <w:rFonts w:ascii="Times New Roman" w:hAnsi="Times New Roman" w:cs="Times New Roman"/>
                <w:sz w:val="24"/>
              </w:rPr>
            </w:pPr>
            <w:r>
              <w:rPr>
                <w:rFonts w:hint="eastAsia" w:ascii="Times New Roman" w:hAnsi="Times New Roman" w:cs="Times New Roman"/>
                <w:sz w:val="24"/>
              </w:rPr>
              <w:t>①高效的吸附性能</w:t>
            </w:r>
            <w:r>
              <w:rPr>
                <w:rFonts w:ascii="Times New Roman" w:hAnsi="Times New Roman" w:cs="Times New Roman"/>
                <w:sz w:val="24"/>
              </w:rPr>
              <w:t>：蜂窝活性炭具有较大的表面积和发达的微孔结构，这使得它能够有效地吸附空气中的有害物质，吸附效率高，并且风阻系数小，具有优良的吸附、脱附性能和气体动力学性能。</w:t>
            </w:r>
          </w:p>
          <w:p w14:paraId="716C7287">
            <w:pPr>
              <w:pStyle w:val="25"/>
              <w:adjustRightInd w:val="0"/>
              <w:snapToGrid w:val="0"/>
              <w:spacing w:line="360" w:lineRule="auto"/>
              <w:ind w:firstLine="480"/>
              <w:rPr>
                <w:rFonts w:ascii="Times New Roman" w:hAnsi="Times New Roman" w:cs="Times New Roman"/>
                <w:sz w:val="24"/>
              </w:rPr>
            </w:pPr>
            <w:r>
              <w:rPr>
                <w:rFonts w:ascii="Times New Roman" w:hAnsi="Times New Roman" w:cs="Times New Roman"/>
                <w:sz w:val="24"/>
              </w:rPr>
              <w:t>②使用便捷：蜂窝活性炭的结构设计使得它在使用过程中能够与气体充分接触，从而提高了吸附效率。</w:t>
            </w:r>
          </w:p>
          <w:p w14:paraId="3C754CC1">
            <w:pPr>
              <w:pStyle w:val="25"/>
              <w:adjustRightInd w:val="0"/>
              <w:snapToGrid w:val="0"/>
              <w:spacing w:line="360" w:lineRule="auto"/>
              <w:ind w:firstLine="480"/>
              <w:rPr>
                <w:rFonts w:ascii="Times New Roman" w:hAnsi="Times New Roman" w:cs="Times New Roman"/>
                <w:sz w:val="24"/>
              </w:rPr>
            </w:pPr>
            <w:r>
              <w:rPr>
                <w:rFonts w:ascii="Times New Roman" w:hAnsi="Times New Roman" w:cs="Times New Roman"/>
                <w:sz w:val="24"/>
              </w:rPr>
              <w:t>③经济性：蜂窝活性炭的使用可以降低设备的风阻，减少能源消耗，从而降低运行成本。</w:t>
            </w:r>
          </w:p>
          <w:p w14:paraId="079E20EE">
            <w:pPr>
              <w:pStyle w:val="25"/>
              <w:adjustRightInd w:val="0"/>
              <w:snapToGrid w:val="0"/>
              <w:spacing w:line="360" w:lineRule="auto"/>
              <w:ind w:firstLine="480"/>
              <w:rPr>
                <w:rFonts w:ascii="Times New Roman" w:hAnsi="Times New Roman" w:cs="Times New Roman"/>
                <w:sz w:val="24"/>
              </w:rPr>
            </w:pPr>
            <w:r>
              <w:rPr>
                <w:rFonts w:ascii="Times New Roman" w:hAnsi="Times New Roman" w:cs="Times New Roman"/>
                <w:sz w:val="24"/>
              </w:rPr>
              <w:t>④耐水性能：耐水型蜂窝活性炭经过特殊处理，能够在潮湿和含水的环境中使用，这扩大了其应用范围。它具有较高的强度，耐水、耐强酸、强碱的特性。</w:t>
            </w:r>
          </w:p>
          <w:p w14:paraId="6B4BF5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按照</w:t>
            </w:r>
            <w:r>
              <w:rPr>
                <w:rFonts w:hint="default" w:ascii="Times New Roman" w:hAnsi="Times New Roman" w:cs="Times New Roman"/>
                <w:color w:val="auto"/>
                <w:sz w:val="24"/>
                <w:szCs w:val="24"/>
                <w:lang w:val="en-US" w:eastAsia="zh-Hans"/>
              </w:rPr>
              <w:t>《</w:t>
            </w:r>
            <w:bookmarkStart w:id="18" w:name="_Toc44493931"/>
            <w:r>
              <w:rPr>
                <w:rFonts w:hint="default" w:ascii="Times New Roman" w:hAnsi="Times New Roman" w:cs="Times New Roman"/>
                <w:color w:val="auto"/>
                <w:sz w:val="24"/>
                <w:szCs w:val="24"/>
                <w:lang w:val="en-US" w:eastAsia="zh-Hans"/>
              </w:rPr>
              <w:t>重污染天气重点行业应急减排措施制定</w:t>
            </w:r>
            <w:bookmarkEnd w:id="18"/>
            <w:bookmarkStart w:id="19" w:name="_Toc44493932"/>
            <w:r>
              <w:rPr>
                <w:rFonts w:hint="default" w:ascii="Times New Roman" w:hAnsi="Times New Roman" w:cs="Times New Roman"/>
                <w:color w:val="auto"/>
                <w:sz w:val="24"/>
                <w:szCs w:val="24"/>
                <w:lang w:val="en-US" w:eastAsia="zh-Hans"/>
              </w:rPr>
              <w:t>技术指南</w:t>
            </w:r>
            <w:bookmarkEnd w:id="19"/>
            <w:r>
              <w:rPr>
                <w:rFonts w:hint="default" w:ascii="Times New Roman" w:hAnsi="Times New Roman" w:cs="Times New Roman"/>
                <w:color w:val="auto"/>
                <w:sz w:val="24"/>
                <w:szCs w:val="24"/>
                <w:lang w:val="en-US" w:eastAsia="zh-Hans"/>
              </w:rPr>
              <w:t>》</w:t>
            </w:r>
            <w:r>
              <w:rPr>
                <w:rFonts w:hint="eastAsia" w:ascii="Times New Roman" w:hAnsi="Times New Roman" w:cs="Times New Roman"/>
                <w:color w:val="auto"/>
                <w:sz w:val="24"/>
                <w:szCs w:val="24"/>
                <w:lang w:val="en-US" w:eastAsia="zh-Hans"/>
              </w:rPr>
              <w:t>中表面涂装行业A级绩效要求</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喷涂废气设置高效漆雾处理装置；使用水性涂料（含水性UV）时，当车间或生产设施排气中非甲烷总烃（NMHC）初始排放速率≥2kg/h时，建设末端治污设施，处理效率≥80%</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本项目漆雾采用</w:t>
            </w:r>
            <w:r>
              <w:rPr>
                <w:rFonts w:hint="eastAsia" w:ascii="Times New Roman" w:hAnsi="Times New Roman" w:cs="Times New Roman"/>
                <w:color w:val="auto"/>
                <w:sz w:val="24"/>
                <w:szCs w:val="24"/>
                <w:lang w:val="en-US" w:eastAsia="zh-CN"/>
              </w:rPr>
              <w:t>经干式过滤棉</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二级</w:t>
            </w:r>
            <w:r>
              <w:rPr>
                <w:rFonts w:hint="default" w:ascii="Times New Roman" w:hAnsi="Times New Roman" w:cs="Times New Roman"/>
                <w:color w:val="auto"/>
                <w:sz w:val="24"/>
                <w:szCs w:val="24"/>
                <w:lang w:val="en-US" w:eastAsia="zh-CN"/>
              </w:rPr>
              <w:t>活性炭处理</w:t>
            </w:r>
            <w:r>
              <w:rPr>
                <w:rFonts w:hint="eastAsia" w:ascii="Times New Roman" w:hAnsi="Times New Roman" w:cs="Times New Roman"/>
                <w:color w:val="auto"/>
                <w:sz w:val="24"/>
                <w:szCs w:val="24"/>
                <w:lang w:val="en-US" w:eastAsia="zh-CN"/>
              </w:rPr>
              <w:t>，属</w:t>
            </w:r>
            <w:r>
              <w:rPr>
                <w:rFonts w:hint="default" w:ascii="Times New Roman" w:hAnsi="Times New Roman" w:cs="Times New Roman"/>
                <w:color w:val="auto"/>
                <w:sz w:val="24"/>
                <w:szCs w:val="24"/>
                <w:lang w:val="en-US" w:eastAsia="zh-CN"/>
              </w:rPr>
              <w:t>于推荐的高效可行性处理工艺；本项目使用水性漆，调漆、喷漆、</w:t>
            </w:r>
            <w:r>
              <w:rPr>
                <w:rFonts w:hint="eastAsia" w:ascii="Times New Roman" w:hAnsi="Times New Roman" w:cs="Times New Roman"/>
                <w:color w:val="auto"/>
                <w:sz w:val="24"/>
                <w:szCs w:val="24"/>
                <w:lang w:val="en-US" w:eastAsia="zh-CN"/>
              </w:rPr>
              <w:t>烘干</w:t>
            </w:r>
            <w:r>
              <w:rPr>
                <w:rFonts w:hint="default" w:ascii="Times New Roman" w:hAnsi="Times New Roman" w:cs="Times New Roman"/>
                <w:color w:val="auto"/>
                <w:sz w:val="24"/>
                <w:szCs w:val="24"/>
                <w:lang w:val="en-US" w:eastAsia="zh-CN"/>
              </w:rPr>
              <w:t>等含非甲烷总烃废气采用</w:t>
            </w:r>
            <w:r>
              <w:rPr>
                <w:rFonts w:hint="eastAsia" w:ascii="Times New Roman" w:hAnsi="Times New Roman" w:cs="Times New Roman"/>
                <w:color w:val="auto"/>
                <w:sz w:val="24"/>
                <w:szCs w:val="24"/>
                <w:lang w:val="en-US" w:eastAsia="zh-CN"/>
              </w:rPr>
              <w:t>经干式过滤棉</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二级</w:t>
            </w:r>
            <w:r>
              <w:rPr>
                <w:rFonts w:hint="default" w:ascii="Times New Roman" w:hAnsi="Times New Roman" w:cs="Times New Roman"/>
                <w:color w:val="auto"/>
                <w:sz w:val="24"/>
                <w:szCs w:val="24"/>
                <w:lang w:val="en-US" w:eastAsia="zh-CN"/>
              </w:rPr>
              <w:t>活性炭吸附装置处理，初始排放速率</w:t>
            </w:r>
            <w:r>
              <w:rPr>
                <w:rFonts w:hint="eastAsia" w:ascii="Times New Roman" w:hAnsi="Times New Roman" w:cs="Times New Roman"/>
                <w:color w:val="auto"/>
                <w:sz w:val="24"/>
                <w:szCs w:val="24"/>
                <w:lang w:val="en-US" w:eastAsia="zh-CN"/>
              </w:rPr>
              <w:t>为0.69kg/h，远远小于</w:t>
            </w:r>
            <w:r>
              <w:rPr>
                <w:rFonts w:hint="default" w:ascii="Times New Roman" w:hAnsi="Times New Roman" w:cs="Times New Roman"/>
                <w:color w:val="auto"/>
                <w:sz w:val="24"/>
                <w:szCs w:val="24"/>
                <w:lang w:val="en-US" w:eastAsia="zh-CN"/>
              </w:rPr>
              <w:t>2kg/h</w:t>
            </w:r>
            <w:r>
              <w:rPr>
                <w:rFonts w:hint="eastAsia" w:ascii="Times New Roman" w:hAnsi="Times New Roman" w:cs="Times New Roman"/>
                <w:color w:val="auto"/>
                <w:sz w:val="24"/>
                <w:szCs w:val="24"/>
                <w:lang w:val="en-US" w:eastAsia="zh-CN"/>
              </w:rPr>
              <w:t>，因此，可不考虑处理效率的要求，以上均符合绩效评级中A级企业标准要求。</w:t>
            </w:r>
          </w:p>
          <w:p w14:paraId="60B8D3F9">
            <w:pPr>
              <w:pStyle w:val="25"/>
              <w:adjustRightInd w:val="0"/>
              <w:snapToGrid w:val="0"/>
              <w:spacing w:line="360" w:lineRule="auto"/>
              <w:ind w:firstLine="480"/>
              <w:rPr>
                <w:rFonts w:ascii="Times New Roman" w:hAnsi="Times New Roman" w:cs="Times New Roman"/>
                <w:sz w:val="24"/>
              </w:rPr>
            </w:pPr>
            <w:r>
              <w:rPr>
                <w:rFonts w:hint="eastAsia" w:ascii="Times New Roman" w:hAnsi="Times New Roman" w:cs="Times New Roman"/>
                <w:sz w:val="24"/>
              </w:rPr>
              <w:t>因此，本项目选取的废气处理措施可行。</w:t>
            </w:r>
          </w:p>
          <w:p w14:paraId="417DD7EB">
            <w:pPr>
              <w:pStyle w:val="25"/>
              <w:adjustRightInd w:val="0"/>
              <w:snapToGrid w:val="0"/>
              <w:spacing w:line="360" w:lineRule="auto"/>
              <w:ind w:firstLine="482"/>
              <w:rPr>
                <w:rFonts w:ascii="Times New Roman" w:hAnsi="Times New Roman" w:cs="Times New Roman"/>
                <w:b/>
                <w:bCs/>
                <w:sz w:val="24"/>
              </w:rPr>
            </w:pPr>
            <w:r>
              <w:rPr>
                <w:rFonts w:ascii="Times New Roman" w:hAnsi="Times New Roman" w:cs="Times New Roman"/>
                <w:b/>
                <w:bCs/>
                <w:sz w:val="24"/>
              </w:rPr>
              <w:t>4、排放口基本情况及排放标准一览表</w:t>
            </w:r>
          </w:p>
          <w:p w14:paraId="6D9A6599">
            <w:pPr>
              <w:jc w:val="center"/>
              <w:rPr>
                <w:rFonts w:ascii="Times New Roman" w:hAnsi="Times New Roman" w:cs="Times New Roman"/>
                <w:b/>
                <w:bCs/>
                <w:szCs w:val="21"/>
              </w:rPr>
            </w:pPr>
            <w:r>
              <w:rPr>
                <w:rFonts w:ascii="Times New Roman" w:hAnsi="Times New Roman" w:cs="Times New Roman"/>
                <w:b/>
                <w:bCs/>
                <w:szCs w:val="21"/>
              </w:rPr>
              <w:t>表4-</w:t>
            </w:r>
            <w:r>
              <w:rPr>
                <w:rFonts w:hint="eastAsia" w:ascii="Times New Roman" w:hAnsi="Times New Roman" w:cs="Times New Roman"/>
                <w:b/>
                <w:bCs/>
                <w:szCs w:val="21"/>
              </w:rPr>
              <w:t xml:space="preserve">6  </w:t>
            </w:r>
            <w:r>
              <w:rPr>
                <w:rFonts w:ascii="Times New Roman" w:hAnsi="Times New Roman" w:cs="Times New Roman"/>
                <w:b/>
                <w:bCs/>
                <w:szCs w:val="21"/>
              </w:rPr>
              <w:t xml:space="preserve">  排放口基本情况及排放标准一览表</w:t>
            </w:r>
          </w:p>
          <w:tbl>
            <w:tblPr>
              <w:tblStyle w:val="26"/>
              <w:tblW w:w="5000"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930"/>
              <w:gridCol w:w="1356"/>
              <w:gridCol w:w="740"/>
              <w:gridCol w:w="877"/>
              <w:gridCol w:w="833"/>
              <w:gridCol w:w="2253"/>
              <w:gridCol w:w="931"/>
            </w:tblGrid>
            <w:tr w14:paraId="7A0748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93" w:type="pct"/>
                  <w:gridSpan w:val="6"/>
                  <w:tcBorders>
                    <w:tl2br w:val="nil"/>
                    <w:tr2bl w:val="nil"/>
                  </w:tcBorders>
                  <w:vAlign w:val="center"/>
                </w:tcPr>
                <w:p w14:paraId="1881FF49">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排放口基本情况</w:t>
                  </w:r>
                </w:p>
              </w:tc>
              <w:tc>
                <w:tcPr>
                  <w:tcW w:w="1906" w:type="pct"/>
                  <w:gridSpan w:val="2"/>
                  <w:tcBorders>
                    <w:tl2br w:val="nil"/>
                    <w:tr2bl w:val="nil"/>
                  </w:tcBorders>
                  <w:vAlign w:val="center"/>
                </w:tcPr>
                <w:p w14:paraId="6819659E">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排放标准</w:t>
                  </w:r>
                </w:p>
              </w:tc>
            </w:tr>
            <w:tr w14:paraId="28C0AD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 w:type="pct"/>
                  <w:tcBorders>
                    <w:tl2br w:val="nil"/>
                    <w:tr2bl w:val="nil"/>
                  </w:tcBorders>
                  <w:vAlign w:val="center"/>
                </w:tcPr>
                <w:p w14:paraId="0A2BBEE2">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类型</w:t>
                  </w:r>
                </w:p>
              </w:tc>
              <w:tc>
                <w:tcPr>
                  <w:tcW w:w="557" w:type="pct"/>
                  <w:tcBorders>
                    <w:tl2br w:val="nil"/>
                    <w:tr2bl w:val="nil"/>
                  </w:tcBorders>
                  <w:vAlign w:val="center"/>
                </w:tcPr>
                <w:p w14:paraId="7F7A3BC2">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编号以及名称</w:t>
                  </w:r>
                </w:p>
              </w:tc>
              <w:tc>
                <w:tcPr>
                  <w:tcW w:w="812" w:type="pct"/>
                  <w:tcBorders>
                    <w:tl2br w:val="nil"/>
                    <w:tr2bl w:val="nil"/>
                  </w:tcBorders>
                  <w:vAlign w:val="center"/>
                </w:tcPr>
                <w:p w14:paraId="639BEE4F">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污染物</w:t>
                  </w:r>
                </w:p>
              </w:tc>
              <w:tc>
                <w:tcPr>
                  <w:tcW w:w="443" w:type="pct"/>
                  <w:tcBorders>
                    <w:tl2br w:val="nil"/>
                    <w:tr2bl w:val="nil"/>
                  </w:tcBorders>
                  <w:vAlign w:val="center"/>
                </w:tcPr>
                <w:p w14:paraId="4599A77D">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高度</w:t>
                  </w:r>
                </w:p>
              </w:tc>
              <w:tc>
                <w:tcPr>
                  <w:tcW w:w="525" w:type="pct"/>
                  <w:tcBorders>
                    <w:tl2br w:val="nil"/>
                    <w:tr2bl w:val="nil"/>
                  </w:tcBorders>
                  <w:vAlign w:val="center"/>
                </w:tcPr>
                <w:p w14:paraId="3D5AC6DA">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内径</w:t>
                  </w:r>
                </w:p>
              </w:tc>
              <w:tc>
                <w:tcPr>
                  <w:tcW w:w="498" w:type="pct"/>
                  <w:tcBorders>
                    <w:tl2br w:val="nil"/>
                    <w:tr2bl w:val="nil"/>
                  </w:tcBorders>
                  <w:vAlign w:val="center"/>
                </w:tcPr>
                <w:p w14:paraId="1BAEFF3D">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温度</w:t>
                  </w:r>
                </w:p>
              </w:tc>
              <w:tc>
                <w:tcPr>
                  <w:tcW w:w="1349" w:type="pct"/>
                  <w:tcBorders>
                    <w:tl2br w:val="nil"/>
                    <w:tr2bl w:val="nil"/>
                  </w:tcBorders>
                  <w:vAlign w:val="center"/>
                </w:tcPr>
                <w:p w14:paraId="3E85370A">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标准名称</w:t>
                  </w:r>
                </w:p>
              </w:tc>
              <w:tc>
                <w:tcPr>
                  <w:tcW w:w="556" w:type="pct"/>
                  <w:tcBorders>
                    <w:tl2br w:val="nil"/>
                    <w:tr2bl w:val="nil"/>
                  </w:tcBorders>
                  <w:vAlign w:val="center"/>
                </w:tcPr>
                <w:p w14:paraId="306AB931">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浓度</w:t>
                  </w:r>
                </w:p>
              </w:tc>
            </w:tr>
            <w:tr w14:paraId="5BA108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 w:type="pct"/>
                  <w:vMerge w:val="restart"/>
                  <w:tcBorders>
                    <w:tl2br w:val="nil"/>
                    <w:tr2bl w:val="nil"/>
                  </w:tcBorders>
                  <w:vAlign w:val="center"/>
                </w:tcPr>
                <w:p w14:paraId="37D7D35E">
                  <w:pPr>
                    <w:widowControl/>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一般排放口</w:t>
                  </w:r>
                </w:p>
              </w:tc>
              <w:tc>
                <w:tcPr>
                  <w:tcW w:w="557" w:type="pct"/>
                  <w:tcBorders>
                    <w:tl2br w:val="nil"/>
                    <w:tr2bl w:val="nil"/>
                  </w:tcBorders>
                  <w:vAlign w:val="center"/>
                </w:tcPr>
                <w:p w14:paraId="5E2ECC64">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DA002</w:t>
                  </w:r>
                </w:p>
              </w:tc>
              <w:tc>
                <w:tcPr>
                  <w:tcW w:w="812" w:type="pct"/>
                  <w:tcBorders>
                    <w:tl2br w:val="nil"/>
                    <w:tr2bl w:val="nil"/>
                  </w:tcBorders>
                  <w:vAlign w:val="center"/>
                </w:tcPr>
                <w:p w14:paraId="38ABF091">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颗粒物</w:t>
                  </w:r>
                </w:p>
              </w:tc>
              <w:tc>
                <w:tcPr>
                  <w:tcW w:w="443" w:type="pct"/>
                  <w:tcBorders>
                    <w:tl2br w:val="nil"/>
                    <w:tr2bl w:val="nil"/>
                  </w:tcBorders>
                  <w:vAlign w:val="center"/>
                </w:tcPr>
                <w:p w14:paraId="7AE7E083">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15m</w:t>
                  </w:r>
                </w:p>
              </w:tc>
              <w:tc>
                <w:tcPr>
                  <w:tcW w:w="525" w:type="pct"/>
                  <w:tcBorders>
                    <w:tl2br w:val="nil"/>
                    <w:tr2bl w:val="nil"/>
                  </w:tcBorders>
                  <w:vAlign w:val="center"/>
                </w:tcPr>
                <w:p w14:paraId="32EAD816">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0.5m</w:t>
                  </w:r>
                </w:p>
              </w:tc>
              <w:tc>
                <w:tcPr>
                  <w:tcW w:w="498" w:type="pct"/>
                  <w:tcBorders>
                    <w:tl2br w:val="nil"/>
                    <w:tr2bl w:val="nil"/>
                  </w:tcBorders>
                  <w:vAlign w:val="center"/>
                </w:tcPr>
                <w:p w14:paraId="7C5C760D">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20℃</w:t>
                  </w:r>
                </w:p>
              </w:tc>
              <w:tc>
                <w:tcPr>
                  <w:tcW w:w="1349" w:type="pct"/>
                  <w:tcBorders>
                    <w:tl2br w:val="nil"/>
                    <w:tr2bl w:val="nil"/>
                  </w:tcBorders>
                  <w:vAlign w:val="center"/>
                </w:tcPr>
                <w:p w14:paraId="7C227FB6">
                  <w:pPr>
                    <w:widowControl/>
                    <w:adjustRightInd w:val="0"/>
                    <w:snapToGrid w:val="0"/>
                    <w:jc w:val="center"/>
                    <w:rPr>
                      <w:rFonts w:ascii="Times New Roman" w:hAnsi="Times New Roman" w:cs="Times New Roman"/>
                      <w:szCs w:val="21"/>
                    </w:rPr>
                  </w:pPr>
                  <w:r>
                    <w:rPr>
                      <w:rFonts w:ascii="Times New Roman" w:hAnsi="Times New Roman" w:cs="Times New Roman"/>
                      <w:szCs w:val="21"/>
                    </w:rPr>
                    <w:t>《大气污染物综合排放标准》（GB16297-1996）</w:t>
                  </w:r>
                </w:p>
              </w:tc>
              <w:tc>
                <w:tcPr>
                  <w:tcW w:w="556" w:type="pct"/>
                  <w:tcBorders>
                    <w:tl2br w:val="nil"/>
                    <w:tr2bl w:val="nil"/>
                  </w:tcBorders>
                  <w:vAlign w:val="center"/>
                </w:tcPr>
                <w:p w14:paraId="5DFE2A08">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120</w:t>
                  </w:r>
                </w:p>
                <w:p w14:paraId="3C22F980">
                  <w:pPr>
                    <w:widowControl/>
                    <w:adjustRightInd w:val="0"/>
                    <w:snapToGrid w:val="0"/>
                    <w:jc w:val="center"/>
                    <w:rPr>
                      <w:rFonts w:ascii="Times New Roman" w:hAnsi="Times New Roman" w:cs="Times New Roman"/>
                      <w:kern w:val="0"/>
                      <w:szCs w:val="21"/>
                    </w:rPr>
                  </w:pPr>
                  <w:r>
                    <w:rPr>
                      <w:rFonts w:ascii="Times New Roman" w:hAnsi="Times New Roman" w:cs="Times New Roman"/>
                      <w:bCs/>
                      <w:szCs w:val="21"/>
                    </w:rPr>
                    <w:t>mg/m</w:t>
                  </w:r>
                  <w:r>
                    <w:rPr>
                      <w:rFonts w:ascii="Times New Roman" w:hAnsi="Times New Roman" w:cs="Times New Roman"/>
                      <w:bCs/>
                      <w:szCs w:val="21"/>
                      <w:vertAlign w:val="superscript"/>
                    </w:rPr>
                    <w:t>3</w:t>
                  </w:r>
                </w:p>
              </w:tc>
            </w:tr>
            <w:tr w14:paraId="7D0B62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 w:type="pct"/>
                  <w:vMerge w:val="continue"/>
                  <w:tcBorders>
                    <w:tl2br w:val="nil"/>
                    <w:tr2bl w:val="nil"/>
                  </w:tcBorders>
                  <w:vAlign w:val="center"/>
                </w:tcPr>
                <w:p w14:paraId="2D53E47E">
                  <w:pPr>
                    <w:widowControl/>
                    <w:adjustRightInd w:val="0"/>
                    <w:snapToGrid w:val="0"/>
                    <w:jc w:val="center"/>
                    <w:rPr>
                      <w:rFonts w:ascii="Times New Roman" w:hAnsi="Times New Roman" w:cs="Times New Roman"/>
                      <w:kern w:val="0"/>
                      <w:szCs w:val="21"/>
                    </w:rPr>
                  </w:pPr>
                </w:p>
              </w:tc>
              <w:tc>
                <w:tcPr>
                  <w:tcW w:w="557" w:type="pct"/>
                  <w:vMerge w:val="restart"/>
                  <w:tcBorders>
                    <w:tl2br w:val="nil"/>
                    <w:tr2bl w:val="nil"/>
                  </w:tcBorders>
                  <w:vAlign w:val="center"/>
                </w:tcPr>
                <w:p w14:paraId="10043F7C">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DA003</w:t>
                  </w:r>
                </w:p>
              </w:tc>
              <w:tc>
                <w:tcPr>
                  <w:tcW w:w="812" w:type="pct"/>
                  <w:tcBorders>
                    <w:tl2br w:val="nil"/>
                    <w:tr2bl w:val="nil"/>
                  </w:tcBorders>
                  <w:vAlign w:val="center"/>
                </w:tcPr>
                <w:p w14:paraId="330FB58D">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颗粒物</w:t>
                  </w:r>
                </w:p>
              </w:tc>
              <w:tc>
                <w:tcPr>
                  <w:tcW w:w="443" w:type="pct"/>
                  <w:vMerge w:val="restart"/>
                  <w:tcBorders>
                    <w:tl2br w:val="nil"/>
                    <w:tr2bl w:val="nil"/>
                  </w:tcBorders>
                  <w:vAlign w:val="center"/>
                </w:tcPr>
                <w:p w14:paraId="6138579C">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15m</w:t>
                  </w:r>
                </w:p>
              </w:tc>
              <w:tc>
                <w:tcPr>
                  <w:tcW w:w="525" w:type="pct"/>
                  <w:vMerge w:val="restart"/>
                  <w:tcBorders>
                    <w:tl2br w:val="nil"/>
                    <w:tr2bl w:val="nil"/>
                  </w:tcBorders>
                  <w:vAlign w:val="center"/>
                </w:tcPr>
                <w:p w14:paraId="432123FC">
                  <w:pPr>
                    <w:widowControl/>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0.527</w:t>
                  </w:r>
                  <w:r>
                    <w:rPr>
                      <w:rFonts w:ascii="Times New Roman" w:hAnsi="Times New Roman" w:cs="Times New Roman"/>
                      <w:kern w:val="0"/>
                      <w:szCs w:val="21"/>
                    </w:rPr>
                    <w:t>m</w:t>
                  </w:r>
                </w:p>
              </w:tc>
              <w:tc>
                <w:tcPr>
                  <w:tcW w:w="498" w:type="pct"/>
                  <w:vMerge w:val="restart"/>
                  <w:tcBorders>
                    <w:tl2br w:val="nil"/>
                    <w:tr2bl w:val="nil"/>
                  </w:tcBorders>
                  <w:vAlign w:val="center"/>
                </w:tcPr>
                <w:p w14:paraId="4ECAAE98">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25℃</w:t>
                  </w:r>
                </w:p>
              </w:tc>
              <w:tc>
                <w:tcPr>
                  <w:tcW w:w="1349" w:type="pct"/>
                  <w:tcBorders>
                    <w:tl2br w:val="nil"/>
                    <w:tr2bl w:val="nil"/>
                  </w:tcBorders>
                  <w:vAlign w:val="center"/>
                </w:tcPr>
                <w:p w14:paraId="23695FC8">
                  <w:pPr>
                    <w:widowControl/>
                    <w:adjustRightInd w:val="0"/>
                    <w:snapToGrid w:val="0"/>
                    <w:jc w:val="center"/>
                    <w:rPr>
                      <w:rFonts w:ascii="Times New Roman" w:hAnsi="Times New Roman" w:cs="Times New Roman"/>
                      <w:szCs w:val="21"/>
                    </w:rPr>
                  </w:pPr>
                  <w:r>
                    <w:rPr>
                      <w:rFonts w:ascii="Times New Roman" w:hAnsi="Times New Roman" w:cs="Times New Roman"/>
                      <w:szCs w:val="21"/>
                    </w:rPr>
                    <w:t>《大气污染物综合排放标准》（GB16297-1996）</w:t>
                  </w:r>
                </w:p>
              </w:tc>
              <w:tc>
                <w:tcPr>
                  <w:tcW w:w="556" w:type="pct"/>
                  <w:tcBorders>
                    <w:tl2br w:val="nil"/>
                    <w:tr2bl w:val="nil"/>
                  </w:tcBorders>
                  <w:vAlign w:val="center"/>
                </w:tcPr>
                <w:p w14:paraId="2AFB111B">
                  <w:pPr>
                    <w:widowControl/>
                    <w:adjustRightInd w:val="0"/>
                    <w:snapToGrid w:val="0"/>
                    <w:jc w:val="center"/>
                    <w:rPr>
                      <w:rFonts w:ascii="Times New Roman" w:hAnsi="Times New Roman" w:cs="Times New Roman"/>
                      <w:bCs/>
                      <w:szCs w:val="21"/>
                    </w:rPr>
                  </w:pPr>
                  <w:r>
                    <w:rPr>
                      <w:rFonts w:hint="eastAsia" w:ascii="Times New Roman" w:hAnsi="Times New Roman" w:cs="Times New Roman"/>
                      <w:bCs/>
                      <w:szCs w:val="21"/>
                    </w:rPr>
                    <w:t>120</w:t>
                  </w:r>
                </w:p>
                <w:p w14:paraId="2577AA47">
                  <w:pPr>
                    <w:widowControl/>
                    <w:adjustRightInd w:val="0"/>
                    <w:snapToGrid w:val="0"/>
                    <w:jc w:val="center"/>
                    <w:rPr>
                      <w:rFonts w:ascii="Times New Roman" w:hAnsi="Times New Roman" w:cs="Times New Roman"/>
                      <w:kern w:val="0"/>
                      <w:szCs w:val="21"/>
                    </w:rPr>
                  </w:pPr>
                  <w:r>
                    <w:rPr>
                      <w:rFonts w:ascii="Times New Roman" w:hAnsi="Times New Roman" w:cs="Times New Roman"/>
                      <w:bCs/>
                      <w:szCs w:val="21"/>
                    </w:rPr>
                    <w:t>mg/m</w:t>
                  </w:r>
                  <w:r>
                    <w:rPr>
                      <w:rFonts w:ascii="Times New Roman" w:hAnsi="Times New Roman" w:cs="Times New Roman"/>
                      <w:bCs/>
                      <w:szCs w:val="21"/>
                      <w:vertAlign w:val="superscript"/>
                    </w:rPr>
                    <w:t>3</w:t>
                  </w:r>
                </w:p>
              </w:tc>
            </w:tr>
            <w:tr w14:paraId="36510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 w:type="pct"/>
                  <w:vMerge w:val="continue"/>
                  <w:tcBorders>
                    <w:tl2br w:val="nil"/>
                    <w:tr2bl w:val="nil"/>
                  </w:tcBorders>
                  <w:vAlign w:val="center"/>
                </w:tcPr>
                <w:p w14:paraId="3F728711">
                  <w:pPr>
                    <w:widowControl/>
                    <w:adjustRightInd w:val="0"/>
                    <w:snapToGrid w:val="0"/>
                    <w:jc w:val="center"/>
                    <w:rPr>
                      <w:rFonts w:ascii="Times New Roman" w:hAnsi="Times New Roman" w:cs="Times New Roman"/>
                      <w:kern w:val="0"/>
                      <w:szCs w:val="21"/>
                    </w:rPr>
                  </w:pPr>
                </w:p>
              </w:tc>
              <w:tc>
                <w:tcPr>
                  <w:tcW w:w="557" w:type="pct"/>
                  <w:vMerge w:val="continue"/>
                  <w:tcBorders>
                    <w:tl2br w:val="nil"/>
                    <w:tr2bl w:val="nil"/>
                  </w:tcBorders>
                  <w:vAlign w:val="center"/>
                </w:tcPr>
                <w:p w14:paraId="13C590F1">
                  <w:pPr>
                    <w:widowControl/>
                    <w:adjustRightInd w:val="0"/>
                    <w:snapToGrid w:val="0"/>
                    <w:jc w:val="center"/>
                    <w:rPr>
                      <w:rFonts w:ascii="Times New Roman" w:hAnsi="Times New Roman" w:cs="Times New Roman"/>
                      <w:kern w:val="0"/>
                      <w:szCs w:val="21"/>
                    </w:rPr>
                  </w:pPr>
                </w:p>
              </w:tc>
              <w:tc>
                <w:tcPr>
                  <w:tcW w:w="812" w:type="pct"/>
                  <w:tcBorders>
                    <w:tl2br w:val="nil"/>
                    <w:tr2bl w:val="nil"/>
                  </w:tcBorders>
                  <w:vAlign w:val="center"/>
                </w:tcPr>
                <w:p w14:paraId="444A8BD0">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非甲烷总烃</w:t>
                  </w:r>
                </w:p>
              </w:tc>
              <w:tc>
                <w:tcPr>
                  <w:tcW w:w="443" w:type="pct"/>
                  <w:vMerge w:val="continue"/>
                  <w:tcBorders>
                    <w:tl2br w:val="nil"/>
                    <w:tr2bl w:val="nil"/>
                  </w:tcBorders>
                  <w:vAlign w:val="center"/>
                </w:tcPr>
                <w:p w14:paraId="63811656">
                  <w:pPr>
                    <w:widowControl/>
                    <w:adjustRightInd w:val="0"/>
                    <w:snapToGrid w:val="0"/>
                    <w:jc w:val="center"/>
                    <w:rPr>
                      <w:rFonts w:ascii="Times New Roman" w:hAnsi="Times New Roman" w:cs="Times New Roman"/>
                      <w:kern w:val="0"/>
                      <w:szCs w:val="21"/>
                    </w:rPr>
                  </w:pPr>
                </w:p>
              </w:tc>
              <w:tc>
                <w:tcPr>
                  <w:tcW w:w="525" w:type="pct"/>
                  <w:vMerge w:val="continue"/>
                  <w:tcBorders>
                    <w:tl2br w:val="nil"/>
                    <w:tr2bl w:val="nil"/>
                  </w:tcBorders>
                  <w:vAlign w:val="center"/>
                </w:tcPr>
                <w:p w14:paraId="62AB873D">
                  <w:pPr>
                    <w:widowControl/>
                    <w:adjustRightInd w:val="0"/>
                    <w:snapToGrid w:val="0"/>
                    <w:jc w:val="center"/>
                    <w:rPr>
                      <w:rFonts w:ascii="Times New Roman" w:hAnsi="Times New Roman" w:cs="Times New Roman"/>
                      <w:kern w:val="0"/>
                      <w:szCs w:val="21"/>
                    </w:rPr>
                  </w:pPr>
                </w:p>
              </w:tc>
              <w:tc>
                <w:tcPr>
                  <w:tcW w:w="498" w:type="pct"/>
                  <w:vMerge w:val="continue"/>
                  <w:tcBorders>
                    <w:tl2br w:val="nil"/>
                    <w:tr2bl w:val="nil"/>
                  </w:tcBorders>
                  <w:vAlign w:val="center"/>
                </w:tcPr>
                <w:p w14:paraId="2D1D6A1B">
                  <w:pPr>
                    <w:widowControl/>
                    <w:adjustRightInd w:val="0"/>
                    <w:snapToGrid w:val="0"/>
                    <w:jc w:val="center"/>
                    <w:rPr>
                      <w:rFonts w:ascii="Times New Roman" w:hAnsi="Times New Roman" w:cs="Times New Roman"/>
                      <w:kern w:val="0"/>
                      <w:szCs w:val="21"/>
                    </w:rPr>
                  </w:pPr>
                </w:p>
              </w:tc>
              <w:tc>
                <w:tcPr>
                  <w:tcW w:w="1349" w:type="pct"/>
                  <w:tcBorders>
                    <w:tl2br w:val="nil"/>
                    <w:tr2bl w:val="nil"/>
                  </w:tcBorders>
                  <w:vAlign w:val="center"/>
                </w:tcPr>
                <w:p w14:paraId="7847CB58">
                  <w:pPr>
                    <w:widowControl/>
                    <w:adjustRightInd w:val="0"/>
                    <w:snapToGrid w:val="0"/>
                    <w:jc w:val="center"/>
                    <w:rPr>
                      <w:rFonts w:ascii="Times New Roman" w:hAnsi="Times New Roman" w:cs="Times New Roman"/>
                      <w:szCs w:val="21"/>
                    </w:rPr>
                  </w:pPr>
                  <w:r>
                    <w:rPr>
                      <w:rFonts w:ascii="Times New Roman" w:hAnsi="Times New Roman" w:cs="Times New Roman"/>
                      <w:kern w:val="0"/>
                      <w:szCs w:val="21"/>
                    </w:rPr>
                    <w:t>《挥发性有机物排放控制标准》（DB61/T1061-2017）</w:t>
                  </w:r>
                </w:p>
              </w:tc>
              <w:tc>
                <w:tcPr>
                  <w:tcW w:w="556" w:type="pct"/>
                  <w:tcBorders>
                    <w:tl2br w:val="nil"/>
                    <w:tr2bl w:val="nil"/>
                  </w:tcBorders>
                  <w:vAlign w:val="center"/>
                </w:tcPr>
                <w:p w14:paraId="423327E7">
                  <w:pPr>
                    <w:widowControl/>
                    <w:adjustRightInd w:val="0"/>
                    <w:snapToGrid w:val="0"/>
                    <w:jc w:val="center"/>
                    <w:rPr>
                      <w:rFonts w:ascii="Times New Roman" w:hAnsi="Times New Roman" w:cs="Times New Roman"/>
                      <w:bCs/>
                      <w:szCs w:val="21"/>
                    </w:rPr>
                  </w:pPr>
                  <w:r>
                    <w:rPr>
                      <w:rFonts w:ascii="Times New Roman" w:hAnsi="Times New Roman" w:cs="Times New Roman"/>
                      <w:bCs/>
                      <w:szCs w:val="21"/>
                    </w:rPr>
                    <w:t>50</w:t>
                  </w:r>
                </w:p>
                <w:p w14:paraId="178F6EC2">
                  <w:pPr>
                    <w:widowControl/>
                    <w:adjustRightInd w:val="0"/>
                    <w:snapToGrid w:val="0"/>
                    <w:jc w:val="center"/>
                    <w:rPr>
                      <w:rFonts w:ascii="Times New Roman" w:hAnsi="Times New Roman" w:cs="Times New Roman"/>
                      <w:kern w:val="0"/>
                      <w:szCs w:val="21"/>
                    </w:rPr>
                  </w:pPr>
                  <w:r>
                    <w:rPr>
                      <w:rFonts w:ascii="Times New Roman" w:hAnsi="Times New Roman" w:cs="Times New Roman"/>
                      <w:bCs/>
                      <w:szCs w:val="21"/>
                    </w:rPr>
                    <w:t>mg/m</w:t>
                  </w:r>
                  <w:r>
                    <w:rPr>
                      <w:rFonts w:ascii="Times New Roman" w:hAnsi="Times New Roman" w:cs="Times New Roman"/>
                      <w:bCs/>
                      <w:szCs w:val="21"/>
                      <w:vertAlign w:val="superscript"/>
                    </w:rPr>
                    <w:t>3</w:t>
                  </w:r>
                </w:p>
              </w:tc>
            </w:tr>
          </w:tbl>
          <w:p w14:paraId="120DAB1E">
            <w:pPr>
              <w:pStyle w:val="2"/>
              <w:adjustRightInd w:val="0"/>
              <w:snapToGrid w:val="0"/>
              <w:spacing w:line="360" w:lineRule="auto"/>
              <w:ind w:left="0" w:leftChars="0" w:firstLine="482" w:firstLineChars="200"/>
              <w:rPr>
                <w:rFonts w:ascii="Times New Roman" w:hAnsi="Times New Roman" w:eastAsia="宋体" w:cs="Times New Roman"/>
                <w:b/>
                <w:bCs/>
                <w:sz w:val="24"/>
              </w:rPr>
            </w:pPr>
            <w:r>
              <w:rPr>
                <w:rFonts w:ascii="Times New Roman" w:hAnsi="Times New Roman" w:cs="Times New Roman"/>
                <w:b/>
                <w:bCs/>
                <w:sz w:val="24"/>
              </w:rPr>
              <w:t>5、</w:t>
            </w:r>
            <w:r>
              <w:rPr>
                <w:rFonts w:ascii="Times New Roman" w:hAnsi="Times New Roman" w:eastAsia="宋体" w:cs="Times New Roman"/>
                <w:b/>
                <w:bCs/>
                <w:sz w:val="24"/>
              </w:rPr>
              <w:t>排气筒高度符合性分析</w:t>
            </w:r>
          </w:p>
          <w:p w14:paraId="119A13E9">
            <w:pPr>
              <w:pStyle w:val="2"/>
              <w:adjustRightInd w:val="0"/>
              <w:snapToGrid w:val="0"/>
              <w:spacing w:line="360" w:lineRule="auto"/>
              <w:ind w:left="0" w:leftChars="0" w:firstLine="480" w:firstLineChars="200"/>
              <w:rPr>
                <w:rFonts w:hint="eastAsia" w:ascii="Times New Roman" w:hAnsi="Times New Roman" w:eastAsia="宋体" w:cs="Times New Roman"/>
                <w:bCs/>
                <w:kern w:val="0"/>
                <w:sz w:val="24"/>
              </w:rPr>
            </w:pPr>
            <w:r>
              <w:rPr>
                <w:rFonts w:hint="eastAsia" w:ascii="Times New Roman" w:hAnsi="Times New Roman" w:eastAsia="宋体" w:cs="Times New Roman"/>
                <w:bCs/>
                <w:kern w:val="0"/>
                <w:sz w:val="24"/>
              </w:rPr>
              <w:t>本项</w:t>
            </w:r>
            <w:r>
              <w:rPr>
                <w:rFonts w:ascii="Times New Roman" w:hAnsi="Times New Roman" w:eastAsia="宋体" w:cs="Times New Roman"/>
                <w:bCs/>
                <w:kern w:val="0"/>
                <w:sz w:val="24"/>
              </w:rPr>
              <w:t>目涉及</w:t>
            </w:r>
            <w:r>
              <w:rPr>
                <w:rFonts w:hint="eastAsia" w:ascii="Times New Roman" w:hAnsi="Times New Roman" w:eastAsia="宋体" w:cs="Times New Roman"/>
                <w:bCs/>
                <w:kern w:val="0"/>
                <w:sz w:val="24"/>
              </w:rPr>
              <w:t>2</w:t>
            </w:r>
            <w:r>
              <w:rPr>
                <w:rFonts w:ascii="Times New Roman" w:hAnsi="Times New Roman" w:eastAsia="宋体" w:cs="Times New Roman"/>
                <w:bCs/>
                <w:kern w:val="0"/>
                <w:sz w:val="24"/>
              </w:rPr>
              <w:t>个排气筒（DA002、DA003），</w:t>
            </w:r>
            <w:r>
              <w:rPr>
                <w:rFonts w:hint="eastAsia" w:ascii="Times New Roman" w:hAnsi="Times New Roman" w:eastAsia="宋体" w:cs="Times New Roman"/>
                <w:bCs/>
                <w:kern w:val="0"/>
                <w:sz w:val="24"/>
              </w:rPr>
              <w:t>根据</w:t>
            </w:r>
            <w:r>
              <w:rPr>
                <w:rFonts w:ascii="Times New Roman" w:hAnsi="Times New Roman" w:eastAsia="宋体" w:cs="Times New Roman"/>
                <w:bCs/>
                <w:kern w:val="0"/>
                <w:sz w:val="24"/>
              </w:rPr>
              <w:t>《大气污染物综合排放标准》（GB16297-1996）</w:t>
            </w:r>
            <w:r>
              <w:rPr>
                <w:rFonts w:hint="eastAsia" w:ascii="Times New Roman" w:hAnsi="Times New Roman" w:eastAsia="宋体" w:cs="Times New Roman"/>
                <w:bCs/>
                <w:kern w:val="0"/>
                <w:sz w:val="24"/>
              </w:rPr>
              <w:t>中“7.1排气筒高度须遵守表列排放速率标准值外，还应高出周围200m半径范围的建筑5</w:t>
            </w:r>
            <w:r>
              <w:rPr>
                <w:rFonts w:hint="eastAsia" w:ascii="Times New Roman" w:hAnsi="Times New Roman" w:eastAsia="宋体" w:cs="Times New Roman"/>
                <w:bCs/>
                <w:color w:val="auto"/>
                <w:kern w:val="0"/>
                <w:sz w:val="24"/>
              </w:rPr>
              <w:t>m以上，不能达到该要求的排气筒，应按其高度对应的列表排放速率标准值严格50%执行”，</w:t>
            </w:r>
            <w:bookmarkStart w:id="20" w:name="OLE_LINK1"/>
            <w:bookmarkStart w:id="21" w:name="OLE_LINK2"/>
            <w:r>
              <w:rPr>
                <w:rFonts w:hint="eastAsia" w:ascii="Times New Roman" w:hAnsi="Times New Roman" w:eastAsia="宋体" w:cs="Times New Roman"/>
                <w:bCs/>
                <w:color w:val="auto"/>
                <w:kern w:val="0"/>
                <w:sz w:val="24"/>
              </w:rPr>
              <w:t>根据现场踏勘，</w:t>
            </w:r>
            <w:r>
              <w:rPr>
                <w:rFonts w:ascii="Times New Roman" w:hAnsi="Times New Roman" w:eastAsia="宋体" w:cs="Times New Roman"/>
                <w:bCs/>
                <w:color w:val="auto"/>
                <w:kern w:val="0"/>
                <w:sz w:val="24"/>
              </w:rPr>
              <w:t>项目</w:t>
            </w:r>
            <w:r>
              <w:rPr>
                <w:rFonts w:hint="eastAsia" w:ascii="Times New Roman" w:hAnsi="Times New Roman" w:eastAsia="宋体" w:cs="Times New Roman"/>
                <w:bCs/>
                <w:color w:val="auto"/>
                <w:kern w:val="0"/>
                <w:sz w:val="24"/>
              </w:rPr>
              <w:t>周围200m半径范围的最高建筑为本项目</w:t>
            </w:r>
            <w:r>
              <w:rPr>
                <w:rFonts w:ascii="Times New Roman" w:hAnsi="Times New Roman" w:eastAsia="宋体" w:cs="Times New Roman"/>
                <w:bCs/>
                <w:color w:val="auto"/>
                <w:kern w:val="0"/>
                <w:sz w:val="24"/>
              </w:rPr>
              <w:t>生产车</w:t>
            </w:r>
            <w:r>
              <w:rPr>
                <w:rFonts w:hint="eastAsia" w:ascii="Times New Roman" w:hAnsi="Times New Roman" w:eastAsia="宋体" w:cs="Times New Roman"/>
                <w:bCs/>
                <w:color w:val="auto"/>
                <w:kern w:val="0"/>
                <w:sz w:val="24"/>
              </w:rPr>
              <w:t>间（高为</w:t>
            </w:r>
            <w:r>
              <w:rPr>
                <w:rFonts w:ascii="Times New Roman" w:hAnsi="Times New Roman" w:eastAsia="宋体" w:cs="Times New Roman"/>
                <w:bCs/>
                <w:color w:val="auto"/>
                <w:kern w:val="0"/>
                <w:sz w:val="24"/>
              </w:rPr>
              <w:t>10m</w:t>
            </w:r>
            <w:r>
              <w:rPr>
                <w:rFonts w:hint="eastAsia" w:ascii="Times New Roman" w:hAnsi="Times New Roman" w:eastAsia="宋体" w:cs="Times New Roman"/>
                <w:bCs/>
                <w:color w:val="auto"/>
                <w:kern w:val="0"/>
                <w:sz w:val="24"/>
              </w:rPr>
              <w:t>）。本项目排气筒高度</w:t>
            </w:r>
            <w:r>
              <w:rPr>
                <w:rFonts w:ascii="Times New Roman" w:hAnsi="Times New Roman" w:eastAsia="宋体" w:cs="Times New Roman"/>
                <w:bCs/>
                <w:color w:val="auto"/>
                <w:kern w:val="0"/>
                <w:sz w:val="24"/>
              </w:rPr>
              <w:t>设置</w:t>
            </w:r>
            <w:r>
              <w:rPr>
                <w:rFonts w:hint="eastAsia" w:ascii="Times New Roman" w:hAnsi="Times New Roman" w:eastAsia="宋体" w:cs="Times New Roman"/>
                <w:bCs/>
                <w:color w:val="auto"/>
                <w:kern w:val="0"/>
                <w:sz w:val="24"/>
              </w:rPr>
              <w:t>为</w:t>
            </w:r>
            <w:r>
              <w:rPr>
                <w:rFonts w:ascii="Times New Roman" w:hAnsi="Times New Roman" w:eastAsia="宋体" w:cs="Times New Roman"/>
                <w:bCs/>
                <w:color w:val="auto"/>
                <w:kern w:val="0"/>
                <w:sz w:val="24"/>
              </w:rPr>
              <w:t>15m</w:t>
            </w:r>
            <w:r>
              <w:rPr>
                <w:rFonts w:hint="eastAsia" w:ascii="Times New Roman" w:hAnsi="Times New Roman" w:eastAsia="宋体" w:cs="Times New Roman"/>
                <w:bCs/>
                <w:color w:val="auto"/>
                <w:kern w:val="0"/>
                <w:sz w:val="24"/>
              </w:rPr>
              <w:t>，高出最高建筑（1</w:t>
            </w:r>
            <w:r>
              <w:rPr>
                <w:rFonts w:ascii="Times New Roman" w:hAnsi="Times New Roman" w:eastAsia="宋体" w:cs="Times New Roman"/>
                <w:bCs/>
                <w:color w:val="auto"/>
                <w:kern w:val="0"/>
                <w:sz w:val="24"/>
              </w:rPr>
              <w:t>0</w:t>
            </w:r>
            <w:r>
              <w:rPr>
                <w:rFonts w:hint="eastAsia" w:ascii="Times New Roman" w:hAnsi="Times New Roman" w:eastAsia="宋体" w:cs="Times New Roman"/>
                <w:bCs/>
                <w:color w:val="auto"/>
                <w:kern w:val="0"/>
                <w:sz w:val="24"/>
              </w:rPr>
              <w:t>m）5m，</w:t>
            </w:r>
            <w:r>
              <w:rPr>
                <w:rFonts w:ascii="Times New Roman" w:hAnsi="Times New Roman" w:eastAsia="宋体" w:cs="Times New Roman"/>
                <w:bCs/>
                <w:color w:val="auto"/>
                <w:kern w:val="0"/>
                <w:sz w:val="24"/>
              </w:rPr>
              <w:t>符合《大气污染物综合排放标</w:t>
            </w:r>
            <w:r>
              <w:rPr>
                <w:rFonts w:ascii="Times New Roman" w:hAnsi="Times New Roman" w:eastAsia="宋体" w:cs="Times New Roman"/>
                <w:bCs/>
                <w:kern w:val="0"/>
                <w:sz w:val="24"/>
              </w:rPr>
              <w:t>准》</w:t>
            </w:r>
            <w:r>
              <w:rPr>
                <w:rFonts w:hint="eastAsia" w:ascii="Times New Roman" w:hAnsi="Times New Roman" w:eastAsia="宋体" w:cs="Times New Roman"/>
                <w:bCs/>
                <w:kern w:val="0"/>
                <w:sz w:val="24"/>
                <w:lang w:eastAsia="zh-CN"/>
              </w:rPr>
              <w:t>（</w:t>
            </w:r>
            <w:r>
              <w:rPr>
                <w:rFonts w:ascii="Times New Roman" w:hAnsi="Times New Roman" w:eastAsia="宋体" w:cs="Times New Roman"/>
                <w:bCs/>
                <w:kern w:val="0"/>
                <w:sz w:val="24"/>
              </w:rPr>
              <w:t>GB16297-1996</w:t>
            </w:r>
            <w:r>
              <w:rPr>
                <w:rFonts w:hint="eastAsia" w:ascii="Times New Roman" w:hAnsi="Times New Roman" w:eastAsia="宋体" w:cs="Times New Roman"/>
                <w:bCs/>
                <w:kern w:val="0"/>
                <w:sz w:val="24"/>
                <w:lang w:eastAsia="zh-CN"/>
              </w:rPr>
              <w:t>）</w:t>
            </w:r>
            <w:r>
              <w:rPr>
                <w:rFonts w:hint="eastAsia" w:ascii="Times New Roman" w:hAnsi="Times New Roman" w:eastAsia="宋体" w:cs="Times New Roman"/>
                <w:bCs/>
                <w:kern w:val="0"/>
                <w:sz w:val="24"/>
              </w:rPr>
              <w:t>中排气筒要求</w:t>
            </w:r>
            <w:r>
              <w:rPr>
                <w:rFonts w:ascii="Times New Roman" w:hAnsi="Times New Roman" w:eastAsia="宋体" w:cs="Times New Roman"/>
                <w:bCs/>
                <w:kern w:val="0"/>
                <w:sz w:val="24"/>
              </w:rPr>
              <w:t>。</w:t>
            </w:r>
            <w:bookmarkEnd w:id="20"/>
            <w:bookmarkEnd w:id="21"/>
          </w:p>
          <w:p w14:paraId="6CE72C6D">
            <w:pPr>
              <w:adjustRightInd w:val="0"/>
              <w:snapToGrid w:val="0"/>
              <w:spacing w:line="360" w:lineRule="auto"/>
              <w:ind w:firstLine="482" w:firstLineChars="200"/>
              <w:rPr>
                <w:rFonts w:ascii="Times New Roman" w:hAnsi="Times New Roman" w:eastAsia="宋体" w:cs="Times New Roman"/>
                <w:b/>
                <w:kern w:val="0"/>
                <w:sz w:val="24"/>
              </w:rPr>
            </w:pPr>
            <w:r>
              <w:rPr>
                <w:rFonts w:ascii="Times New Roman" w:hAnsi="Times New Roman" w:eastAsia="宋体" w:cs="Times New Roman"/>
                <w:b/>
                <w:kern w:val="0"/>
                <w:sz w:val="24"/>
              </w:rPr>
              <w:t>6、非正常工况污染物排放情况</w:t>
            </w:r>
          </w:p>
          <w:p w14:paraId="6A9A8F91">
            <w:pPr>
              <w:widowControl/>
              <w:adjustRightInd w:val="0"/>
              <w:snapToGrid w:val="0"/>
              <w:spacing w:line="360" w:lineRule="auto"/>
              <w:ind w:firstLine="480" w:firstLineChars="200"/>
              <w:jc w:val="left"/>
              <w:rPr>
                <w:rFonts w:ascii="Times New Roman" w:hAnsi="Times New Roman" w:eastAsia="宋体" w:cs="Times New Roman"/>
                <w:bCs/>
                <w:kern w:val="0"/>
                <w:sz w:val="24"/>
              </w:rPr>
            </w:pPr>
            <w:r>
              <w:rPr>
                <w:rFonts w:ascii="Times New Roman" w:hAnsi="Times New Roman" w:eastAsia="宋体" w:cs="Times New Roman"/>
                <w:bCs/>
                <w:kern w:val="0"/>
                <w:sz w:val="24"/>
              </w:rPr>
              <w:t>非正常情况主要是停电或设备开停车、检修时，环保装置未提前开启，造成废气超标排放，以最不利情况下废气处理系统净化效率为零，考虑源强最大的时段废气排放对周围环境的影响。</w:t>
            </w:r>
          </w:p>
          <w:p w14:paraId="2E276CDC">
            <w:pPr>
              <w:pStyle w:val="2"/>
              <w:adjustRightInd w:val="0"/>
              <w:snapToGrid w:val="0"/>
              <w:spacing w:line="360" w:lineRule="auto"/>
              <w:ind w:left="0" w:leftChars="0" w:firstLine="480" w:firstLineChars="200"/>
              <w:rPr>
                <w:rFonts w:ascii="Times New Roman" w:hAnsi="Times New Roman" w:eastAsia="宋体" w:cs="Times New Roman"/>
                <w:sz w:val="24"/>
              </w:rPr>
            </w:pPr>
            <w:r>
              <w:rPr>
                <w:rFonts w:ascii="Times New Roman" w:hAnsi="Times New Roman" w:eastAsia="宋体" w:cs="Times New Roman"/>
                <w:bCs/>
                <w:kern w:val="0"/>
                <w:sz w:val="24"/>
              </w:rPr>
              <w:t>本项目非正常工况主要指的是环保设备系统发生故障时，产生的废气超标排放，以最不利情况下</w:t>
            </w:r>
            <w:r>
              <w:rPr>
                <w:rFonts w:hint="eastAsia" w:ascii="Times New Roman" w:hAnsi="Times New Roman" w:eastAsia="宋体" w:cs="Times New Roman"/>
                <w:bCs/>
                <w:kern w:val="0"/>
                <w:sz w:val="24"/>
              </w:rPr>
              <w:t>布袋除尘器、</w:t>
            </w:r>
            <w:r>
              <w:rPr>
                <w:rFonts w:ascii="Times New Roman" w:hAnsi="Times New Roman" w:eastAsia="宋体" w:cs="Times New Roman"/>
                <w:bCs/>
                <w:kern w:val="0"/>
                <w:sz w:val="24"/>
              </w:rPr>
              <w:t>活性炭吸附箱全部失效处理效率为0且无法正常运行时考虑，源强最大的时段废气排放30min对周围环境的影响。</w:t>
            </w:r>
          </w:p>
          <w:p w14:paraId="6877E487">
            <w:pPr>
              <w:widowControl/>
              <w:adjustRightInd w:val="0"/>
              <w:snapToGrid w:val="0"/>
              <w:jc w:val="center"/>
              <w:rPr>
                <w:rFonts w:ascii="Times New Roman" w:hAnsi="Times New Roman" w:cs="Times New Roman"/>
                <w:b/>
                <w:szCs w:val="21"/>
              </w:rPr>
            </w:pPr>
            <w:r>
              <w:rPr>
                <w:rFonts w:ascii="Times New Roman" w:hAnsi="Times New Roman" w:cs="Times New Roman"/>
                <w:b/>
                <w:szCs w:val="21"/>
              </w:rPr>
              <w:t>表4-</w:t>
            </w:r>
            <w:r>
              <w:rPr>
                <w:rFonts w:hint="eastAsia" w:ascii="Times New Roman" w:hAnsi="Times New Roman" w:cs="Times New Roman"/>
                <w:b/>
                <w:szCs w:val="21"/>
              </w:rPr>
              <w:t>7</w:t>
            </w:r>
            <w:r>
              <w:rPr>
                <w:rFonts w:ascii="Times New Roman" w:hAnsi="Times New Roman" w:cs="Times New Roman"/>
                <w:b/>
                <w:szCs w:val="21"/>
              </w:rPr>
              <w:t xml:space="preserve">   非正常工况废气排放情况一览表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73"/>
              <w:gridCol w:w="1903"/>
              <w:gridCol w:w="1808"/>
              <w:gridCol w:w="2062"/>
            </w:tblGrid>
            <w:tr w14:paraId="6847BF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1" w:type="pct"/>
                  <w:tcBorders>
                    <w:tl2br w:val="nil"/>
                    <w:tr2bl w:val="nil"/>
                  </w:tcBorders>
                  <w:vAlign w:val="center"/>
                </w:tcPr>
                <w:p w14:paraId="7349DCF2">
                  <w:pPr>
                    <w:jc w:val="center"/>
                    <w:rPr>
                      <w:rFonts w:ascii="Times New Roman" w:hAnsi="Times New Roman" w:eastAsia="宋体" w:cs="Times New Roman"/>
                      <w:b/>
                      <w:bCs/>
                      <w:spacing w:val="-10"/>
                      <w:szCs w:val="21"/>
                    </w:rPr>
                  </w:pPr>
                  <w:r>
                    <w:rPr>
                      <w:rFonts w:ascii="Times New Roman" w:hAnsi="Times New Roman" w:cs="Times New Roman"/>
                      <w:b/>
                      <w:bCs/>
                      <w:spacing w:val="-10"/>
                      <w:szCs w:val="21"/>
                    </w:rPr>
                    <w:t>排放口</w:t>
                  </w:r>
                </w:p>
              </w:tc>
              <w:tc>
                <w:tcPr>
                  <w:tcW w:w="1140" w:type="pct"/>
                  <w:tcBorders>
                    <w:tl2br w:val="nil"/>
                    <w:tr2bl w:val="nil"/>
                  </w:tcBorders>
                  <w:vAlign w:val="center"/>
                </w:tcPr>
                <w:p w14:paraId="6F9BAABE">
                  <w:pPr>
                    <w:jc w:val="center"/>
                    <w:rPr>
                      <w:rFonts w:ascii="Times New Roman" w:hAnsi="Times New Roman" w:cs="Times New Roman"/>
                      <w:b/>
                      <w:bCs/>
                      <w:spacing w:val="-10"/>
                      <w:szCs w:val="21"/>
                    </w:rPr>
                  </w:pPr>
                  <w:r>
                    <w:rPr>
                      <w:rFonts w:ascii="Times New Roman" w:hAnsi="Times New Roman" w:cs="Times New Roman"/>
                      <w:b/>
                      <w:bCs/>
                      <w:spacing w:val="-10"/>
                      <w:szCs w:val="21"/>
                    </w:rPr>
                    <w:t>污染物种类</w:t>
                  </w:r>
                </w:p>
              </w:tc>
              <w:tc>
                <w:tcPr>
                  <w:tcW w:w="1083" w:type="pct"/>
                  <w:tcBorders>
                    <w:tl2br w:val="nil"/>
                    <w:tr2bl w:val="nil"/>
                  </w:tcBorders>
                  <w:vAlign w:val="center"/>
                </w:tcPr>
                <w:p w14:paraId="527F6CB4">
                  <w:pPr>
                    <w:jc w:val="center"/>
                    <w:rPr>
                      <w:rFonts w:ascii="Times New Roman" w:hAnsi="Times New Roman" w:cs="Times New Roman"/>
                      <w:b/>
                      <w:bCs/>
                      <w:spacing w:val="-10"/>
                      <w:szCs w:val="21"/>
                    </w:rPr>
                  </w:pPr>
                  <w:r>
                    <w:rPr>
                      <w:rFonts w:ascii="Times New Roman" w:hAnsi="Times New Roman" w:cs="Times New Roman"/>
                      <w:b/>
                      <w:bCs/>
                      <w:spacing w:val="-10"/>
                      <w:szCs w:val="21"/>
                    </w:rPr>
                    <w:t>持续时间</w:t>
                  </w:r>
                </w:p>
              </w:tc>
              <w:tc>
                <w:tcPr>
                  <w:tcW w:w="1235" w:type="pct"/>
                  <w:tcBorders>
                    <w:tl2br w:val="nil"/>
                    <w:tr2bl w:val="nil"/>
                  </w:tcBorders>
                  <w:vAlign w:val="center"/>
                </w:tcPr>
                <w:p w14:paraId="09861272">
                  <w:pPr>
                    <w:jc w:val="center"/>
                    <w:rPr>
                      <w:rFonts w:ascii="Times New Roman" w:hAnsi="Times New Roman" w:cs="Times New Roman"/>
                      <w:b/>
                      <w:bCs/>
                      <w:spacing w:val="-10"/>
                      <w:szCs w:val="21"/>
                    </w:rPr>
                  </w:pPr>
                  <w:r>
                    <w:rPr>
                      <w:rFonts w:ascii="Times New Roman" w:hAnsi="Times New Roman" w:cs="Times New Roman"/>
                      <w:b/>
                      <w:bCs/>
                      <w:spacing w:val="-10"/>
                      <w:szCs w:val="21"/>
                    </w:rPr>
                    <w:t>排放量</w:t>
                  </w:r>
                </w:p>
              </w:tc>
            </w:tr>
            <w:tr w14:paraId="079B92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1" w:type="pct"/>
                  <w:tcBorders>
                    <w:tl2br w:val="nil"/>
                    <w:tr2bl w:val="nil"/>
                  </w:tcBorders>
                  <w:vAlign w:val="center"/>
                </w:tcPr>
                <w:p w14:paraId="2B611736">
                  <w:pPr>
                    <w:jc w:val="center"/>
                    <w:rPr>
                      <w:rFonts w:ascii="Times New Roman" w:hAnsi="Times New Roman" w:cs="Times New Roman"/>
                      <w:kern w:val="0"/>
                      <w:szCs w:val="21"/>
                    </w:rPr>
                  </w:pPr>
                  <w:r>
                    <w:rPr>
                      <w:rFonts w:ascii="Times New Roman" w:hAnsi="Times New Roman" w:cs="Times New Roman"/>
                      <w:spacing w:val="-10"/>
                      <w:szCs w:val="21"/>
                    </w:rPr>
                    <w:t>DA002</w:t>
                  </w:r>
                </w:p>
              </w:tc>
              <w:tc>
                <w:tcPr>
                  <w:tcW w:w="1140" w:type="pct"/>
                  <w:tcBorders>
                    <w:tl2br w:val="nil"/>
                    <w:tr2bl w:val="nil"/>
                  </w:tcBorders>
                  <w:vAlign w:val="center"/>
                </w:tcPr>
                <w:p w14:paraId="50B2A6E9">
                  <w:pPr>
                    <w:jc w:val="center"/>
                    <w:rPr>
                      <w:rFonts w:ascii="Times New Roman" w:hAnsi="Times New Roman" w:cs="Times New Roman"/>
                      <w:spacing w:val="-10"/>
                      <w:szCs w:val="21"/>
                    </w:rPr>
                  </w:pPr>
                  <w:r>
                    <w:rPr>
                      <w:rFonts w:ascii="Times New Roman" w:hAnsi="Times New Roman" w:eastAsia="宋体" w:cs="Times New Roman"/>
                      <w:szCs w:val="21"/>
                    </w:rPr>
                    <w:t>颗粒物</w:t>
                  </w:r>
                </w:p>
              </w:tc>
              <w:tc>
                <w:tcPr>
                  <w:tcW w:w="1083" w:type="pct"/>
                  <w:tcBorders>
                    <w:tl2br w:val="nil"/>
                    <w:tr2bl w:val="nil"/>
                  </w:tcBorders>
                  <w:vAlign w:val="center"/>
                </w:tcPr>
                <w:p w14:paraId="5674B711">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30min</w:t>
                  </w:r>
                </w:p>
              </w:tc>
              <w:tc>
                <w:tcPr>
                  <w:tcW w:w="1235" w:type="pct"/>
                  <w:tcBorders>
                    <w:tl2br w:val="nil"/>
                    <w:tr2bl w:val="nil"/>
                  </w:tcBorders>
                  <w:vAlign w:val="center"/>
                </w:tcPr>
                <w:p w14:paraId="6577DAF3">
                  <w:pPr>
                    <w:jc w:val="center"/>
                    <w:rPr>
                      <w:rFonts w:ascii="Times New Roman" w:hAnsi="Times New Roman" w:cs="Times New Roman"/>
                      <w:spacing w:val="-10"/>
                      <w:szCs w:val="21"/>
                    </w:rPr>
                  </w:pPr>
                  <w:r>
                    <w:rPr>
                      <w:rFonts w:hint="eastAsia" w:ascii="Times New Roman" w:hAnsi="Times New Roman" w:cs="Times New Roman"/>
                      <w:spacing w:val="-10"/>
                      <w:szCs w:val="21"/>
                    </w:rPr>
                    <w:t>2.48</w:t>
                  </w:r>
                  <w:r>
                    <w:rPr>
                      <w:rFonts w:ascii="Times New Roman" w:hAnsi="Times New Roman" w:cs="Times New Roman"/>
                      <w:szCs w:val="21"/>
                    </w:rPr>
                    <w:t>kg</w:t>
                  </w:r>
                </w:p>
              </w:tc>
            </w:tr>
            <w:tr w14:paraId="612D8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1" w:type="pct"/>
                  <w:vMerge w:val="restart"/>
                  <w:tcBorders>
                    <w:tl2br w:val="nil"/>
                    <w:tr2bl w:val="nil"/>
                  </w:tcBorders>
                  <w:vAlign w:val="center"/>
                </w:tcPr>
                <w:p w14:paraId="6D6C2653">
                  <w:pPr>
                    <w:jc w:val="center"/>
                    <w:rPr>
                      <w:rFonts w:ascii="Times New Roman" w:hAnsi="Times New Roman" w:eastAsia="宋体" w:cs="Times New Roman"/>
                      <w:kern w:val="0"/>
                      <w:szCs w:val="21"/>
                      <w:lang w:bidi="ar"/>
                    </w:rPr>
                  </w:pPr>
                  <w:r>
                    <w:rPr>
                      <w:rFonts w:ascii="Times New Roman" w:hAnsi="Times New Roman" w:cs="Times New Roman"/>
                      <w:spacing w:val="-10"/>
                      <w:szCs w:val="21"/>
                    </w:rPr>
                    <w:t>DA003</w:t>
                  </w:r>
                </w:p>
              </w:tc>
              <w:tc>
                <w:tcPr>
                  <w:tcW w:w="1140" w:type="pct"/>
                  <w:tcBorders>
                    <w:tl2br w:val="nil"/>
                    <w:tr2bl w:val="nil"/>
                  </w:tcBorders>
                  <w:vAlign w:val="center"/>
                </w:tcPr>
                <w:p w14:paraId="66E95BCB">
                  <w:pPr>
                    <w:jc w:val="center"/>
                    <w:rPr>
                      <w:rFonts w:ascii="Times New Roman" w:hAnsi="Times New Roman" w:cs="Times New Roman"/>
                      <w:spacing w:val="-10"/>
                      <w:szCs w:val="21"/>
                    </w:rPr>
                  </w:pPr>
                  <w:r>
                    <w:rPr>
                      <w:rFonts w:ascii="Times New Roman" w:hAnsi="Times New Roman" w:eastAsia="宋体" w:cs="Times New Roman"/>
                      <w:szCs w:val="21"/>
                    </w:rPr>
                    <w:t>颗粒物</w:t>
                  </w:r>
                </w:p>
              </w:tc>
              <w:tc>
                <w:tcPr>
                  <w:tcW w:w="1083" w:type="pct"/>
                  <w:tcBorders>
                    <w:tl2br w:val="nil"/>
                    <w:tr2bl w:val="nil"/>
                  </w:tcBorders>
                  <w:vAlign w:val="center"/>
                </w:tcPr>
                <w:p w14:paraId="0E91A038">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30min</w:t>
                  </w:r>
                </w:p>
              </w:tc>
              <w:tc>
                <w:tcPr>
                  <w:tcW w:w="1235" w:type="pct"/>
                  <w:tcBorders>
                    <w:tl2br w:val="nil"/>
                    <w:tr2bl w:val="nil"/>
                  </w:tcBorders>
                  <w:vAlign w:val="center"/>
                </w:tcPr>
                <w:p w14:paraId="5280318D">
                  <w:pPr>
                    <w:adjustRightInd w:val="0"/>
                    <w:snapToGrid w:val="0"/>
                    <w:jc w:val="center"/>
                    <w:rPr>
                      <w:rFonts w:ascii="Times New Roman" w:hAnsi="Times New Roman" w:cs="Times New Roman"/>
                      <w:spacing w:val="-10"/>
                      <w:szCs w:val="21"/>
                    </w:rPr>
                  </w:pPr>
                  <w:r>
                    <w:rPr>
                      <w:rFonts w:hint="eastAsia" w:ascii="Times New Roman" w:hAnsi="Times New Roman" w:cs="Times New Roman"/>
                      <w:spacing w:val="-10"/>
                      <w:szCs w:val="21"/>
                    </w:rPr>
                    <w:t>0.</w:t>
                  </w:r>
                  <w:r>
                    <w:rPr>
                      <w:rFonts w:hint="eastAsia" w:ascii="Times New Roman" w:hAnsi="Times New Roman" w:cs="Times New Roman"/>
                      <w:spacing w:val="-10"/>
                      <w:szCs w:val="21"/>
                      <w:lang w:val="en-US" w:eastAsia="zh-CN"/>
                    </w:rPr>
                    <w:t>855</w:t>
                  </w:r>
                  <w:r>
                    <w:rPr>
                      <w:rFonts w:ascii="Times New Roman" w:hAnsi="Times New Roman" w:cs="Times New Roman"/>
                      <w:spacing w:val="-10"/>
                      <w:szCs w:val="21"/>
                    </w:rPr>
                    <w:t>kg</w:t>
                  </w:r>
                </w:p>
              </w:tc>
            </w:tr>
            <w:tr w14:paraId="708A0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541" w:type="pct"/>
                  <w:vMerge w:val="continue"/>
                  <w:tcBorders>
                    <w:tl2br w:val="nil"/>
                    <w:tr2bl w:val="nil"/>
                  </w:tcBorders>
                  <w:vAlign w:val="center"/>
                </w:tcPr>
                <w:p w14:paraId="48E7B67B">
                  <w:pPr>
                    <w:jc w:val="center"/>
                    <w:rPr>
                      <w:rFonts w:ascii="Times New Roman" w:hAnsi="Times New Roman" w:cs="Times New Roman"/>
                      <w:spacing w:val="-10"/>
                      <w:szCs w:val="21"/>
                    </w:rPr>
                  </w:pPr>
                </w:p>
              </w:tc>
              <w:tc>
                <w:tcPr>
                  <w:tcW w:w="1140" w:type="pct"/>
                  <w:tcBorders>
                    <w:tl2br w:val="nil"/>
                    <w:tr2bl w:val="nil"/>
                  </w:tcBorders>
                  <w:vAlign w:val="center"/>
                </w:tcPr>
                <w:p w14:paraId="388F9B03">
                  <w:pPr>
                    <w:jc w:val="center"/>
                    <w:rPr>
                      <w:rFonts w:ascii="Times New Roman" w:hAnsi="Times New Roman" w:cs="Times New Roman"/>
                      <w:spacing w:val="-10"/>
                      <w:szCs w:val="21"/>
                    </w:rPr>
                  </w:pPr>
                  <w:r>
                    <w:rPr>
                      <w:rFonts w:ascii="Times New Roman" w:hAnsi="Times New Roman" w:cs="Times New Roman"/>
                      <w:spacing w:val="-10"/>
                      <w:szCs w:val="21"/>
                    </w:rPr>
                    <w:t>非甲烷总烃</w:t>
                  </w:r>
                </w:p>
              </w:tc>
              <w:tc>
                <w:tcPr>
                  <w:tcW w:w="1083" w:type="pct"/>
                  <w:tcBorders>
                    <w:tl2br w:val="nil"/>
                    <w:tr2bl w:val="nil"/>
                  </w:tcBorders>
                  <w:vAlign w:val="center"/>
                </w:tcPr>
                <w:p w14:paraId="2ECA73B4">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30min</w:t>
                  </w:r>
                </w:p>
              </w:tc>
              <w:tc>
                <w:tcPr>
                  <w:tcW w:w="1235" w:type="pct"/>
                  <w:tcBorders>
                    <w:tl2br w:val="nil"/>
                    <w:tr2bl w:val="nil"/>
                  </w:tcBorders>
                  <w:vAlign w:val="center"/>
                </w:tcPr>
                <w:p w14:paraId="51C3C1A2">
                  <w:pPr>
                    <w:adjustRightInd w:val="0"/>
                    <w:snapToGrid w:val="0"/>
                    <w:jc w:val="center"/>
                    <w:rPr>
                      <w:rFonts w:ascii="Times New Roman" w:hAnsi="Times New Roman" w:cs="Times New Roman"/>
                      <w:spacing w:val="-10"/>
                      <w:szCs w:val="21"/>
                    </w:rPr>
                  </w:pPr>
                  <w:r>
                    <w:rPr>
                      <w:rFonts w:ascii="Times New Roman" w:hAnsi="Times New Roman" w:cs="Times New Roman"/>
                      <w:szCs w:val="21"/>
                    </w:rPr>
                    <w:t>0.</w:t>
                  </w:r>
                  <w:r>
                    <w:rPr>
                      <w:rFonts w:hint="eastAsia" w:ascii="Times New Roman" w:hAnsi="Times New Roman" w:cs="Times New Roman"/>
                      <w:szCs w:val="21"/>
                      <w:lang w:val="en-US" w:eastAsia="zh-CN"/>
                    </w:rPr>
                    <w:t>485</w:t>
                  </w:r>
                  <w:r>
                    <w:rPr>
                      <w:rFonts w:ascii="Times New Roman" w:hAnsi="Times New Roman" w:cs="Times New Roman"/>
                      <w:szCs w:val="21"/>
                    </w:rPr>
                    <w:t>kg</w:t>
                  </w:r>
                </w:p>
              </w:tc>
            </w:tr>
          </w:tbl>
          <w:p w14:paraId="6C8DB5C1">
            <w:pPr>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为防止生产废气非正常情况排放，企业必须加强废气处理设施的管理，定期检修，确保废气处理设施正常运行，在废气处理设备停止运行或出现故障时，产生废气的各工序也必须相应停止生产。为杜绝废气非正常排放，要求建设单位做好以下措施：</w:t>
            </w:r>
          </w:p>
          <w:p w14:paraId="7615B191">
            <w:pPr>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①安排专人负责环保设备的日常维护和管理，每隔固定时间检查和汇报情况，及时发现废气处理设备的隐患，确保废气处理系统正常运行；</w:t>
            </w:r>
          </w:p>
          <w:p w14:paraId="247FA622">
            <w:pPr>
              <w:adjustRightInd w:val="0"/>
              <w:snapToGrid w:val="0"/>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②严格按照环保设备使用手册，定期对</w:t>
            </w:r>
            <w:r>
              <w:rPr>
                <w:rFonts w:hint="eastAsia" w:ascii="Times New Roman" w:hAnsi="Times New Roman" w:eastAsia="宋体" w:cs="Times New Roman"/>
                <w:sz w:val="24"/>
              </w:rPr>
              <w:t>布袋除尘器、</w:t>
            </w:r>
            <w:r>
              <w:rPr>
                <w:rFonts w:ascii="Times New Roman" w:hAnsi="Times New Roman" w:eastAsia="宋体" w:cs="Times New Roman"/>
                <w:sz w:val="24"/>
              </w:rPr>
              <w:t>活性炭、</w:t>
            </w:r>
            <w:r>
              <w:rPr>
                <w:rFonts w:hint="eastAsia" w:ascii="Times New Roman" w:hAnsi="Times New Roman" w:eastAsia="宋体" w:cs="Times New Roman"/>
                <w:sz w:val="24"/>
              </w:rPr>
              <w:t>过滤棉</w:t>
            </w:r>
            <w:r>
              <w:rPr>
                <w:rFonts w:ascii="Times New Roman" w:hAnsi="Times New Roman" w:eastAsia="宋体" w:cs="Times New Roman"/>
                <w:sz w:val="24"/>
              </w:rPr>
              <w:t>进行清理更换；</w:t>
            </w:r>
          </w:p>
          <w:p w14:paraId="7EAFC7B7">
            <w:pPr>
              <w:adjustRightInd w:val="0"/>
              <w:snapToGrid w:val="0"/>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③建立健全的环保管理机构，对环保管理人员和技术人员进行岗位培训，委托具有专业资质的环境检测单位对项目排放的各类污染物进行定期检测；</w:t>
            </w:r>
          </w:p>
          <w:p w14:paraId="16F69D6B">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④应定期维护、检修</w:t>
            </w:r>
            <w:r>
              <w:rPr>
                <w:rFonts w:hint="eastAsia" w:ascii="Times New Roman" w:hAnsi="Times New Roman" w:eastAsia="宋体" w:cs="Times New Roman"/>
                <w:sz w:val="24"/>
              </w:rPr>
              <w:t>布袋除尘器、</w:t>
            </w:r>
            <w:r>
              <w:rPr>
                <w:rFonts w:ascii="Times New Roman" w:hAnsi="Times New Roman" w:eastAsia="宋体" w:cs="Times New Roman"/>
                <w:sz w:val="24"/>
              </w:rPr>
              <w:t>活性炭吸附装置，以保持废气处理装置的处理能力。</w:t>
            </w:r>
          </w:p>
          <w:p w14:paraId="4D08E511">
            <w:pPr>
              <w:adjustRightInd w:val="0"/>
              <w:snapToGrid w:val="0"/>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7、自行监测计划</w:t>
            </w:r>
          </w:p>
          <w:p w14:paraId="0D94859E">
            <w:pPr>
              <w:widowControl/>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监测工作可由企业自行完成，企业如不具备工作条件，可安排第三方检测公司完成，参照《排污单位自行监测技术指南 总则》（HJ819-2017）、</w:t>
            </w:r>
            <w:r>
              <w:fldChar w:fldCharType="begin"/>
            </w:r>
            <w:r>
              <w:instrText xml:space="preserve"> HYPERLINK "https://www.mee.gov.cn/ywgz/fgbz/bz/bzwb/jcffbz/202001/W020200113417476489912.pdf" </w:instrText>
            </w:r>
            <w:r>
              <w:fldChar w:fldCharType="separate"/>
            </w:r>
            <w:r>
              <w:rPr>
                <w:rFonts w:ascii="Times New Roman" w:hAnsi="Times New Roman" w:cs="Times New Roman"/>
                <w:sz w:val="24"/>
              </w:rPr>
              <w:t>排污单位自行监测技术指南 涂装（HJ 1086—2020）</w:t>
            </w:r>
            <w:r>
              <w:rPr>
                <w:rFonts w:ascii="Times New Roman" w:hAnsi="Times New Roman" w:cs="Times New Roman"/>
                <w:sz w:val="24"/>
              </w:rPr>
              <w:fldChar w:fldCharType="end"/>
            </w:r>
            <w:r>
              <w:rPr>
                <w:rFonts w:ascii="Times New Roman" w:hAnsi="Times New Roman" w:cs="Times New Roman"/>
                <w:sz w:val="24"/>
              </w:rPr>
              <w:t>，对项目建成后全厂的监测计划提出以下要求。</w:t>
            </w:r>
          </w:p>
          <w:p w14:paraId="3BA7F0EE">
            <w:pPr>
              <w:widowControl/>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具体内容如下表</w:t>
            </w:r>
            <w:r>
              <w:rPr>
                <w:rFonts w:hint="eastAsia" w:ascii="Times New Roman" w:hAnsi="Times New Roman" w:cs="Times New Roman"/>
                <w:sz w:val="24"/>
              </w:rPr>
              <w:t>所示</w:t>
            </w:r>
            <w:r>
              <w:rPr>
                <w:rFonts w:ascii="Times New Roman" w:hAnsi="Times New Roman" w:cs="Times New Roman"/>
                <w:sz w:val="24"/>
              </w:rPr>
              <w:t>。</w:t>
            </w:r>
          </w:p>
          <w:p w14:paraId="393C8871">
            <w:pPr>
              <w:ind w:firstLine="422" w:firstLineChars="200"/>
              <w:jc w:val="center"/>
              <w:rPr>
                <w:rFonts w:ascii="Times New Roman" w:hAnsi="Times New Roman" w:eastAsia="宋体" w:cs="Times New Roman"/>
                <w:b/>
                <w:szCs w:val="21"/>
              </w:rPr>
            </w:pPr>
            <w:r>
              <w:rPr>
                <w:rFonts w:ascii="Times New Roman" w:hAnsi="Times New Roman" w:eastAsia="宋体" w:cs="Times New Roman"/>
                <w:b/>
                <w:kern w:val="0"/>
                <w:szCs w:val="21"/>
              </w:rPr>
              <w:t>表4-</w:t>
            </w:r>
            <w:commentRangeStart w:id="47"/>
            <w:r>
              <w:rPr>
                <w:rFonts w:hint="eastAsia" w:ascii="Times New Roman" w:hAnsi="Times New Roman" w:eastAsia="宋体" w:cs="Times New Roman"/>
                <w:b/>
                <w:kern w:val="0"/>
                <w:szCs w:val="21"/>
              </w:rPr>
              <w:t>8</w:t>
            </w:r>
            <w:r>
              <w:rPr>
                <w:rFonts w:ascii="Times New Roman" w:hAnsi="Times New Roman" w:eastAsia="宋体" w:cs="Times New Roman"/>
                <w:b/>
                <w:kern w:val="0"/>
                <w:szCs w:val="21"/>
              </w:rPr>
              <w:t xml:space="preserve">  全厂废气大气环境监测计划一览表</w:t>
            </w:r>
            <w:commentRangeEnd w:id="47"/>
            <w:r>
              <w:commentReference w:id="47"/>
            </w:r>
          </w:p>
          <w:tbl>
            <w:tblPr>
              <w:tblStyle w:val="26"/>
              <w:tblW w:w="498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1178"/>
              <w:gridCol w:w="1928"/>
              <w:gridCol w:w="765"/>
              <w:gridCol w:w="884"/>
              <w:gridCol w:w="2828"/>
            </w:tblGrid>
            <w:tr w14:paraId="5AAA29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9" w:type="pct"/>
                  <w:tcBorders>
                    <w:tl2br w:val="nil"/>
                    <w:tr2bl w:val="nil"/>
                  </w:tcBorders>
                  <w:vAlign w:val="center"/>
                </w:tcPr>
                <w:p w14:paraId="0E2C43AE">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污染源</w:t>
                  </w:r>
                </w:p>
                <w:p w14:paraId="7D9B222A">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名称</w:t>
                  </w:r>
                </w:p>
              </w:tc>
              <w:tc>
                <w:tcPr>
                  <w:tcW w:w="707" w:type="pct"/>
                  <w:tcBorders>
                    <w:tl2br w:val="nil"/>
                    <w:tr2bl w:val="nil"/>
                  </w:tcBorders>
                  <w:vAlign w:val="center"/>
                </w:tcPr>
                <w:p w14:paraId="0787BA34">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监测</w:t>
                  </w:r>
                </w:p>
                <w:p w14:paraId="66F69F5B">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项目</w:t>
                  </w:r>
                </w:p>
              </w:tc>
              <w:tc>
                <w:tcPr>
                  <w:tcW w:w="1157" w:type="pct"/>
                  <w:tcBorders>
                    <w:tl2br w:val="nil"/>
                    <w:tr2bl w:val="nil"/>
                  </w:tcBorders>
                  <w:vAlign w:val="center"/>
                </w:tcPr>
                <w:p w14:paraId="66DF5555">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监测点位</w:t>
                  </w:r>
                </w:p>
              </w:tc>
              <w:tc>
                <w:tcPr>
                  <w:tcW w:w="459" w:type="pct"/>
                  <w:tcBorders>
                    <w:tl2br w:val="nil"/>
                    <w:tr2bl w:val="nil"/>
                  </w:tcBorders>
                  <w:vAlign w:val="center"/>
                </w:tcPr>
                <w:p w14:paraId="3422634E">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监测点数</w:t>
                  </w:r>
                </w:p>
              </w:tc>
              <w:tc>
                <w:tcPr>
                  <w:tcW w:w="530" w:type="pct"/>
                  <w:tcBorders>
                    <w:tl2br w:val="nil"/>
                    <w:tr2bl w:val="nil"/>
                  </w:tcBorders>
                  <w:vAlign w:val="center"/>
                </w:tcPr>
                <w:p w14:paraId="5D312D52">
                  <w:pPr>
                    <w:widowControl/>
                    <w:adjustRightInd w:val="0"/>
                    <w:snapToGrid w:val="0"/>
                    <w:jc w:val="center"/>
                    <w:rPr>
                      <w:rFonts w:ascii="Times New Roman" w:hAnsi="Times New Roman" w:eastAsia="宋体" w:cs="Times New Roman"/>
                      <w:kern w:val="0"/>
                      <w:szCs w:val="21"/>
                    </w:rPr>
                  </w:pPr>
                  <w:commentRangeStart w:id="48"/>
                  <w:r>
                    <w:rPr>
                      <w:rFonts w:ascii="Times New Roman" w:hAnsi="Times New Roman" w:eastAsia="宋体" w:cs="Times New Roman"/>
                      <w:kern w:val="0"/>
                      <w:szCs w:val="21"/>
                    </w:rPr>
                    <w:t>监测</w:t>
                  </w:r>
                </w:p>
                <w:p w14:paraId="6FE8D58E">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频率</w:t>
                  </w:r>
                  <w:commentRangeEnd w:id="48"/>
                  <w:r>
                    <w:commentReference w:id="48"/>
                  </w:r>
                </w:p>
              </w:tc>
              <w:tc>
                <w:tcPr>
                  <w:tcW w:w="1696" w:type="pct"/>
                  <w:tcBorders>
                    <w:tl2br w:val="nil"/>
                    <w:tr2bl w:val="nil"/>
                  </w:tcBorders>
                  <w:vAlign w:val="center"/>
                </w:tcPr>
                <w:p w14:paraId="59786BA0">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控制指标</w:t>
                  </w:r>
                </w:p>
              </w:tc>
            </w:tr>
            <w:tr w14:paraId="61E1D6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9" w:type="pct"/>
                  <w:vMerge w:val="restart"/>
                  <w:tcBorders>
                    <w:tl2br w:val="nil"/>
                    <w:tr2bl w:val="nil"/>
                  </w:tcBorders>
                  <w:vAlign w:val="center"/>
                </w:tcPr>
                <w:p w14:paraId="353B5BD0">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生产</w:t>
                  </w:r>
                </w:p>
                <w:p w14:paraId="3FFAC890">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工序</w:t>
                  </w:r>
                </w:p>
              </w:tc>
              <w:tc>
                <w:tcPr>
                  <w:tcW w:w="707" w:type="pct"/>
                  <w:tcBorders>
                    <w:tl2br w:val="nil"/>
                    <w:tr2bl w:val="nil"/>
                  </w:tcBorders>
                  <w:vAlign w:val="center"/>
                </w:tcPr>
                <w:p w14:paraId="76BA08AF">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颗粒物</w:t>
                  </w:r>
                </w:p>
              </w:tc>
              <w:tc>
                <w:tcPr>
                  <w:tcW w:w="1157" w:type="pct"/>
                  <w:tcBorders>
                    <w:tl2br w:val="nil"/>
                    <w:tr2bl w:val="nil"/>
                  </w:tcBorders>
                  <w:vAlign w:val="center"/>
                </w:tcPr>
                <w:p w14:paraId="56E5AE52">
                  <w:pPr>
                    <w:snapToGrid w:val="0"/>
                    <w:jc w:val="center"/>
                    <w:rPr>
                      <w:rFonts w:ascii="Times New Roman" w:hAnsi="Times New Roman" w:cs="Times New Roman"/>
                      <w:kern w:val="0"/>
                      <w:szCs w:val="21"/>
                    </w:rPr>
                  </w:pPr>
                  <w:r>
                    <w:rPr>
                      <w:rFonts w:ascii="Times New Roman" w:hAnsi="Times New Roman" w:cs="Times New Roman"/>
                      <w:kern w:val="0"/>
                      <w:szCs w:val="21"/>
                    </w:rPr>
                    <w:t>DA002</w:t>
                  </w:r>
                </w:p>
                <w:p w14:paraId="7CEBAA45">
                  <w:pPr>
                    <w:snapToGrid w:val="0"/>
                    <w:jc w:val="center"/>
                    <w:rPr>
                      <w:rFonts w:ascii="Times New Roman" w:hAnsi="Times New Roman" w:cs="Times New Roman"/>
                      <w:kern w:val="0"/>
                      <w:szCs w:val="21"/>
                    </w:rPr>
                  </w:pPr>
                  <w:r>
                    <w:rPr>
                      <w:rFonts w:ascii="Times New Roman" w:hAnsi="Times New Roman" w:cs="Times New Roman"/>
                      <w:kern w:val="0"/>
                      <w:szCs w:val="21"/>
                    </w:rPr>
                    <w:t>排气筒</w:t>
                  </w:r>
                  <w:r>
                    <w:rPr>
                      <w:rFonts w:hint="eastAsia" w:ascii="Times New Roman" w:hAnsi="Times New Roman" w:cs="Times New Roman"/>
                      <w:kern w:val="0"/>
                      <w:szCs w:val="21"/>
                    </w:rPr>
                    <w:t>进口、</w:t>
                  </w:r>
                  <w:r>
                    <w:rPr>
                      <w:rFonts w:ascii="Times New Roman" w:hAnsi="Times New Roman" w:cs="Times New Roman"/>
                      <w:kern w:val="0"/>
                      <w:szCs w:val="21"/>
                    </w:rPr>
                    <w:t>出口</w:t>
                  </w:r>
                </w:p>
              </w:tc>
              <w:tc>
                <w:tcPr>
                  <w:tcW w:w="459" w:type="pct"/>
                  <w:tcBorders>
                    <w:tl2br w:val="nil"/>
                    <w:tr2bl w:val="nil"/>
                  </w:tcBorders>
                  <w:vAlign w:val="center"/>
                </w:tcPr>
                <w:p w14:paraId="63FFE1DE">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color w:val="FF0000"/>
                      <w:kern w:val="0"/>
                      <w:szCs w:val="21"/>
                      <w:lang w:val="en-US" w:eastAsia="zh-CN"/>
                    </w:rPr>
                    <w:t>2</w:t>
                  </w:r>
                  <w:commentRangeStart w:id="49"/>
                  <w:r>
                    <w:rPr>
                      <w:rFonts w:ascii="Times New Roman" w:hAnsi="Times New Roman" w:eastAsia="宋体" w:cs="Times New Roman"/>
                      <w:color w:val="FF0000"/>
                      <w:kern w:val="0"/>
                      <w:szCs w:val="21"/>
                    </w:rPr>
                    <w:t>个</w:t>
                  </w:r>
                  <w:commentRangeEnd w:id="49"/>
                  <w:r>
                    <w:commentReference w:id="49"/>
                  </w:r>
                </w:p>
              </w:tc>
              <w:tc>
                <w:tcPr>
                  <w:tcW w:w="530" w:type="pct"/>
                  <w:tcBorders>
                    <w:tl2br w:val="nil"/>
                    <w:tr2bl w:val="nil"/>
                  </w:tcBorders>
                  <w:vAlign w:val="center"/>
                </w:tcPr>
                <w:p w14:paraId="3862A6D1">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一年</w:t>
                  </w:r>
                </w:p>
                <w:p w14:paraId="05AB6EAE">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一次</w:t>
                  </w:r>
                </w:p>
              </w:tc>
              <w:tc>
                <w:tcPr>
                  <w:tcW w:w="1696" w:type="pct"/>
                  <w:tcBorders>
                    <w:tl2br w:val="nil"/>
                    <w:tr2bl w:val="nil"/>
                  </w:tcBorders>
                  <w:vAlign w:val="center"/>
                </w:tcPr>
                <w:p w14:paraId="4836A231">
                  <w:pPr>
                    <w:widowControl/>
                    <w:adjustRightInd w:val="0"/>
                    <w:snapToGrid w:val="0"/>
                    <w:jc w:val="center"/>
                    <w:rPr>
                      <w:rFonts w:ascii="Times New Roman" w:hAnsi="Times New Roman" w:cs="Times New Roman"/>
                      <w:kern w:val="0"/>
                      <w:szCs w:val="21"/>
                    </w:rPr>
                  </w:pPr>
                  <w:r>
                    <w:rPr>
                      <w:rFonts w:ascii="Times New Roman" w:hAnsi="Times New Roman" w:cs="Times New Roman"/>
                      <w:szCs w:val="21"/>
                    </w:rPr>
                    <w:t>《大气污染物综合排放标准》（GB</w:t>
                  </w:r>
                  <w:r>
                    <w:rPr>
                      <w:rFonts w:ascii="Times New Roman" w:hAnsi="Times New Roman" w:cs="Times New Roman"/>
                      <w:spacing w:val="2"/>
                      <w:szCs w:val="21"/>
                    </w:rPr>
                    <w:t>16297-1996</w:t>
                  </w:r>
                  <w:r>
                    <w:rPr>
                      <w:rFonts w:ascii="Times New Roman" w:hAnsi="Times New Roman" w:cs="Times New Roman"/>
                      <w:szCs w:val="21"/>
                    </w:rPr>
                    <w:t>）</w:t>
                  </w:r>
                </w:p>
              </w:tc>
            </w:tr>
            <w:tr w14:paraId="4D20DC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9" w:type="pct"/>
                  <w:vMerge w:val="continue"/>
                  <w:tcBorders>
                    <w:tl2br w:val="nil"/>
                    <w:tr2bl w:val="nil"/>
                  </w:tcBorders>
                  <w:vAlign w:val="center"/>
                </w:tcPr>
                <w:p w14:paraId="76A28542">
                  <w:pPr>
                    <w:widowControl/>
                    <w:adjustRightInd w:val="0"/>
                    <w:snapToGrid w:val="0"/>
                    <w:jc w:val="center"/>
                    <w:rPr>
                      <w:rFonts w:ascii="Times New Roman" w:hAnsi="Times New Roman" w:eastAsia="宋体" w:cs="Times New Roman"/>
                      <w:kern w:val="0"/>
                      <w:szCs w:val="21"/>
                    </w:rPr>
                  </w:pPr>
                </w:p>
              </w:tc>
              <w:tc>
                <w:tcPr>
                  <w:tcW w:w="707" w:type="pct"/>
                  <w:tcBorders>
                    <w:tl2br w:val="nil"/>
                    <w:tr2bl w:val="nil"/>
                  </w:tcBorders>
                  <w:vAlign w:val="center"/>
                </w:tcPr>
                <w:p w14:paraId="619D883A">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非甲烷</w:t>
                  </w:r>
                </w:p>
                <w:p w14:paraId="663B2822">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总烃</w:t>
                  </w:r>
                  <w:r>
                    <w:rPr>
                      <w:rFonts w:hint="eastAsia" w:ascii="Times New Roman" w:hAnsi="Times New Roman" w:eastAsia="宋体" w:cs="Times New Roman"/>
                      <w:kern w:val="0"/>
                      <w:szCs w:val="21"/>
                    </w:rPr>
                    <w:t>、</w:t>
                  </w:r>
                </w:p>
                <w:p w14:paraId="321747D2">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颗粒物</w:t>
                  </w:r>
                </w:p>
              </w:tc>
              <w:tc>
                <w:tcPr>
                  <w:tcW w:w="1157" w:type="pct"/>
                  <w:tcBorders>
                    <w:tl2br w:val="nil"/>
                    <w:tr2bl w:val="nil"/>
                  </w:tcBorders>
                  <w:vAlign w:val="center"/>
                </w:tcPr>
                <w:p w14:paraId="0BE093B9">
                  <w:pPr>
                    <w:snapToGrid w:val="0"/>
                    <w:jc w:val="center"/>
                    <w:rPr>
                      <w:rFonts w:ascii="Times New Roman" w:hAnsi="Times New Roman" w:cs="Times New Roman"/>
                      <w:kern w:val="0"/>
                      <w:szCs w:val="21"/>
                    </w:rPr>
                  </w:pPr>
                  <w:r>
                    <w:rPr>
                      <w:rFonts w:ascii="Times New Roman" w:hAnsi="Times New Roman" w:cs="Times New Roman"/>
                      <w:kern w:val="0"/>
                      <w:szCs w:val="21"/>
                    </w:rPr>
                    <w:t>DA003</w:t>
                  </w:r>
                </w:p>
                <w:p w14:paraId="780590D9">
                  <w:pPr>
                    <w:snapToGrid w:val="0"/>
                    <w:jc w:val="center"/>
                    <w:rPr>
                      <w:rFonts w:ascii="Times New Roman" w:hAnsi="Times New Roman" w:cs="Times New Roman"/>
                      <w:kern w:val="0"/>
                      <w:szCs w:val="21"/>
                    </w:rPr>
                  </w:pPr>
                  <w:r>
                    <w:rPr>
                      <w:rFonts w:ascii="Times New Roman" w:hAnsi="Times New Roman" w:cs="Times New Roman"/>
                      <w:kern w:val="0"/>
                      <w:szCs w:val="21"/>
                    </w:rPr>
                    <w:t>排气筒进口、出口</w:t>
                  </w:r>
                </w:p>
              </w:tc>
              <w:tc>
                <w:tcPr>
                  <w:tcW w:w="459" w:type="pct"/>
                  <w:tcBorders>
                    <w:top w:val="single" w:color="auto" w:sz="4" w:space="0"/>
                    <w:tl2br w:val="nil"/>
                    <w:tr2bl w:val="nil"/>
                  </w:tcBorders>
                  <w:vAlign w:val="center"/>
                </w:tcPr>
                <w:p w14:paraId="064FDBB3">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2个</w:t>
                  </w:r>
                </w:p>
              </w:tc>
              <w:tc>
                <w:tcPr>
                  <w:tcW w:w="530" w:type="pct"/>
                  <w:tcBorders>
                    <w:top w:val="single" w:color="auto" w:sz="4" w:space="0"/>
                    <w:tl2br w:val="nil"/>
                    <w:tr2bl w:val="nil"/>
                  </w:tcBorders>
                  <w:vAlign w:val="center"/>
                </w:tcPr>
                <w:p w14:paraId="711CBE5A">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一年</w:t>
                  </w:r>
                </w:p>
                <w:p w14:paraId="2C2D1A70">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一次</w:t>
                  </w:r>
                </w:p>
              </w:tc>
              <w:tc>
                <w:tcPr>
                  <w:tcW w:w="1696" w:type="pct"/>
                  <w:tcBorders>
                    <w:tl2br w:val="nil"/>
                    <w:tr2bl w:val="nil"/>
                  </w:tcBorders>
                  <w:vAlign w:val="center"/>
                </w:tcPr>
                <w:p w14:paraId="668DDEF4">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《挥发性有机物排放控制标准》（DB61/T1061-2017）</w:t>
                  </w:r>
                </w:p>
              </w:tc>
            </w:tr>
            <w:tr w14:paraId="51CF7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9" w:type="pct"/>
                  <w:vMerge w:val="continue"/>
                  <w:tcBorders>
                    <w:tl2br w:val="nil"/>
                    <w:tr2bl w:val="nil"/>
                  </w:tcBorders>
                  <w:vAlign w:val="center"/>
                </w:tcPr>
                <w:p w14:paraId="7560B28B">
                  <w:pPr>
                    <w:widowControl/>
                    <w:adjustRightInd w:val="0"/>
                    <w:snapToGrid w:val="0"/>
                    <w:jc w:val="center"/>
                    <w:rPr>
                      <w:rFonts w:ascii="Times New Roman" w:hAnsi="Times New Roman" w:eastAsia="宋体" w:cs="Times New Roman"/>
                      <w:kern w:val="0"/>
                      <w:szCs w:val="21"/>
                    </w:rPr>
                  </w:pPr>
                </w:p>
              </w:tc>
              <w:tc>
                <w:tcPr>
                  <w:tcW w:w="707" w:type="pct"/>
                  <w:tcBorders>
                    <w:tl2br w:val="nil"/>
                    <w:tr2bl w:val="nil"/>
                  </w:tcBorders>
                  <w:vAlign w:val="center"/>
                </w:tcPr>
                <w:p w14:paraId="241A964A">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非甲烷</w:t>
                  </w:r>
                </w:p>
                <w:p w14:paraId="3AB12D3A">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总烃</w:t>
                  </w:r>
                </w:p>
              </w:tc>
              <w:tc>
                <w:tcPr>
                  <w:tcW w:w="1157" w:type="pct"/>
                  <w:vMerge w:val="restart"/>
                  <w:tcBorders>
                    <w:tl2br w:val="nil"/>
                    <w:tr2bl w:val="nil"/>
                  </w:tcBorders>
                  <w:vAlign w:val="center"/>
                </w:tcPr>
                <w:p w14:paraId="7A3E5356">
                  <w:pPr>
                    <w:widowControl/>
                    <w:adjustRightInd w:val="0"/>
                    <w:snapToGrid w:val="0"/>
                    <w:jc w:val="center"/>
                    <w:rPr>
                      <w:rFonts w:ascii="Times New Roman" w:hAnsi="Times New Roman" w:eastAsia="宋体" w:cs="Times New Roman"/>
                      <w:kern w:val="0"/>
                      <w:szCs w:val="21"/>
                    </w:rPr>
                  </w:pPr>
                  <w:r>
                    <w:rPr>
                      <w:rFonts w:ascii="Times New Roman" w:hAnsi="Times New Roman" w:cs="Times New Roman"/>
                      <w:kern w:val="0"/>
                      <w:szCs w:val="21"/>
                    </w:rPr>
                    <w:t>厂</w:t>
                  </w:r>
                  <w:r>
                    <w:rPr>
                      <w:rFonts w:hint="eastAsia" w:ascii="Times New Roman" w:hAnsi="Times New Roman" w:cs="Times New Roman"/>
                      <w:kern w:val="0"/>
                      <w:szCs w:val="21"/>
                    </w:rPr>
                    <w:t>界上方向1个，下风向3个</w:t>
                  </w:r>
                </w:p>
              </w:tc>
              <w:tc>
                <w:tcPr>
                  <w:tcW w:w="459" w:type="pct"/>
                  <w:vMerge w:val="restart"/>
                  <w:tcBorders>
                    <w:tl2br w:val="nil"/>
                    <w:tr2bl w:val="nil"/>
                  </w:tcBorders>
                  <w:vAlign w:val="center"/>
                </w:tcPr>
                <w:p w14:paraId="14F494EF">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4个</w:t>
                  </w:r>
                </w:p>
              </w:tc>
              <w:tc>
                <w:tcPr>
                  <w:tcW w:w="530" w:type="pct"/>
                  <w:vMerge w:val="restart"/>
                  <w:tcBorders>
                    <w:tl2br w:val="nil"/>
                    <w:tr2bl w:val="nil"/>
                  </w:tcBorders>
                  <w:vAlign w:val="center"/>
                </w:tcPr>
                <w:p w14:paraId="573EF622">
                  <w:pPr>
                    <w:widowControl/>
                    <w:adjustRightInd w:val="0"/>
                    <w:snapToGrid w:val="0"/>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lang w:eastAsia="zh-CN"/>
                    </w:rPr>
                    <w:t>半</w:t>
                  </w:r>
                  <w:commentRangeStart w:id="50"/>
                  <w:r>
                    <w:rPr>
                      <w:rFonts w:ascii="Times New Roman" w:hAnsi="Times New Roman" w:eastAsia="宋体" w:cs="Times New Roman"/>
                      <w:color w:val="FF0000"/>
                      <w:kern w:val="0"/>
                      <w:szCs w:val="21"/>
                    </w:rPr>
                    <w:t>年</w:t>
                  </w:r>
                </w:p>
                <w:p w14:paraId="44BA5DA9">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color w:val="FF0000"/>
                      <w:kern w:val="0"/>
                      <w:szCs w:val="21"/>
                    </w:rPr>
                    <w:t>一次</w:t>
                  </w:r>
                  <w:commentRangeEnd w:id="50"/>
                  <w:r>
                    <w:commentReference w:id="50"/>
                  </w:r>
                </w:p>
              </w:tc>
              <w:tc>
                <w:tcPr>
                  <w:tcW w:w="1696" w:type="pct"/>
                  <w:tcBorders>
                    <w:tl2br w:val="nil"/>
                    <w:tr2bl w:val="nil"/>
                  </w:tcBorders>
                  <w:vAlign w:val="center"/>
                </w:tcPr>
                <w:p w14:paraId="44AAB62C">
                  <w:pPr>
                    <w:pStyle w:val="2"/>
                    <w:ind w:left="0" w:leftChars="0" w:firstLine="0" w:firstLineChars="0"/>
                    <w:jc w:val="center"/>
                    <w:rPr>
                      <w:rFonts w:ascii="Times New Roman" w:hAnsi="Times New Roman" w:cs="Times New Roman"/>
                      <w:szCs w:val="21"/>
                    </w:rPr>
                  </w:pPr>
                  <w:r>
                    <w:rPr>
                      <w:rFonts w:ascii="Times New Roman" w:hAnsi="Times New Roman" w:cs="Times New Roman"/>
                      <w:kern w:val="0"/>
                      <w:szCs w:val="21"/>
                    </w:rPr>
                    <w:t>《挥发性有机物无组织排放控制标准》（GB37822-2019）</w:t>
                  </w:r>
                </w:p>
              </w:tc>
            </w:tr>
            <w:tr w14:paraId="5BB529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9" w:type="pct"/>
                  <w:vMerge w:val="continue"/>
                  <w:tcBorders>
                    <w:tl2br w:val="nil"/>
                    <w:tr2bl w:val="nil"/>
                  </w:tcBorders>
                  <w:vAlign w:val="center"/>
                </w:tcPr>
                <w:p w14:paraId="78F9AEA0">
                  <w:pPr>
                    <w:widowControl/>
                    <w:adjustRightInd w:val="0"/>
                    <w:snapToGrid w:val="0"/>
                    <w:jc w:val="center"/>
                    <w:rPr>
                      <w:rFonts w:ascii="Times New Roman" w:hAnsi="Times New Roman" w:eastAsia="宋体" w:cs="Times New Roman"/>
                      <w:kern w:val="0"/>
                      <w:szCs w:val="21"/>
                    </w:rPr>
                  </w:pPr>
                </w:p>
              </w:tc>
              <w:tc>
                <w:tcPr>
                  <w:tcW w:w="707" w:type="pct"/>
                  <w:tcBorders>
                    <w:tl2br w:val="nil"/>
                    <w:tr2bl w:val="nil"/>
                  </w:tcBorders>
                  <w:vAlign w:val="center"/>
                </w:tcPr>
                <w:p w14:paraId="5DD0EEEE">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颗粒物</w:t>
                  </w:r>
                </w:p>
              </w:tc>
              <w:tc>
                <w:tcPr>
                  <w:tcW w:w="1157" w:type="pct"/>
                  <w:vMerge w:val="continue"/>
                  <w:tcBorders>
                    <w:tl2br w:val="nil"/>
                    <w:tr2bl w:val="nil"/>
                  </w:tcBorders>
                  <w:vAlign w:val="center"/>
                </w:tcPr>
                <w:p w14:paraId="2F03DC7E">
                  <w:pPr>
                    <w:snapToGrid w:val="0"/>
                    <w:jc w:val="center"/>
                    <w:rPr>
                      <w:rFonts w:ascii="Times New Roman" w:hAnsi="Times New Roman" w:cs="Times New Roman"/>
                      <w:kern w:val="0"/>
                      <w:szCs w:val="21"/>
                    </w:rPr>
                  </w:pPr>
                </w:p>
              </w:tc>
              <w:tc>
                <w:tcPr>
                  <w:tcW w:w="459" w:type="pct"/>
                  <w:vMerge w:val="continue"/>
                  <w:tcBorders>
                    <w:tl2br w:val="nil"/>
                    <w:tr2bl w:val="nil"/>
                  </w:tcBorders>
                  <w:vAlign w:val="center"/>
                </w:tcPr>
                <w:p w14:paraId="7E577683">
                  <w:pPr>
                    <w:widowControl/>
                    <w:adjustRightInd w:val="0"/>
                    <w:snapToGrid w:val="0"/>
                    <w:jc w:val="center"/>
                    <w:rPr>
                      <w:rFonts w:ascii="Times New Roman" w:hAnsi="Times New Roman" w:eastAsia="宋体" w:cs="Times New Roman"/>
                      <w:kern w:val="0"/>
                      <w:szCs w:val="21"/>
                    </w:rPr>
                  </w:pPr>
                </w:p>
              </w:tc>
              <w:tc>
                <w:tcPr>
                  <w:tcW w:w="530" w:type="pct"/>
                  <w:vMerge w:val="continue"/>
                  <w:tcBorders>
                    <w:tl2br w:val="nil"/>
                    <w:tr2bl w:val="nil"/>
                  </w:tcBorders>
                  <w:vAlign w:val="center"/>
                </w:tcPr>
                <w:p w14:paraId="68764FB6">
                  <w:pPr>
                    <w:widowControl/>
                    <w:adjustRightInd w:val="0"/>
                    <w:snapToGrid w:val="0"/>
                    <w:jc w:val="center"/>
                    <w:rPr>
                      <w:rFonts w:ascii="Times New Roman" w:hAnsi="Times New Roman" w:eastAsia="宋体" w:cs="Times New Roman"/>
                      <w:kern w:val="0"/>
                      <w:szCs w:val="21"/>
                    </w:rPr>
                  </w:pPr>
                </w:p>
              </w:tc>
              <w:tc>
                <w:tcPr>
                  <w:tcW w:w="1696" w:type="pct"/>
                  <w:tcBorders>
                    <w:tl2br w:val="nil"/>
                    <w:tr2bl w:val="nil"/>
                  </w:tcBorders>
                  <w:vAlign w:val="center"/>
                </w:tcPr>
                <w:p w14:paraId="3B02EB32">
                  <w:pPr>
                    <w:widowControl/>
                    <w:adjustRightInd w:val="0"/>
                    <w:snapToGrid w:val="0"/>
                    <w:jc w:val="center"/>
                    <w:rPr>
                      <w:rFonts w:ascii="Times New Roman" w:hAnsi="Times New Roman" w:cs="Times New Roman"/>
                      <w:szCs w:val="21"/>
                    </w:rPr>
                  </w:pPr>
                  <w:r>
                    <w:rPr>
                      <w:rFonts w:ascii="Times New Roman" w:hAnsi="Times New Roman" w:cs="Times New Roman"/>
                      <w:szCs w:val="21"/>
                    </w:rPr>
                    <w:t>《大气污染物综合排放标准》（GB</w:t>
                  </w:r>
                  <w:r>
                    <w:rPr>
                      <w:rFonts w:ascii="Times New Roman" w:hAnsi="Times New Roman" w:cs="Times New Roman"/>
                      <w:spacing w:val="2"/>
                      <w:szCs w:val="21"/>
                    </w:rPr>
                    <w:t>16297-1996</w:t>
                  </w:r>
                  <w:r>
                    <w:rPr>
                      <w:rFonts w:ascii="Times New Roman" w:hAnsi="Times New Roman" w:cs="Times New Roman"/>
                      <w:szCs w:val="21"/>
                    </w:rPr>
                    <w:t>）</w:t>
                  </w:r>
                </w:p>
              </w:tc>
            </w:tr>
            <w:tr w14:paraId="56B7C1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49" w:type="pct"/>
                  <w:vMerge w:val="continue"/>
                  <w:tcBorders>
                    <w:tl2br w:val="nil"/>
                    <w:tr2bl w:val="nil"/>
                  </w:tcBorders>
                  <w:vAlign w:val="center"/>
                </w:tcPr>
                <w:p w14:paraId="0611528F">
                  <w:pPr>
                    <w:widowControl/>
                    <w:adjustRightInd w:val="0"/>
                    <w:snapToGrid w:val="0"/>
                    <w:jc w:val="center"/>
                    <w:rPr>
                      <w:rFonts w:ascii="Times New Roman" w:hAnsi="Times New Roman" w:eastAsia="宋体" w:cs="Times New Roman"/>
                      <w:kern w:val="0"/>
                      <w:szCs w:val="21"/>
                    </w:rPr>
                  </w:pPr>
                </w:p>
              </w:tc>
              <w:tc>
                <w:tcPr>
                  <w:tcW w:w="707" w:type="pct"/>
                  <w:tcBorders>
                    <w:tl2br w:val="nil"/>
                    <w:tr2bl w:val="nil"/>
                  </w:tcBorders>
                  <w:vAlign w:val="center"/>
                </w:tcPr>
                <w:p w14:paraId="1313CCBF">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非甲烷</w:t>
                  </w:r>
                </w:p>
                <w:p w14:paraId="3DA86545">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总烃</w:t>
                  </w:r>
                </w:p>
              </w:tc>
              <w:tc>
                <w:tcPr>
                  <w:tcW w:w="1157" w:type="pct"/>
                  <w:tcBorders>
                    <w:tl2br w:val="nil"/>
                    <w:tr2bl w:val="nil"/>
                  </w:tcBorders>
                  <w:vAlign w:val="center"/>
                </w:tcPr>
                <w:p w14:paraId="36FB3762">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厂区内</w:t>
                  </w:r>
                </w:p>
              </w:tc>
              <w:tc>
                <w:tcPr>
                  <w:tcW w:w="459" w:type="pct"/>
                  <w:tcBorders>
                    <w:tl2br w:val="nil"/>
                    <w:tr2bl w:val="nil"/>
                  </w:tcBorders>
                  <w:vAlign w:val="center"/>
                </w:tcPr>
                <w:p w14:paraId="64555A7F">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1个</w:t>
                  </w:r>
                </w:p>
              </w:tc>
              <w:tc>
                <w:tcPr>
                  <w:tcW w:w="530" w:type="pct"/>
                  <w:tcBorders>
                    <w:tl2br w:val="nil"/>
                    <w:tr2bl w:val="nil"/>
                  </w:tcBorders>
                  <w:vAlign w:val="center"/>
                </w:tcPr>
                <w:p w14:paraId="199D6685">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一年</w:t>
                  </w:r>
                </w:p>
                <w:p w14:paraId="321916A0">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一次</w:t>
                  </w:r>
                </w:p>
              </w:tc>
              <w:tc>
                <w:tcPr>
                  <w:tcW w:w="1696" w:type="pct"/>
                  <w:tcBorders>
                    <w:tl2br w:val="nil"/>
                    <w:tr2bl w:val="nil"/>
                  </w:tcBorders>
                  <w:vAlign w:val="center"/>
                </w:tcPr>
                <w:p w14:paraId="1CE21E95">
                  <w:pPr>
                    <w:widowControl/>
                    <w:adjustRightInd w:val="0"/>
                    <w:snapToGrid w:val="0"/>
                    <w:jc w:val="center"/>
                    <w:rPr>
                      <w:rFonts w:ascii="Times New Roman" w:hAnsi="Times New Roman" w:cs="Times New Roman"/>
                      <w:szCs w:val="21"/>
                    </w:rPr>
                  </w:pPr>
                  <w:r>
                    <w:rPr>
                      <w:rFonts w:ascii="Times New Roman" w:hAnsi="Times New Roman" w:cs="Times New Roman"/>
                      <w:kern w:val="0"/>
                      <w:szCs w:val="21"/>
                    </w:rPr>
                    <w:t>《挥发性有机物无组织排放控制标准》（GB37822-2019）</w:t>
                  </w:r>
                </w:p>
              </w:tc>
            </w:tr>
          </w:tbl>
          <w:p w14:paraId="79866C64">
            <w:pPr>
              <w:adjustRightInd w:val="0"/>
              <w:snapToGrid w:val="0"/>
              <w:spacing w:line="360" w:lineRule="auto"/>
              <w:ind w:firstLine="482"/>
              <w:rPr>
                <w:rFonts w:ascii="Times New Roman" w:hAnsi="Times New Roman" w:eastAsia="宋体" w:cs="Times New Roman"/>
                <w:b/>
                <w:kern w:val="0"/>
                <w:sz w:val="24"/>
              </w:rPr>
            </w:pPr>
            <w:r>
              <w:rPr>
                <w:rFonts w:ascii="Times New Roman" w:hAnsi="Times New Roman" w:eastAsia="宋体" w:cs="Times New Roman"/>
                <w:b/>
                <w:kern w:val="0"/>
                <w:sz w:val="24"/>
              </w:rPr>
              <w:t>二、废水</w:t>
            </w:r>
          </w:p>
          <w:p w14:paraId="7165F9D8">
            <w:pPr>
              <w:pStyle w:val="25"/>
              <w:adjustRightInd w:val="0"/>
              <w:snapToGrid w:val="0"/>
              <w:spacing w:line="360" w:lineRule="auto"/>
              <w:ind w:firstLine="480"/>
              <w:rPr>
                <w:rFonts w:ascii="Times New Roman" w:hAnsi="Times New Roman" w:cs="Times New Roman"/>
                <w:sz w:val="24"/>
              </w:rPr>
            </w:pPr>
            <w:r>
              <w:rPr>
                <w:rFonts w:ascii="Times New Roman" w:hAnsi="Times New Roman" w:cs="Times New Roman"/>
                <w:sz w:val="24"/>
              </w:rPr>
              <w:t>本项目</w:t>
            </w:r>
            <w:r>
              <w:rPr>
                <w:rFonts w:hint="eastAsia" w:ascii="Times New Roman" w:hAnsi="Times New Roman" w:cs="Times New Roman"/>
                <w:sz w:val="24"/>
              </w:rPr>
              <w:t>为扩建项目，人员无变动，无新增生活污水。原有项目</w:t>
            </w:r>
            <w:r>
              <w:rPr>
                <w:rFonts w:ascii="Times New Roman" w:hAnsi="Times New Roman" w:cs="Times New Roman"/>
                <w:sz w:val="24"/>
              </w:rPr>
              <w:t>生活污水</w:t>
            </w:r>
            <w:r>
              <w:rPr>
                <w:rFonts w:hint="eastAsia" w:ascii="Times New Roman" w:hAnsi="Times New Roman" w:cs="Times New Roman"/>
                <w:sz w:val="24"/>
              </w:rPr>
              <w:t>（0.84</w:t>
            </w:r>
            <w:r>
              <w:rPr>
                <w:rFonts w:ascii="Times New Roman" w:hAnsi="Times New Roman" w:cs="Times New Roman"/>
                <w:sz w:val="24"/>
              </w:rPr>
              <w:t>m</w:t>
            </w:r>
            <w:r>
              <w:rPr>
                <w:rFonts w:ascii="Times New Roman" w:hAnsi="Times New Roman" w:cs="Times New Roman"/>
                <w:sz w:val="24"/>
                <w:vertAlign w:val="superscript"/>
              </w:rPr>
              <w:t>3</w:t>
            </w:r>
            <w:r>
              <w:rPr>
                <w:rFonts w:ascii="Times New Roman" w:hAnsi="Times New Roman" w:cs="Times New Roman"/>
                <w:sz w:val="24"/>
              </w:rPr>
              <w:t>/d，</w:t>
            </w:r>
            <w:r>
              <w:rPr>
                <w:rFonts w:hint="eastAsia" w:ascii="Times New Roman" w:hAnsi="Times New Roman" w:cs="Times New Roman"/>
                <w:sz w:val="24"/>
              </w:rPr>
              <w:t>252</w:t>
            </w:r>
            <w:r>
              <w:rPr>
                <w:rFonts w:ascii="Times New Roman" w:hAnsi="Times New Roman" w:cs="Times New Roman"/>
                <w:sz w:val="24"/>
              </w:rPr>
              <w:t>m</w:t>
            </w:r>
            <w:r>
              <w:rPr>
                <w:rFonts w:ascii="Times New Roman" w:hAnsi="Times New Roman" w:cs="Times New Roman"/>
                <w:sz w:val="24"/>
                <w:vertAlign w:val="superscript"/>
              </w:rPr>
              <w:t>3</w:t>
            </w:r>
            <w:r>
              <w:rPr>
                <w:rFonts w:ascii="Times New Roman" w:hAnsi="Times New Roman" w:cs="Times New Roman"/>
                <w:sz w:val="24"/>
              </w:rPr>
              <w:t>/a</w:t>
            </w:r>
            <w:r>
              <w:rPr>
                <w:rFonts w:hint="eastAsia" w:ascii="Times New Roman" w:hAnsi="Times New Roman" w:cs="Times New Roman"/>
                <w:sz w:val="24"/>
              </w:rPr>
              <w:t>）</w:t>
            </w:r>
            <w:r>
              <w:rPr>
                <w:rFonts w:ascii="Times New Roman" w:hAnsi="Times New Roman" w:cs="Times New Roman"/>
                <w:sz w:val="24"/>
              </w:rPr>
              <w:t>经过</w:t>
            </w:r>
            <w:r>
              <w:rPr>
                <w:rFonts w:hint="eastAsia" w:ascii="Times New Roman" w:hAnsi="Times New Roman" w:cs="Times New Roman"/>
                <w:sz w:val="24"/>
              </w:rPr>
              <w:t>宝鸡市秦成工贸（集团）有限责任公司现有</w:t>
            </w:r>
            <w:r>
              <w:rPr>
                <w:rFonts w:ascii="Times New Roman" w:hAnsi="Times New Roman" w:cs="Times New Roman"/>
                <w:sz w:val="24"/>
              </w:rPr>
              <w:t>化粪池处理后通过市政污水管网排入</w:t>
            </w:r>
            <w:r>
              <w:rPr>
                <w:rFonts w:hint="eastAsia" w:ascii="Times New Roman" w:hAnsi="Times New Roman" w:cs="Times New Roman"/>
                <w:sz w:val="24"/>
              </w:rPr>
              <w:t>宝鸡高新污水处理厂</w:t>
            </w:r>
            <w:r>
              <w:rPr>
                <w:rFonts w:ascii="Times New Roman" w:hAnsi="Times New Roman" w:cs="Times New Roman"/>
                <w:sz w:val="24"/>
              </w:rPr>
              <w:t>处理后达标排放</w:t>
            </w:r>
            <w:r>
              <w:rPr>
                <w:rFonts w:hint="eastAsia" w:ascii="Times New Roman" w:hAnsi="Times New Roman" w:cs="Times New Roman"/>
                <w:sz w:val="24"/>
              </w:rPr>
              <w:t>。</w:t>
            </w:r>
          </w:p>
          <w:p w14:paraId="0BBDA01A">
            <w:pPr>
              <w:ind w:firstLine="480" w:firstLineChars="200"/>
              <w:rPr>
                <w:rFonts w:ascii="Times New Roman" w:hAnsi="Times New Roman" w:eastAsia="宋体" w:cs="Times New Roman"/>
                <w:sz w:val="24"/>
              </w:rPr>
            </w:pPr>
            <w:r>
              <w:rPr>
                <w:rFonts w:ascii="Times New Roman" w:hAnsi="Times New Roman" w:cs="Times New Roman"/>
                <w:sz w:val="24"/>
              </w:rPr>
              <w:t>根据水平衡分析，</w:t>
            </w:r>
            <w:r>
              <w:rPr>
                <w:rFonts w:hint="eastAsia" w:ascii="Times New Roman" w:hAnsi="Times New Roman" w:eastAsia="宋体" w:cs="Times New Roman"/>
                <w:sz w:val="24"/>
              </w:rPr>
              <w:t>喷漆枪头清洗废水回用至调漆工序，不外排，即</w:t>
            </w:r>
            <w:r>
              <w:rPr>
                <w:rFonts w:hint="eastAsia" w:ascii="Times New Roman" w:hAnsi="Times New Roman" w:cs="Times New Roman"/>
                <w:sz w:val="24"/>
              </w:rPr>
              <w:t>生产废水不外排。</w:t>
            </w:r>
          </w:p>
          <w:p w14:paraId="0B4A7EB2">
            <w:pPr>
              <w:adjustRightInd w:val="0"/>
              <w:snapToGrid w:val="0"/>
              <w:spacing w:line="360" w:lineRule="auto"/>
              <w:ind w:firstLine="482" w:firstLineChars="200"/>
              <w:rPr>
                <w:rFonts w:ascii="Times New Roman" w:hAnsi="Times New Roman" w:eastAsia="宋体" w:cs="Times New Roman"/>
                <w:b/>
                <w:sz w:val="24"/>
              </w:rPr>
            </w:pPr>
            <w:r>
              <w:rPr>
                <w:rFonts w:ascii="Times New Roman" w:hAnsi="Times New Roman" w:eastAsia="宋体" w:cs="Times New Roman"/>
                <w:b/>
                <w:sz w:val="24"/>
              </w:rPr>
              <w:t>三、噪声</w:t>
            </w:r>
          </w:p>
          <w:p w14:paraId="79C76190">
            <w:pPr>
              <w:adjustRightInd w:val="0"/>
              <w:snapToGrid w:val="0"/>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1、噪声源</w:t>
            </w:r>
          </w:p>
          <w:p w14:paraId="38F3BF65">
            <w:pPr>
              <w:adjustRightInd w:val="0"/>
              <w:snapToGrid w:val="0"/>
              <w:spacing w:line="360" w:lineRule="auto"/>
              <w:ind w:firstLine="480" w:firstLineChars="200"/>
              <w:rPr>
                <w:rFonts w:ascii="Times New Roman" w:hAnsi="Times New Roman" w:cs="Times New Roman"/>
                <w:snapToGrid w:val="0"/>
                <w:kern w:val="0"/>
                <w:sz w:val="24"/>
              </w:rPr>
            </w:pPr>
            <w:r>
              <w:rPr>
                <w:rFonts w:ascii="Times New Roman" w:hAnsi="Times New Roman" w:cs="Times New Roman"/>
                <w:sz w:val="24"/>
              </w:rPr>
              <w:t>本项目运营期主要噪声源为车间内机械设备运行过程中产生的</w:t>
            </w:r>
            <w:r>
              <w:rPr>
                <w:rFonts w:ascii="Times New Roman" w:hAnsi="Times New Roman" w:cs="Times New Roman"/>
                <w:snapToGrid w:val="0"/>
                <w:kern w:val="0"/>
                <w:sz w:val="24"/>
              </w:rPr>
              <w:t>机械噪声，生产设备均位于1个车间内，</w:t>
            </w:r>
            <w:r>
              <w:rPr>
                <w:rFonts w:hint="eastAsia" w:cs="Times New Roman"/>
                <w:snapToGrid w:val="0"/>
                <w:kern w:val="0"/>
                <w:sz w:val="24"/>
              </w:rPr>
              <w:t>风</w:t>
            </w:r>
            <w:r>
              <w:rPr>
                <w:rFonts w:hint="eastAsia" w:ascii="Times New Roman" w:hAnsi="Times New Roman" w:cs="Times New Roman"/>
                <w:sz w:val="24"/>
              </w:rPr>
              <w:t>机位于车间外，</w:t>
            </w:r>
            <w:r>
              <w:rPr>
                <w:rFonts w:ascii="Times New Roman" w:hAnsi="Times New Roman" w:cs="Times New Roman"/>
                <w:sz w:val="24"/>
              </w:rPr>
              <w:t>依据《环境工程手册环境噪声控制卷》</w:t>
            </w:r>
            <w:r>
              <w:rPr>
                <w:rFonts w:hint="eastAsia" w:ascii="Times New Roman" w:hAnsi="Times New Roman" w:cs="Times New Roman"/>
                <w:sz w:val="24"/>
              </w:rPr>
              <w:t>以及</w:t>
            </w:r>
            <w:r>
              <w:rPr>
                <w:rFonts w:ascii="Times New Roman" w:hAnsi="Times New Roman" w:cs="Times New Roman"/>
                <w:sz w:val="24"/>
              </w:rPr>
              <w:t>《环境噪声与振动控制工程 技术导则》（HJ2034—2013）附录A表A.1常见环境噪声污染源及其声功率</w:t>
            </w:r>
            <w:r>
              <w:rPr>
                <w:rFonts w:hint="eastAsia" w:ascii="Times New Roman" w:hAnsi="Times New Roman" w:cs="Times New Roman"/>
                <w:sz w:val="24"/>
              </w:rPr>
              <w:t>，</w:t>
            </w:r>
            <w:r>
              <w:rPr>
                <w:rFonts w:ascii="Times New Roman" w:hAnsi="Times New Roman" w:cs="Times New Roman"/>
                <w:sz w:val="24"/>
              </w:rPr>
              <w:t>噪声源强在75dB（A）</w:t>
            </w:r>
            <w:r>
              <w:rPr>
                <w:rFonts w:hint="eastAsia" w:ascii="Times New Roman" w:hAnsi="Times New Roman" w:cs="Times New Roman"/>
                <w:sz w:val="24"/>
              </w:rPr>
              <w:t>—85</w:t>
            </w:r>
            <w:r>
              <w:rPr>
                <w:rFonts w:ascii="Times New Roman" w:hAnsi="Times New Roman" w:cs="Times New Roman"/>
                <w:sz w:val="24"/>
              </w:rPr>
              <w:t>dB（A）之</w:t>
            </w:r>
            <w:r>
              <w:rPr>
                <w:rFonts w:ascii="Times New Roman" w:hAnsi="Times New Roman" w:cs="Times New Roman"/>
                <w:snapToGrid w:val="0"/>
                <w:kern w:val="0"/>
                <w:sz w:val="24"/>
              </w:rPr>
              <w:t>间。</w:t>
            </w:r>
          </w:p>
          <w:p w14:paraId="367499E7">
            <w:pPr>
              <w:adjustRightInd w:val="0"/>
              <w:snapToGrid w:val="0"/>
              <w:spacing w:line="360" w:lineRule="auto"/>
              <w:ind w:firstLine="480" w:firstLineChars="200"/>
              <w:rPr>
                <w:rFonts w:ascii="Times New Roman" w:hAnsi="Times New Roman" w:eastAsia="宋体" w:cs="Times New Roman"/>
                <w:snapToGrid w:val="0"/>
                <w:kern w:val="0"/>
                <w:sz w:val="24"/>
              </w:rPr>
            </w:pPr>
            <w:r>
              <w:rPr>
                <w:rFonts w:ascii="Times New Roman" w:hAnsi="Times New Roman" w:cs="Times New Roman"/>
                <w:snapToGrid w:val="0"/>
                <w:kern w:val="0"/>
                <w:sz w:val="24"/>
              </w:rPr>
              <w:t>通过类比调查结果分析，本项目主要噪声源强如下：</w:t>
            </w:r>
          </w:p>
          <w:p w14:paraId="5A4F93ED">
            <w:pPr>
              <w:widowControl/>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pacing w:val="-3"/>
                <w:szCs w:val="21"/>
                <w:lang w:val="zh-CN" w:bidi="zh-CN"/>
              </w:rPr>
              <w:t>表</w:t>
            </w:r>
            <w:r>
              <w:rPr>
                <w:rFonts w:ascii="Times New Roman" w:hAnsi="Times New Roman" w:eastAsia="宋体" w:cs="Times New Roman"/>
                <w:b/>
                <w:bCs/>
                <w:spacing w:val="-3"/>
                <w:szCs w:val="21"/>
                <w:lang w:bidi="zh-CN"/>
              </w:rPr>
              <w:t>4-</w:t>
            </w:r>
            <w:r>
              <w:rPr>
                <w:rFonts w:hint="eastAsia" w:ascii="Times New Roman" w:hAnsi="Times New Roman" w:eastAsia="宋体" w:cs="Times New Roman"/>
                <w:b/>
                <w:bCs/>
                <w:spacing w:val="-3"/>
                <w:szCs w:val="21"/>
                <w:lang w:bidi="zh-CN"/>
              </w:rPr>
              <w:t>9</w:t>
            </w:r>
            <w:r>
              <w:rPr>
                <w:rFonts w:ascii="Times New Roman" w:hAnsi="Times New Roman" w:eastAsia="宋体" w:cs="Times New Roman"/>
                <w:b/>
                <w:bCs/>
                <w:spacing w:val="-3"/>
                <w:szCs w:val="21"/>
                <w:lang w:val="zh-CN" w:bidi="zh-CN"/>
              </w:rPr>
              <w:t xml:space="preserve"> </w:t>
            </w:r>
            <w:r>
              <w:rPr>
                <w:rFonts w:ascii="Times New Roman" w:hAnsi="Times New Roman" w:eastAsia="宋体" w:cs="Times New Roman"/>
                <w:b/>
                <w:bCs/>
                <w:spacing w:val="-3"/>
                <w:szCs w:val="21"/>
                <w:lang w:bidi="zh-CN"/>
              </w:rPr>
              <w:t xml:space="preserve"> </w:t>
            </w:r>
            <w:r>
              <w:rPr>
                <w:rFonts w:hint="eastAsia" w:ascii="Times New Roman" w:hAnsi="Times New Roman" w:eastAsia="宋体" w:cs="Times New Roman"/>
                <w:b/>
                <w:bCs/>
                <w:spacing w:val="-3"/>
                <w:szCs w:val="21"/>
                <w:lang w:bidi="zh-CN"/>
              </w:rPr>
              <w:t>本</w:t>
            </w:r>
            <w:r>
              <w:rPr>
                <w:rFonts w:ascii="Times New Roman" w:hAnsi="Times New Roman" w:eastAsia="宋体" w:cs="Times New Roman"/>
                <w:b/>
                <w:bCs/>
                <w:szCs w:val="21"/>
              </w:rPr>
              <w:t>项目主要噪声源一览表   单位：dB（A）</w:t>
            </w:r>
          </w:p>
          <w:tbl>
            <w:tblPr>
              <w:tblStyle w:val="26"/>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485"/>
              <w:gridCol w:w="846"/>
              <w:gridCol w:w="983"/>
              <w:gridCol w:w="788"/>
              <w:gridCol w:w="1556"/>
              <w:gridCol w:w="860"/>
              <w:gridCol w:w="720"/>
              <w:gridCol w:w="667"/>
            </w:tblGrid>
            <w:tr w14:paraId="75F1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5" w:type="pct"/>
                  <w:vAlign w:val="center"/>
                </w:tcPr>
                <w:p w14:paraId="65BEBC1D">
                  <w:pPr>
                    <w:adjustRightInd w:val="0"/>
                    <w:snapToGrid w:val="0"/>
                    <w:jc w:val="center"/>
                    <w:rPr>
                      <w:rFonts w:ascii="Times New Roman" w:hAnsi="Times New Roman" w:cs="Times New Roman"/>
                      <w:szCs w:val="21"/>
                    </w:rPr>
                  </w:pPr>
                  <w:r>
                    <w:rPr>
                      <w:rFonts w:ascii="Times New Roman" w:hAnsi="Times New Roman" w:cs="Times New Roman"/>
                      <w:szCs w:val="21"/>
                    </w:rPr>
                    <w:t>序号</w:t>
                  </w:r>
                </w:p>
              </w:tc>
              <w:tc>
                <w:tcPr>
                  <w:tcW w:w="921" w:type="pct"/>
                  <w:vAlign w:val="center"/>
                </w:tcPr>
                <w:p w14:paraId="7FFD6F8E">
                  <w:pPr>
                    <w:adjustRightInd w:val="0"/>
                    <w:snapToGrid w:val="0"/>
                    <w:jc w:val="center"/>
                    <w:rPr>
                      <w:rFonts w:ascii="Times New Roman" w:hAnsi="Times New Roman" w:cs="Times New Roman"/>
                      <w:szCs w:val="21"/>
                    </w:rPr>
                  </w:pPr>
                  <w:r>
                    <w:rPr>
                      <w:rFonts w:ascii="Times New Roman" w:hAnsi="Times New Roman" w:cs="Times New Roman"/>
                      <w:szCs w:val="21"/>
                    </w:rPr>
                    <w:t>设备名称</w:t>
                  </w:r>
                </w:p>
              </w:tc>
              <w:tc>
                <w:tcPr>
                  <w:tcW w:w="390" w:type="pct"/>
                  <w:vAlign w:val="center"/>
                </w:tcPr>
                <w:p w14:paraId="48FD8309">
                  <w:pPr>
                    <w:adjustRightInd w:val="0"/>
                    <w:snapToGrid w:val="0"/>
                    <w:jc w:val="center"/>
                    <w:rPr>
                      <w:rFonts w:ascii="Times New Roman" w:hAnsi="Times New Roman" w:cs="Times New Roman"/>
                      <w:szCs w:val="21"/>
                    </w:rPr>
                  </w:pPr>
                  <w:r>
                    <w:rPr>
                      <w:rFonts w:ascii="Times New Roman" w:hAnsi="Times New Roman" w:cs="Times New Roman"/>
                      <w:szCs w:val="21"/>
                    </w:rPr>
                    <w:t>台数（套）</w:t>
                  </w:r>
                </w:p>
              </w:tc>
              <w:tc>
                <w:tcPr>
                  <w:tcW w:w="614" w:type="pct"/>
                  <w:vAlign w:val="center"/>
                </w:tcPr>
                <w:p w14:paraId="2059D66D">
                  <w:pPr>
                    <w:adjustRightInd w:val="0"/>
                    <w:snapToGrid w:val="0"/>
                    <w:jc w:val="center"/>
                    <w:rPr>
                      <w:rFonts w:ascii="Times New Roman" w:hAnsi="Times New Roman" w:cs="Times New Roman"/>
                      <w:szCs w:val="21"/>
                    </w:rPr>
                  </w:pPr>
                  <w:r>
                    <w:rPr>
                      <w:rFonts w:ascii="Times New Roman" w:hAnsi="Times New Roman" w:cs="Times New Roman"/>
                      <w:szCs w:val="21"/>
                    </w:rPr>
                    <w:t>单台设备声压级dB（A）</w:t>
                  </w:r>
                </w:p>
              </w:tc>
              <w:tc>
                <w:tcPr>
                  <w:tcW w:w="420" w:type="pct"/>
                  <w:vAlign w:val="center"/>
                </w:tcPr>
                <w:p w14:paraId="4D498CE2">
                  <w:pPr>
                    <w:adjustRightInd w:val="0"/>
                    <w:snapToGrid w:val="0"/>
                    <w:jc w:val="center"/>
                    <w:rPr>
                      <w:rFonts w:ascii="Times New Roman" w:hAnsi="Times New Roman" w:cs="Times New Roman"/>
                      <w:szCs w:val="21"/>
                    </w:rPr>
                  </w:pPr>
                  <w:r>
                    <w:rPr>
                      <w:rFonts w:ascii="Times New Roman" w:hAnsi="Times New Roman" w:cs="Times New Roman"/>
                      <w:szCs w:val="21"/>
                    </w:rPr>
                    <w:t>总声压级dB（A）</w:t>
                  </w:r>
                </w:p>
              </w:tc>
              <w:tc>
                <w:tcPr>
                  <w:tcW w:w="957" w:type="pct"/>
                  <w:vAlign w:val="center"/>
                </w:tcPr>
                <w:p w14:paraId="1DA99071">
                  <w:pPr>
                    <w:adjustRightInd w:val="0"/>
                    <w:snapToGrid w:val="0"/>
                    <w:jc w:val="center"/>
                    <w:rPr>
                      <w:rFonts w:ascii="Times New Roman" w:hAnsi="Times New Roman" w:cs="Times New Roman"/>
                      <w:szCs w:val="21"/>
                    </w:rPr>
                  </w:pPr>
                  <w:r>
                    <w:rPr>
                      <w:rFonts w:ascii="Times New Roman" w:hAnsi="Times New Roman" w:cs="Times New Roman"/>
                      <w:szCs w:val="21"/>
                    </w:rPr>
                    <w:t>减噪措施</w:t>
                  </w:r>
                </w:p>
              </w:tc>
              <w:tc>
                <w:tcPr>
                  <w:tcW w:w="540" w:type="pct"/>
                  <w:vAlign w:val="center"/>
                </w:tcPr>
                <w:p w14:paraId="4521D329">
                  <w:pPr>
                    <w:adjustRightInd w:val="0"/>
                    <w:snapToGrid w:val="0"/>
                    <w:jc w:val="center"/>
                    <w:rPr>
                      <w:rFonts w:ascii="Times New Roman" w:hAnsi="Times New Roman" w:cs="Times New Roman"/>
                      <w:szCs w:val="21"/>
                    </w:rPr>
                  </w:pPr>
                  <w:r>
                    <w:rPr>
                      <w:rFonts w:ascii="Times New Roman" w:hAnsi="Times New Roman" w:cs="Times New Roman"/>
                      <w:szCs w:val="21"/>
                    </w:rPr>
                    <w:t>排放强度声级dB（A）</w:t>
                  </w:r>
                </w:p>
              </w:tc>
              <w:tc>
                <w:tcPr>
                  <w:tcW w:w="456" w:type="pct"/>
                  <w:vAlign w:val="center"/>
                </w:tcPr>
                <w:p w14:paraId="04E23E92">
                  <w:pPr>
                    <w:adjustRightInd w:val="0"/>
                    <w:snapToGrid w:val="0"/>
                    <w:jc w:val="center"/>
                    <w:rPr>
                      <w:rFonts w:ascii="Times New Roman" w:hAnsi="Times New Roman" w:cs="Times New Roman"/>
                      <w:szCs w:val="21"/>
                    </w:rPr>
                  </w:pPr>
                  <w:r>
                    <w:rPr>
                      <w:rFonts w:ascii="Times New Roman" w:hAnsi="Times New Roman" w:cs="Times New Roman"/>
                      <w:szCs w:val="21"/>
                    </w:rPr>
                    <w:t>位置</w:t>
                  </w:r>
                </w:p>
              </w:tc>
              <w:tc>
                <w:tcPr>
                  <w:tcW w:w="424" w:type="pct"/>
                  <w:vAlign w:val="center"/>
                </w:tcPr>
                <w:p w14:paraId="07C24C00">
                  <w:pPr>
                    <w:adjustRightInd w:val="0"/>
                    <w:snapToGrid w:val="0"/>
                    <w:jc w:val="center"/>
                    <w:rPr>
                      <w:rFonts w:ascii="Times New Roman" w:hAnsi="Times New Roman" w:cs="Times New Roman"/>
                      <w:szCs w:val="21"/>
                    </w:rPr>
                  </w:pPr>
                  <w:r>
                    <w:rPr>
                      <w:rFonts w:hint="eastAsia" w:ascii="Times New Roman" w:hAnsi="Times New Roman" w:cs="Times New Roman"/>
                      <w:szCs w:val="21"/>
                    </w:rPr>
                    <w:t>运行时间</w:t>
                  </w:r>
                </w:p>
              </w:tc>
            </w:tr>
            <w:tr w14:paraId="47D00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5" w:type="pct"/>
                  <w:vAlign w:val="center"/>
                </w:tcPr>
                <w:p w14:paraId="437FE74F">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921" w:type="pct"/>
                  <w:vAlign w:val="center"/>
                </w:tcPr>
                <w:p w14:paraId="5F8B6A4A">
                  <w:pPr>
                    <w:adjustRightInd w:val="0"/>
                    <w:snapToGrid w:val="0"/>
                    <w:jc w:val="center"/>
                    <w:rPr>
                      <w:rFonts w:ascii="Times New Roman" w:hAnsi="Times New Roman" w:cs="Times New Roman"/>
                      <w:szCs w:val="21"/>
                    </w:rPr>
                  </w:pPr>
                  <w:r>
                    <w:rPr>
                      <w:rFonts w:hint="eastAsia" w:ascii="Times New Roman" w:hAnsi="Times New Roman" w:cs="Times New Roman"/>
                      <w:szCs w:val="21"/>
                    </w:rPr>
                    <w:t>自动喷漆设备</w:t>
                  </w:r>
                </w:p>
              </w:tc>
              <w:tc>
                <w:tcPr>
                  <w:tcW w:w="390" w:type="pct"/>
                  <w:vAlign w:val="center"/>
                </w:tcPr>
                <w:p w14:paraId="064E4FDB">
                  <w:pPr>
                    <w:adjustRightInd w:val="0"/>
                    <w:snapToGrid w:val="0"/>
                    <w:jc w:val="center"/>
                    <w:rPr>
                      <w:rFonts w:ascii="Times New Roman" w:hAnsi="Times New Roman" w:cs="Times New Roman"/>
                      <w:szCs w:val="21"/>
                    </w:rPr>
                  </w:pPr>
                  <w:r>
                    <w:rPr>
                      <w:rFonts w:hint="eastAsia" w:ascii="Times New Roman" w:hAnsi="Times New Roman" w:cs="Times New Roman"/>
                      <w:szCs w:val="21"/>
                    </w:rPr>
                    <w:t>1</w:t>
                  </w:r>
                </w:p>
              </w:tc>
              <w:tc>
                <w:tcPr>
                  <w:tcW w:w="614" w:type="pct"/>
                  <w:vAlign w:val="center"/>
                </w:tcPr>
                <w:p w14:paraId="4139B730">
                  <w:pPr>
                    <w:adjustRightInd w:val="0"/>
                    <w:snapToGrid w:val="0"/>
                    <w:jc w:val="center"/>
                    <w:rPr>
                      <w:rFonts w:ascii="Times New Roman" w:hAnsi="Times New Roman" w:cs="Times New Roman"/>
                      <w:szCs w:val="21"/>
                    </w:rPr>
                  </w:pPr>
                  <w:r>
                    <w:rPr>
                      <w:rFonts w:hint="eastAsia" w:ascii="Times New Roman" w:hAnsi="Times New Roman" w:cs="Times New Roman"/>
                      <w:szCs w:val="21"/>
                    </w:rPr>
                    <w:t>75</w:t>
                  </w:r>
                </w:p>
              </w:tc>
              <w:tc>
                <w:tcPr>
                  <w:tcW w:w="420" w:type="pct"/>
                  <w:vAlign w:val="center"/>
                </w:tcPr>
                <w:p w14:paraId="5775012E">
                  <w:pPr>
                    <w:adjustRightInd w:val="0"/>
                    <w:snapToGrid w:val="0"/>
                    <w:jc w:val="center"/>
                    <w:rPr>
                      <w:rFonts w:ascii="Times New Roman" w:hAnsi="Times New Roman" w:cs="Times New Roman"/>
                      <w:szCs w:val="21"/>
                    </w:rPr>
                  </w:pPr>
                  <w:r>
                    <w:rPr>
                      <w:rFonts w:hint="eastAsia" w:ascii="Times New Roman" w:hAnsi="Times New Roman" w:cs="Times New Roman"/>
                      <w:szCs w:val="21"/>
                    </w:rPr>
                    <w:t>75</w:t>
                  </w:r>
                </w:p>
              </w:tc>
              <w:tc>
                <w:tcPr>
                  <w:tcW w:w="957" w:type="pct"/>
                  <w:vMerge w:val="restart"/>
                  <w:vAlign w:val="center"/>
                </w:tcPr>
                <w:p w14:paraId="1317EDCF">
                  <w:pPr>
                    <w:adjustRightInd w:val="0"/>
                    <w:snapToGrid w:val="0"/>
                    <w:jc w:val="center"/>
                    <w:rPr>
                      <w:rFonts w:ascii="Times New Roman" w:hAnsi="Times New Roman" w:cs="Times New Roman"/>
                      <w:szCs w:val="21"/>
                    </w:rPr>
                  </w:pPr>
                  <w:r>
                    <w:rPr>
                      <w:rFonts w:ascii="Times New Roman" w:hAnsi="Times New Roman" w:cs="Times New Roman"/>
                      <w:szCs w:val="21"/>
                    </w:rPr>
                    <w:t>基础减振、厂房隔声等</w:t>
                  </w:r>
                </w:p>
              </w:tc>
              <w:tc>
                <w:tcPr>
                  <w:tcW w:w="540" w:type="pct"/>
                  <w:vAlign w:val="center"/>
                </w:tcPr>
                <w:p w14:paraId="74CA3C6A">
                  <w:pPr>
                    <w:adjustRightInd w:val="0"/>
                    <w:snapToGrid w:val="0"/>
                    <w:jc w:val="center"/>
                    <w:rPr>
                      <w:rFonts w:ascii="Times New Roman" w:hAnsi="Times New Roman" w:cs="Times New Roman"/>
                      <w:szCs w:val="21"/>
                    </w:rPr>
                  </w:pPr>
                  <w:r>
                    <w:rPr>
                      <w:rFonts w:hint="eastAsia" w:ascii="Times New Roman" w:hAnsi="Times New Roman" w:cs="Times New Roman"/>
                      <w:szCs w:val="21"/>
                    </w:rPr>
                    <w:t>55</w:t>
                  </w:r>
                </w:p>
              </w:tc>
              <w:tc>
                <w:tcPr>
                  <w:tcW w:w="456" w:type="pct"/>
                  <w:vAlign w:val="center"/>
                </w:tcPr>
                <w:p w14:paraId="1065DD49">
                  <w:pPr>
                    <w:adjustRightInd w:val="0"/>
                    <w:snapToGrid w:val="0"/>
                    <w:jc w:val="center"/>
                    <w:rPr>
                      <w:rFonts w:ascii="Times New Roman" w:hAnsi="Times New Roman" w:cs="Times New Roman"/>
                      <w:szCs w:val="21"/>
                    </w:rPr>
                  </w:pPr>
                  <w:r>
                    <w:rPr>
                      <w:rFonts w:ascii="Times New Roman" w:hAnsi="Times New Roman" w:cs="Times New Roman"/>
                      <w:szCs w:val="21"/>
                    </w:rPr>
                    <w:t>室内</w:t>
                  </w:r>
                </w:p>
              </w:tc>
              <w:tc>
                <w:tcPr>
                  <w:tcW w:w="424" w:type="pct"/>
                  <w:vMerge w:val="restart"/>
                  <w:vAlign w:val="center"/>
                </w:tcPr>
                <w:p w14:paraId="5E9D2B51">
                  <w:pPr>
                    <w:adjustRightInd w:val="0"/>
                    <w:snapToGrid w:val="0"/>
                    <w:jc w:val="center"/>
                    <w:rPr>
                      <w:rFonts w:ascii="Times New Roman" w:hAnsi="Times New Roman" w:cs="Times New Roman"/>
                      <w:szCs w:val="21"/>
                    </w:rPr>
                  </w:pPr>
                  <w:r>
                    <w:rPr>
                      <w:rFonts w:hint="eastAsia" w:ascii="Times New Roman" w:hAnsi="Times New Roman" w:cs="Times New Roman"/>
                      <w:szCs w:val="21"/>
                    </w:rPr>
                    <w:t>昼间</w:t>
                  </w:r>
                </w:p>
              </w:tc>
            </w:tr>
            <w:tr w14:paraId="3C0C9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5" w:type="pct"/>
                  <w:vAlign w:val="center"/>
                </w:tcPr>
                <w:p w14:paraId="12EE4188">
                  <w:pPr>
                    <w:adjustRightInd w:val="0"/>
                    <w:snapToGrid w:val="0"/>
                    <w:jc w:val="center"/>
                    <w:rPr>
                      <w:rFonts w:ascii="Times New Roman" w:hAnsi="Times New Roman" w:cs="Times New Roman"/>
                      <w:szCs w:val="21"/>
                    </w:rPr>
                  </w:pPr>
                  <w:r>
                    <w:rPr>
                      <w:rFonts w:ascii="Times New Roman" w:hAnsi="Times New Roman" w:cs="Times New Roman"/>
                      <w:szCs w:val="21"/>
                    </w:rPr>
                    <w:t>2</w:t>
                  </w:r>
                </w:p>
              </w:tc>
              <w:tc>
                <w:tcPr>
                  <w:tcW w:w="921" w:type="pct"/>
                  <w:vAlign w:val="center"/>
                </w:tcPr>
                <w:p w14:paraId="2649C69B">
                  <w:pPr>
                    <w:adjustRightInd w:val="0"/>
                    <w:snapToGrid w:val="0"/>
                    <w:jc w:val="center"/>
                    <w:rPr>
                      <w:rFonts w:ascii="Times New Roman" w:hAnsi="Times New Roman" w:cs="Times New Roman"/>
                      <w:szCs w:val="21"/>
                    </w:rPr>
                  </w:pPr>
                  <w:r>
                    <w:rPr>
                      <w:rFonts w:hint="eastAsia" w:ascii="Times New Roman" w:hAnsi="Times New Roman" w:cs="Times New Roman"/>
                      <w:szCs w:val="21"/>
                    </w:rPr>
                    <w:t>喷砂机</w:t>
                  </w:r>
                </w:p>
              </w:tc>
              <w:tc>
                <w:tcPr>
                  <w:tcW w:w="390" w:type="pct"/>
                  <w:vAlign w:val="center"/>
                </w:tcPr>
                <w:p w14:paraId="140D9BEB">
                  <w:pPr>
                    <w:adjustRightInd w:val="0"/>
                    <w:snapToGrid w:val="0"/>
                    <w:jc w:val="center"/>
                    <w:rPr>
                      <w:rFonts w:ascii="Times New Roman" w:hAnsi="Times New Roman" w:cs="Times New Roman"/>
                      <w:szCs w:val="21"/>
                    </w:rPr>
                  </w:pPr>
                  <w:r>
                    <w:rPr>
                      <w:rFonts w:hint="eastAsia" w:ascii="Times New Roman" w:hAnsi="Times New Roman" w:cs="Times New Roman"/>
                      <w:szCs w:val="21"/>
                    </w:rPr>
                    <w:t>1</w:t>
                  </w:r>
                </w:p>
              </w:tc>
              <w:tc>
                <w:tcPr>
                  <w:tcW w:w="614" w:type="pct"/>
                  <w:vAlign w:val="center"/>
                </w:tcPr>
                <w:p w14:paraId="057B8B68">
                  <w:pPr>
                    <w:adjustRightInd w:val="0"/>
                    <w:snapToGrid w:val="0"/>
                    <w:jc w:val="center"/>
                    <w:rPr>
                      <w:rFonts w:ascii="Times New Roman" w:hAnsi="Times New Roman" w:cs="Times New Roman"/>
                      <w:szCs w:val="21"/>
                    </w:rPr>
                  </w:pPr>
                  <w:r>
                    <w:rPr>
                      <w:rFonts w:hint="eastAsia" w:ascii="Times New Roman" w:hAnsi="Times New Roman" w:cs="Times New Roman"/>
                      <w:szCs w:val="21"/>
                    </w:rPr>
                    <w:t>85</w:t>
                  </w:r>
                </w:p>
              </w:tc>
              <w:tc>
                <w:tcPr>
                  <w:tcW w:w="420" w:type="pct"/>
                  <w:vAlign w:val="center"/>
                </w:tcPr>
                <w:p w14:paraId="3575F258">
                  <w:pPr>
                    <w:adjustRightInd w:val="0"/>
                    <w:snapToGrid w:val="0"/>
                    <w:jc w:val="center"/>
                    <w:rPr>
                      <w:rFonts w:ascii="Times New Roman" w:hAnsi="Times New Roman" w:cs="Times New Roman"/>
                      <w:szCs w:val="21"/>
                    </w:rPr>
                  </w:pPr>
                  <w:r>
                    <w:rPr>
                      <w:rFonts w:hint="eastAsia" w:ascii="Times New Roman" w:hAnsi="Times New Roman" w:cs="Times New Roman"/>
                      <w:szCs w:val="21"/>
                    </w:rPr>
                    <w:t>85</w:t>
                  </w:r>
                </w:p>
              </w:tc>
              <w:tc>
                <w:tcPr>
                  <w:tcW w:w="957" w:type="pct"/>
                  <w:vMerge w:val="continue"/>
                  <w:vAlign w:val="center"/>
                </w:tcPr>
                <w:p w14:paraId="145D8C5A">
                  <w:pPr>
                    <w:adjustRightInd w:val="0"/>
                    <w:snapToGrid w:val="0"/>
                    <w:jc w:val="center"/>
                    <w:rPr>
                      <w:rFonts w:ascii="Times New Roman" w:hAnsi="Times New Roman" w:cs="Times New Roman"/>
                      <w:szCs w:val="21"/>
                    </w:rPr>
                  </w:pPr>
                </w:p>
              </w:tc>
              <w:tc>
                <w:tcPr>
                  <w:tcW w:w="540" w:type="pct"/>
                  <w:vAlign w:val="center"/>
                </w:tcPr>
                <w:p w14:paraId="18253E1B">
                  <w:pPr>
                    <w:adjustRightInd w:val="0"/>
                    <w:snapToGrid w:val="0"/>
                    <w:jc w:val="center"/>
                    <w:rPr>
                      <w:rFonts w:ascii="Times New Roman" w:hAnsi="Times New Roman" w:cs="Times New Roman"/>
                      <w:szCs w:val="21"/>
                    </w:rPr>
                  </w:pPr>
                  <w:r>
                    <w:rPr>
                      <w:rFonts w:hint="eastAsia" w:ascii="Times New Roman" w:hAnsi="Times New Roman" w:cs="Times New Roman"/>
                      <w:szCs w:val="21"/>
                    </w:rPr>
                    <w:t>65</w:t>
                  </w:r>
                </w:p>
              </w:tc>
              <w:tc>
                <w:tcPr>
                  <w:tcW w:w="456" w:type="pct"/>
                  <w:vAlign w:val="center"/>
                </w:tcPr>
                <w:p w14:paraId="36B2133C">
                  <w:pPr>
                    <w:adjustRightInd w:val="0"/>
                    <w:snapToGrid w:val="0"/>
                    <w:jc w:val="center"/>
                    <w:rPr>
                      <w:rFonts w:ascii="Times New Roman" w:hAnsi="Times New Roman" w:cs="Times New Roman"/>
                      <w:szCs w:val="21"/>
                    </w:rPr>
                  </w:pPr>
                  <w:r>
                    <w:rPr>
                      <w:rFonts w:ascii="Times New Roman" w:hAnsi="Times New Roman" w:cs="Times New Roman"/>
                      <w:szCs w:val="21"/>
                    </w:rPr>
                    <w:t>室内</w:t>
                  </w:r>
                </w:p>
              </w:tc>
              <w:tc>
                <w:tcPr>
                  <w:tcW w:w="424" w:type="pct"/>
                  <w:vMerge w:val="continue"/>
                  <w:vAlign w:val="center"/>
                </w:tcPr>
                <w:p w14:paraId="6CB5594D">
                  <w:pPr>
                    <w:adjustRightInd w:val="0"/>
                    <w:snapToGrid w:val="0"/>
                    <w:jc w:val="center"/>
                    <w:rPr>
                      <w:rFonts w:ascii="Times New Roman" w:hAnsi="Times New Roman" w:cs="Times New Roman"/>
                      <w:szCs w:val="21"/>
                    </w:rPr>
                  </w:pPr>
                </w:p>
              </w:tc>
            </w:tr>
            <w:tr w14:paraId="5025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5" w:type="pct"/>
                  <w:vAlign w:val="center"/>
                </w:tcPr>
                <w:p w14:paraId="3F5130D1">
                  <w:pPr>
                    <w:adjustRightInd w:val="0"/>
                    <w:snapToGrid w:val="0"/>
                    <w:jc w:val="center"/>
                    <w:rPr>
                      <w:rFonts w:ascii="Times New Roman" w:hAnsi="Times New Roman" w:cs="Times New Roman"/>
                      <w:szCs w:val="21"/>
                    </w:rPr>
                  </w:pPr>
                  <w:r>
                    <w:rPr>
                      <w:rFonts w:hint="eastAsia" w:ascii="Times New Roman" w:hAnsi="Times New Roman" w:cs="Times New Roman"/>
                      <w:szCs w:val="21"/>
                    </w:rPr>
                    <w:t>3</w:t>
                  </w:r>
                </w:p>
              </w:tc>
              <w:tc>
                <w:tcPr>
                  <w:tcW w:w="921" w:type="pct"/>
                  <w:vAlign w:val="center"/>
                </w:tcPr>
                <w:p w14:paraId="14CA08C6">
                  <w:pPr>
                    <w:adjustRightInd w:val="0"/>
                    <w:snapToGrid w:val="0"/>
                    <w:jc w:val="center"/>
                    <w:rPr>
                      <w:rFonts w:ascii="Times New Roman" w:hAnsi="Times New Roman" w:cs="Times New Roman"/>
                      <w:szCs w:val="21"/>
                    </w:rPr>
                  </w:pPr>
                  <w:r>
                    <w:rPr>
                      <w:rFonts w:ascii="Times New Roman" w:hAnsi="Times New Roman" w:cs="Times New Roman"/>
                      <w:szCs w:val="21"/>
                    </w:rPr>
                    <w:t>风机</w:t>
                  </w:r>
                </w:p>
              </w:tc>
              <w:tc>
                <w:tcPr>
                  <w:tcW w:w="390" w:type="pct"/>
                  <w:vAlign w:val="center"/>
                </w:tcPr>
                <w:p w14:paraId="1922E3B1">
                  <w:pPr>
                    <w:adjustRightInd w:val="0"/>
                    <w:snapToGrid w:val="0"/>
                    <w:jc w:val="center"/>
                    <w:rPr>
                      <w:rFonts w:ascii="Times New Roman" w:hAnsi="Times New Roman" w:cs="Times New Roman"/>
                      <w:szCs w:val="21"/>
                    </w:rPr>
                  </w:pPr>
                  <w:r>
                    <w:rPr>
                      <w:rFonts w:hint="eastAsia" w:ascii="Times New Roman" w:hAnsi="Times New Roman" w:cs="Times New Roman"/>
                      <w:szCs w:val="21"/>
                    </w:rPr>
                    <w:t>1</w:t>
                  </w:r>
                </w:p>
              </w:tc>
              <w:tc>
                <w:tcPr>
                  <w:tcW w:w="614" w:type="pct"/>
                  <w:vAlign w:val="center"/>
                </w:tcPr>
                <w:p w14:paraId="4049342D">
                  <w:pPr>
                    <w:adjustRightInd w:val="0"/>
                    <w:snapToGrid w:val="0"/>
                    <w:jc w:val="center"/>
                    <w:rPr>
                      <w:rFonts w:ascii="Times New Roman" w:hAnsi="Times New Roman" w:cs="Times New Roman"/>
                      <w:szCs w:val="21"/>
                    </w:rPr>
                  </w:pPr>
                  <w:r>
                    <w:rPr>
                      <w:rFonts w:hint="eastAsia" w:ascii="Times New Roman" w:hAnsi="Times New Roman" w:cs="Times New Roman"/>
                      <w:szCs w:val="21"/>
                    </w:rPr>
                    <w:t>85</w:t>
                  </w:r>
                </w:p>
              </w:tc>
              <w:tc>
                <w:tcPr>
                  <w:tcW w:w="420" w:type="pct"/>
                  <w:vAlign w:val="center"/>
                </w:tcPr>
                <w:p w14:paraId="086EA0A7">
                  <w:pPr>
                    <w:adjustRightInd w:val="0"/>
                    <w:snapToGrid w:val="0"/>
                    <w:jc w:val="center"/>
                    <w:rPr>
                      <w:rFonts w:ascii="Times New Roman" w:hAnsi="Times New Roman" w:cs="Times New Roman"/>
                      <w:szCs w:val="21"/>
                    </w:rPr>
                  </w:pPr>
                  <w:r>
                    <w:rPr>
                      <w:rFonts w:hint="eastAsia" w:ascii="Times New Roman" w:hAnsi="Times New Roman" w:cs="Times New Roman"/>
                      <w:szCs w:val="21"/>
                    </w:rPr>
                    <w:t>85</w:t>
                  </w:r>
                </w:p>
              </w:tc>
              <w:tc>
                <w:tcPr>
                  <w:tcW w:w="957" w:type="pct"/>
                  <w:vAlign w:val="center"/>
                </w:tcPr>
                <w:p w14:paraId="03A490F0">
                  <w:pPr>
                    <w:adjustRightInd w:val="0"/>
                    <w:snapToGrid w:val="0"/>
                    <w:jc w:val="center"/>
                    <w:rPr>
                      <w:rFonts w:ascii="Times New Roman" w:hAnsi="Times New Roman" w:cs="Times New Roman"/>
                      <w:szCs w:val="21"/>
                    </w:rPr>
                  </w:pPr>
                  <w:r>
                    <w:rPr>
                      <w:rFonts w:ascii="Times New Roman" w:hAnsi="Times New Roman" w:cs="Times New Roman"/>
                      <w:szCs w:val="21"/>
                    </w:rPr>
                    <w:t>设置减振垫、软连接、隔声罩</w:t>
                  </w:r>
                </w:p>
              </w:tc>
              <w:tc>
                <w:tcPr>
                  <w:tcW w:w="540" w:type="pct"/>
                  <w:vAlign w:val="center"/>
                </w:tcPr>
                <w:p w14:paraId="7CC2C1D7">
                  <w:pPr>
                    <w:adjustRightInd w:val="0"/>
                    <w:snapToGrid w:val="0"/>
                    <w:jc w:val="center"/>
                    <w:rPr>
                      <w:rFonts w:ascii="Times New Roman" w:hAnsi="Times New Roman" w:cs="Times New Roman"/>
                      <w:szCs w:val="21"/>
                    </w:rPr>
                  </w:pPr>
                  <w:r>
                    <w:rPr>
                      <w:rFonts w:hint="eastAsia" w:ascii="Times New Roman" w:hAnsi="Times New Roman" w:cs="Times New Roman"/>
                      <w:szCs w:val="21"/>
                    </w:rPr>
                    <w:t>65</w:t>
                  </w:r>
                </w:p>
              </w:tc>
              <w:tc>
                <w:tcPr>
                  <w:tcW w:w="456" w:type="pct"/>
                  <w:vAlign w:val="center"/>
                </w:tcPr>
                <w:p w14:paraId="5EC1070C">
                  <w:pPr>
                    <w:adjustRightInd w:val="0"/>
                    <w:snapToGrid w:val="0"/>
                    <w:jc w:val="center"/>
                    <w:rPr>
                      <w:rFonts w:ascii="Times New Roman" w:hAnsi="Times New Roman" w:cs="Times New Roman"/>
                      <w:szCs w:val="21"/>
                    </w:rPr>
                  </w:pPr>
                  <w:r>
                    <w:rPr>
                      <w:rFonts w:hint="eastAsia" w:ascii="Times New Roman" w:hAnsi="Times New Roman" w:cs="Times New Roman"/>
                      <w:szCs w:val="21"/>
                    </w:rPr>
                    <w:t>室外</w:t>
                  </w:r>
                </w:p>
              </w:tc>
              <w:tc>
                <w:tcPr>
                  <w:tcW w:w="424" w:type="pct"/>
                  <w:vMerge w:val="continue"/>
                  <w:vAlign w:val="center"/>
                </w:tcPr>
                <w:p w14:paraId="01491C38">
                  <w:pPr>
                    <w:adjustRightInd w:val="0"/>
                    <w:snapToGrid w:val="0"/>
                    <w:jc w:val="center"/>
                    <w:rPr>
                      <w:rFonts w:ascii="Times New Roman" w:hAnsi="Times New Roman" w:cs="Times New Roman"/>
                      <w:szCs w:val="21"/>
                    </w:rPr>
                  </w:pPr>
                </w:p>
              </w:tc>
            </w:tr>
          </w:tbl>
          <w:p w14:paraId="066EAD29">
            <w:pPr>
              <w:pStyle w:val="21"/>
              <w:adjustRightInd w:val="0"/>
              <w:snapToGrid w:val="0"/>
              <w:spacing w:beforeAutospacing="0" w:afterAutospacing="0" w:line="360" w:lineRule="auto"/>
              <w:ind w:firstLine="482" w:firstLineChars="200"/>
              <w:rPr>
                <w:rFonts w:hint="default" w:ascii="Times New Roman" w:hAnsi="Times New Roman"/>
                <w:b/>
                <w:bCs/>
                <w:kern w:val="2"/>
                <w:szCs w:val="24"/>
              </w:rPr>
            </w:pPr>
            <w:r>
              <w:rPr>
                <w:rFonts w:hint="default" w:ascii="Times New Roman" w:hAnsi="Times New Roman"/>
                <w:b/>
                <w:bCs/>
                <w:kern w:val="2"/>
                <w:szCs w:val="24"/>
              </w:rPr>
              <w:t>2、噪声预测</w:t>
            </w:r>
          </w:p>
          <w:p w14:paraId="64DB1158">
            <w:pPr>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1）预测方案</w:t>
            </w:r>
          </w:p>
          <w:p w14:paraId="59AF96DE">
            <w:pPr>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①本次评价对厂界昼间、夜间标性进行预测分析。</w:t>
            </w:r>
          </w:p>
          <w:p w14:paraId="4886F5A9">
            <w:pPr>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②厂界以工程噪声贡献值作为评价量。</w:t>
            </w:r>
          </w:p>
          <w:p w14:paraId="626793C4">
            <w:pPr>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2）预测模式</w:t>
            </w:r>
          </w:p>
          <w:p w14:paraId="4B01D97C">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本项目噪声源全部位于生产车间内，属于室内声源，依据《环境影响评价技术导则 声环境》（HJ2.4-2021）附录B</w:t>
            </w:r>
            <w:r>
              <w:rPr>
                <w:rFonts w:hint="eastAsia" w:ascii="Times New Roman" w:hAnsi="Times New Roman" w:cs="Times New Roman"/>
                <w:sz w:val="24"/>
              </w:rPr>
              <w:t>“</w:t>
            </w:r>
            <w:r>
              <w:rPr>
                <w:rFonts w:ascii="Times New Roman" w:hAnsi="Times New Roman" w:cs="Times New Roman"/>
                <w:sz w:val="24"/>
              </w:rPr>
              <w:t>室内声源等效室外声源声功率级计算方法</w:t>
            </w:r>
            <w:r>
              <w:rPr>
                <w:rFonts w:hint="eastAsia" w:ascii="Times New Roman" w:hAnsi="Times New Roman" w:cs="Times New Roman"/>
                <w:sz w:val="24"/>
              </w:rPr>
              <w:t>”</w:t>
            </w:r>
            <w:r>
              <w:rPr>
                <w:rFonts w:ascii="Times New Roman" w:hAnsi="Times New Roman" w:cs="Times New Roman"/>
                <w:sz w:val="24"/>
              </w:rPr>
              <w:t>计算靠近车间围护结构外的声压级，然后将室外声源的声压级和透过面积换算成等效的室外声源，计算出中心位置位于透声面积（S）处的等效声源的倍频带声功率级，然后按室外声源预测方法计算预测点处的A声级。</w:t>
            </w:r>
          </w:p>
          <w:p w14:paraId="209D0815">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cs="Times New Roman"/>
                <w:sz w:val="24"/>
              </w:rPr>
              <w:t>3）室内声源</w:t>
            </w:r>
          </w:p>
          <w:p w14:paraId="1DF98B03">
            <w:pPr>
              <w:widowControl/>
              <w:adjustRightInd w:val="0"/>
              <w:snapToGrid w:val="0"/>
              <w:spacing w:line="360" w:lineRule="auto"/>
              <w:ind w:firstLine="480" w:firstLineChars="200"/>
              <w:rPr>
                <w:rFonts w:ascii="Times New Roman" w:hAnsi="Times New Roman" w:eastAsia="宋体" w:cs="Times New Roman"/>
                <w:kern w:val="0"/>
                <w:sz w:val="24"/>
                <w:lang w:bidi="ar"/>
              </w:rPr>
            </w:pPr>
            <w:r>
              <w:rPr>
                <w:rFonts w:ascii="Times New Roman" w:hAnsi="Times New Roman" w:eastAsia="宋体" w:cs="Times New Roman"/>
                <w:kern w:val="0"/>
                <w:sz w:val="24"/>
                <w:lang w:bidi="ar"/>
              </w:rPr>
              <w:t>①如果已知声源的声压级</w:t>
            </w:r>
            <w:r>
              <w:rPr>
                <w:rFonts w:ascii="Times New Roman" w:hAnsi="Times New Roman" w:eastAsia="宋体" w:cs="Times New Roman"/>
                <w:i/>
                <w:iCs/>
                <w:kern w:val="0"/>
                <w:sz w:val="24"/>
              </w:rPr>
              <w:t>L</w:t>
            </w:r>
            <w:r>
              <w:rPr>
                <w:rFonts w:ascii="Times New Roman" w:hAnsi="Times New Roman" w:cs="Times New Roman"/>
                <w:i/>
                <w:iCs/>
                <w:kern w:val="0"/>
                <w:sz w:val="24"/>
              </w:rPr>
              <w:t>（r0）</w:t>
            </w:r>
            <w:r>
              <w:rPr>
                <w:rFonts w:ascii="Times New Roman" w:hAnsi="Times New Roman" w:eastAsia="宋体" w:cs="Times New Roman"/>
                <w:kern w:val="0"/>
                <w:sz w:val="24"/>
                <w:lang w:bidi="ar"/>
              </w:rPr>
              <w:t>，且声源位于地面上，则</w:t>
            </w:r>
          </w:p>
          <w:p w14:paraId="175E28FB">
            <w:pPr>
              <w:widowControl/>
              <w:adjustRightInd w:val="0"/>
              <w:snapToGrid w:val="0"/>
              <w:spacing w:line="360" w:lineRule="auto"/>
              <w:jc w:val="center"/>
              <w:rPr>
                <w:rFonts w:ascii="Times New Roman" w:hAnsi="Times New Roman" w:eastAsia="宋体" w:cs="Times New Roman"/>
                <w:sz w:val="24"/>
              </w:rPr>
            </w:pPr>
            <w:r>
              <w:rPr>
                <w:rFonts w:ascii="Times New Roman" w:hAnsi="Times New Roman" w:cs="Times New Roman"/>
                <w:sz w:val="24"/>
              </w:rPr>
              <w:t>L</w:t>
            </w:r>
            <w:r>
              <w:rPr>
                <w:rFonts w:ascii="Times New Roman" w:hAnsi="Times New Roman" w:eastAsia="宋体" w:cs="Times New Roman"/>
                <w:sz w:val="24"/>
              </w:rPr>
              <w:t>p</w:t>
            </w:r>
            <w:r>
              <w:rPr>
                <w:rFonts w:ascii="Times New Roman" w:hAnsi="Times New Roman" w:cs="Times New Roman"/>
                <w:sz w:val="24"/>
              </w:rPr>
              <w:t>(</w:t>
            </w:r>
            <w:r>
              <w:rPr>
                <w:rFonts w:ascii="Times New Roman" w:hAnsi="Times New Roman" w:eastAsia="宋体" w:cs="Times New Roman"/>
                <w:sz w:val="24"/>
              </w:rPr>
              <w:t>r</w:t>
            </w:r>
            <w:r>
              <w:rPr>
                <w:rFonts w:ascii="Times New Roman" w:hAnsi="Times New Roman" w:cs="Times New Roman"/>
                <w:sz w:val="24"/>
              </w:rPr>
              <w:t>)=L</w:t>
            </w:r>
            <w:r>
              <w:rPr>
                <w:rFonts w:ascii="Times New Roman" w:hAnsi="Times New Roman" w:cs="Times New Roman"/>
                <w:sz w:val="24"/>
                <w:vertAlign w:val="subscript"/>
              </w:rPr>
              <w:t>w</w:t>
            </w:r>
            <w:r>
              <w:rPr>
                <w:rFonts w:hint="eastAsia" w:cs="Times New Roman"/>
                <w:sz w:val="24"/>
              </w:rPr>
              <w:t>—</w:t>
            </w:r>
            <w:r>
              <w:rPr>
                <w:rFonts w:ascii="Times New Roman" w:hAnsi="Times New Roman" w:cs="Times New Roman"/>
                <w:sz w:val="24"/>
              </w:rPr>
              <w:t>20lg</w:t>
            </w:r>
            <w:r>
              <w:rPr>
                <w:rFonts w:ascii="Times New Roman" w:hAnsi="Times New Roman" w:eastAsia="宋体" w:cs="Times New Roman"/>
                <w:sz w:val="24"/>
              </w:rPr>
              <w:t>r</w:t>
            </w:r>
            <w:r>
              <w:rPr>
                <w:rFonts w:hint="eastAsia" w:cs="Times New Roman"/>
                <w:sz w:val="24"/>
              </w:rPr>
              <w:t>—</w:t>
            </w:r>
            <w:r>
              <w:rPr>
                <w:rFonts w:ascii="Times New Roman" w:hAnsi="Times New Roman" w:cs="Times New Roman"/>
                <w:sz w:val="24"/>
              </w:rPr>
              <w:t>8</w:t>
            </w:r>
          </w:p>
          <w:p w14:paraId="13973AA3">
            <w:pPr>
              <w:widowControl/>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首先设靠近开口处</w:t>
            </w:r>
            <w:r>
              <w:rPr>
                <w:rFonts w:hint="eastAsia" w:cs="Times New Roman"/>
                <w:bCs/>
                <w:sz w:val="24"/>
              </w:rPr>
              <w:t>（</w:t>
            </w:r>
            <w:r>
              <w:rPr>
                <w:rFonts w:ascii="Times New Roman" w:hAnsi="Times New Roman" w:cs="Times New Roman"/>
                <w:bCs/>
                <w:sz w:val="24"/>
              </w:rPr>
              <w:t>或窗户</w:t>
            </w:r>
            <w:r>
              <w:rPr>
                <w:rFonts w:hint="eastAsia" w:cs="Times New Roman"/>
                <w:bCs/>
                <w:sz w:val="24"/>
              </w:rPr>
              <w:t>）</w:t>
            </w:r>
            <w:r>
              <w:rPr>
                <w:rFonts w:ascii="Times New Roman" w:hAnsi="Times New Roman" w:cs="Times New Roman"/>
                <w:bCs/>
                <w:sz w:val="24"/>
              </w:rPr>
              <w:t>室内、室外某倍频带的声压级或A声级分别为L</w:t>
            </w:r>
            <w:r>
              <w:rPr>
                <w:rFonts w:ascii="Times New Roman" w:hAnsi="Times New Roman" w:cs="Times New Roman"/>
                <w:bCs/>
                <w:sz w:val="24"/>
                <w:vertAlign w:val="subscript"/>
              </w:rPr>
              <w:t>p</w:t>
            </w:r>
            <w:r>
              <w:rPr>
                <w:rFonts w:hint="eastAsia" w:ascii="Times New Roman" w:hAnsi="Times New Roman" w:cs="Times New Roman"/>
                <w:bCs/>
                <w:sz w:val="24"/>
                <w:vertAlign w:val="subscript"/>
              </w:rPr>
              <w:t>1</w:t>
            </w:r>
            <w:r>
              <w:rPr>
                <w:rFonts w:ascii="Times New Roman" w:hAnsi="Times New Roman" w:cs="Times New Roman"/>
                <w:bCs/>
                <w:sz w:val="24"/>
              </w:rPr>
              <w:t>和L</w:t>
            </w:r>
            <w:r>
              <w:rPr>
                <w:rFonts w:ascii="Times New Roman" w:hAnsi="Times New Roman" w:cs="Times New Roman"/>
                <w:bCs/>
                <w:sz w:val="24"/>
                <w:vertAlign w:val="subscript"/>
              </w:rPr>
              <w:t>p2</w:t>
            </w:r>
            <w:r>
              <w:rPr>
                <w:rFonts w:ascii="Times New Roman" w:hAnsi="Times New Roman" w:cs="Times New Roman"/>
                <w:bCs/>
                <w:sz w:val="24"/>
              </w:rPr>
              <w:t>。如图4-1所示</w:t>
            </w:r>
            <w:r>
              <w:rPr>
                <w:rFonts w:hint="eastAsia" w:ascii="Times New Roman" w:hAnsi="Times New Roman" w:cs="Times New Roman"/>
                <w:bCs/>
                <w:sz w:val="24"/>
              </w:rPr>
              <w:t>。</w:t>
            </w:r>
          </w:p>
          <w:p w14:paraId="66010CAB">
            <w:pPr>
              <w:pStyle w:val="2"/>
              <w:ind w:left="900" w:hanging="480"/>
              <w:jc w:val="center"/>
              <w:rPr>
                <w:sz w:val="24"/>
              </w:rPr>
            </w:pPr>
            <w:r>
              <w:rPr>
                <w:rFonts w:hint="eastAsia"/>
                <w:sz w:val="24"/>
              </w:rPr>
              <w:drawing>
                <wp:inline distT="0" distB="0" distL="114300" distR="114300">
                  <wp:extent cx="3358515" cy="1664970"/>
                  <wp:effectExtent l="0" t="0" r="13335" b="11430"/>
                  <wp:docPr id="5" name="图片 4" descr="WX20231222-104656@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WX20231222-104656@2x"/>
                          <pic:cNvPicPr>
                            <a:picLocks noChangeAspect="1"/>
                          </pic:cNvPicPr>
                        </pic:nvPicPr>
                        <pic:blipFill>
                          <a:blip r:embed="rId14"/>
                          <a:stretch>
                            <a:fillRect/>
                          </a:stretch>
                        </pic:blipFill>
                        <pic:spPr>
                          <a:xfrm>
                            <a:off x="0" y="0"/>
                            <a:ext cx="3358515" cy="1664970"/>
                          </a:xfrm>
                          <a:prstGeom prst="rect">
                            <a:avLst/>
                          </a:prstGeom>
                          <a:noFill/>
                          <a:ln>
                            <a:noFill/>
                          </a:ln>
                        </pic:spPr>
                      </pic:pic>
                    </a:graphicData>
                  </a:graphic>
                </wp:inline>
              </w:drawing>
            </w:r>
          </w:p>
          <w:p w14:paraId="5C9357B5">
            <w:pPr>
              <w:widowControl/>
              <w:adjustRightInd w:val="0"/>
              <w:snapToGrid w:val="0"/>
              <w:jc w:val="center"/>
              <w:rPr>
                <w:rFonts w:ascii="Times New Roman" w:hAnsi="Times New Roman" w:eastAsia="宋体" w:cs="Times New Roman"/>
                <w:b/>
                <w:bCs/>
                <w:spacing w:val="-3"/>
                <w:szCs w:val="21"/>
                <w:lang w:bidi="zh-CN"/>
              </w:rPr>
            </w:pPr>
            <w:r>
              <w:rPr>
                <w:rFonts w:hint="eastAsia" w:ascii="Times New Roman" w:hAnsi="Times New Roman" w:eastAsia="宋体" w:cs="Times New Roman"/>
                <w:b/>
                <w:bCs/>
                <w:spacing w:val="-3"/>
                <w:szCs w:val="21"/>
                <w:lang w:bidi="zh-CN"/>
              </w:rPr>
              <w:t xml:space="preserve">图4-1 </w:t>
            </w:r>
            <w:r>
              <w:rPr>
                <w:rFonts w:ascii="Times New Roman" w:hAnsi="Times New Roman" w:eastAsia="宋体" w:cs="Times New Roman"/>
                <w:b/>
                <w:bCs/>
                <w:spacing w:val="-3"/>
                <w:szCs w:val="21"/>
                <w:lang w:bidi="zh-CN"/>
              </w:rPr>
              <w:t xml:space="preserve"> 室内声源等效为室外声源图例 </w:t>
            </w:r>
          </w:p>
          <w:p w14:paraId="0837BF44">
            <w:pPr>
              <w:widowControl/>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eastAsia="宋体" w:cs="Times New Roman"/>
                <w:kern w:val="0"/>
                <w:sz w:val="24"/>
                <w:lang w:bidi="ar"/>
              </w:rPr>
              <w:t>②首先计算出某个室内声源靠近围护结构处的声压级：</w:t>
            </w:r>
          </w:p>
          <w:p w14:paraId="2C36C9C1">
            <w:pPr>
              <w:widowControl/>
              <w:adjustRightInd w:val="0"/>
              <w:snapToGrid w:val="0"/>
              <w:spacing w:line="360" w:lineRule="auto"/>
              <w:ind w:firstLine="480" w:firstLineChars="200"/>
              <w:jc w:val="center"/>
              <w:rPr>
                <w:rFonts w:ascii="Times New Roman" w:hAnsi="Times New Roman" w:eastAsia="宋体" w:cs="Times New Roman"/>
                <w:kern w:val="0"/>
                <w:sz w:val="24"/>
                <w:lang w:bidi="ar"/>
              </w:rPr>
            </w:pPr>
            <w:r>
              <w:rPr>
                <w:rFonts w:ascii="Times New Roman" w:hAnsi="Times New Roman" w:cs="Times New Roman"/>
                <w:sz w:val="24"/>
              </w:rPr>
              <w:drawing>
                <wp:inline distT="0" distB="0" distL="114300" distR="114300">
                  <wp:extent cx="2040890" cy="417830"/>
                  <wp:effectExtent l="0" t="0" r="16510" b="12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a:stretch>
                            <a:fillRect/>
                          </a:stretch>
                        </pic:blipFill>
                        <pic:spPr>
                          <a:xfrm>
                            <a:off x="0" y="0"/>
                            <a:ext cx="2040890" cy="417830"/>
                          </a:xfrm>
                          <a:prstGeom prst="rect">
                            <a:avLst/>
                          </a:prstGeom>
                          <a:noFill/>
                          <a:ln>
                            <a:noFill/>
                          </a:ln>
                        </pic:spPr>
                      </pic:pic>
                    </a:graphicData>
                  </a:graphic>
                </wp:inline>
              </w:drawing>
            </w:r>
          </w:p>
          <w:p w14:paraId="0D77A049">
            <w:pPr>
              <w:widowControl/>
              <w:autoSpaceDE w:val="0"/>
              <w:autoSpaceDN w:val="0"/>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eastAsia="宋体" w:cs="Times New Roman"/>
                <w:kern w:val="0"/>
                <w:sz w:val="24"/>
                <w:lang w:bidi="ar"/>
              </w:rPr>
              <w:t xml:space="preserve">式中： </w:t>
            </w:r>
          </w:p>
          <w:p w14:paraId="60D81B0B">
            <w:pPr>
              <w:autoSpaceDE w:val="0"/>
              <w:autoSpaceDN w:val="0"/>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Times New Roman" w:cs="Times New Roman"/>
                <w:i/>
                <w:iCs/>
                <w:sz w:val="24"/>
              </w:rPr>
              <w:t>L</w:t>
            </w:r>
            <w:r>
              <w:rPr>
                <w:rFonts w:ascii="Times New Roman" w:hAnsi="Times New Roman" w:eastAsia="Times New Roman" w:cs="Times New Roman"/>
                <w:i/>
                <w:iCs/>
                <w:position w:val="-6"/>
                <w:sz w:val="24"/>
              </w:rPr>
              <w:t>p</w:t>
            </w:r>
            <w:r>
              <w:rPr>
                <w:rFonts w:ascii="Times New Roman" w:hAnsi="Times New Roman" w:eastAsia="Times New Roman" w:cs="Times New Roman"/>
                <w:spacing w:val="-1"/>
                <w:position w:val="-6"/>
                <w:sz w:val="24"/>
              </w:rPr>
              <w:t xml:space="preserve">1 </w:t>
            </w:r>
            <w:r>
              <w:rPr>
                <w:rFonts w:ascii="Times New Roman" w:hAnsi="Times New Roman" w:eastAsia="宋体" w:cs="Times New Roman"/>
                <w:spacing w:val="-1"/>
                <w:sz w:val="24"/>
              </w:rPr>
              <w:t>：某个室内声源靠近</w:t>
            </w:r>
            <w:r>
              <w:rPr>
                <w:rFonts w:hint="eastAsia" w:ascii="Times New Roman" w:hAnsi="Times New Roman" w:eastAsia="宋体" w:cs="Times New Roman"/>
                <w:spacing w:val="-1"/>
                <w:sz w:val="24"/>
                <w:lang w:eastAsia="zh-CN"/>
              </w:rPr>
              <w:t>围护结构</w:t>
            </w:r>
            <w:r>
              <w:rPr>
                <w:rFonts w:ascii="Times New Roman" w:hAnsi="Times New Roman" w:eastAsia="宋体" w:cs="Times New Roman"/>
                <w:spacing w:val="-1"/>
                <w:sz w:val="24"/>
              </w:rPr>
              <w:t>处的</w:t>
            </w:r>
            <w:r>
              <w:rPr>
                <w:rFonts w:ascii="Times New Roman" w:hAnsi="Times New Roman" w:eastAsia="宋体" w:cs="Times New Roman"/>
                <w:sz w:val="24"/>
              </w:rPr>
              <w:t>声压级。</w:t>
            </w:r>
          </w:p>
          <w:p w14:paraId="10ADB6C8">
            <w:pPr>
              <w:autoSpaceDE w:val="0"/>
              <w:autoSpaceDN w:val="0"/>
              <w:adjustRightInd w:val="0"/>
              <w:snapToGrid w:val="0"/>
              <w:spacing w:line="360" w:lineRule="auto"/>
              <w:ind w:firstLine="476" w:firstLineChars="200"/>
              <w:rPr>
                <w:rFonts w:ascii="Times New Roman" w:hAnsi="Times New Roman" w:eastAsia="宋体" w:cs="Times New Roman"/>
                <w:sz w:val="24"/>
              </w:rPr>
            </w:pPr>
            <w:r>
              <w:rPr>
                <w:rFonts w:ascii="Times New Roman" w:hAnsi="Times New Roman" w:eastAsia="Times New Roman" w:cs="Times New Roman"/>
                <w:spacing w:val="-1"/>
                <w:sz w:val="24"/>
              </w:rPr>
              <w:t>L</w:t>
            </w:r>
            <w:r>
              <w:rPr>
                <w:rFonts w:ascii="Times New Roman" w:hAnsi="Times New Roman" w:eastAsia="Times New Roman" w:cs="Times New Roman"/>
                <w:i/>
                <w:iCs/>
                <w:spacing w:val="-1"/>
                <w:sz w:val="24"/>
              </w:rPr>
              <w:t>w</w:t>
            </w:r>
            <w:r>
              <w:rPr>
                <w:rFonts w:ascii="Times New Roman" w:hAnsi="Times New Roman" w:eastAsia="宋体" w:cs="Times New Roman"/>
                <w:spacing w:val="-2"/>
                <w:sz w:val="24"/>
              </w:rPr>
              <w:t>：某个室内声源靠近</w:t>
            </w:r>
            <w:r>
              <w:rPr>
                <w:rFonts w:hint="eastAsia" w:ascii="Times New Roman" w:hAnsi="Times New Roman" w:eastAsia="宋体" w:cs="Times New Roman"/>
                <w:spacing w:val="-2"/>
                <w:sz w:val="24"/>
                <w:lang w:eastAsia="zh-CN"/>
              </w:rPr>
              <w:t>围护结构</w:t>
            </w:r>
            <w:r>
              <w:rPr>
                <w:rFonts w:ascii="Times New Roman" w:hAnsi="Times New Roman" w:eastAsia="宋体" w:cs="Times New Roman"/>
                <w:spacing w:val="-2"/>
                <w:sz w:val="24"/>
              </w:rPr>
              <w:t>处</w:t>
            </w:r>
            <w:r>
              <w:rPr>
                <w:rFonts w:ascii="Times New Roman" w:hAnsi="Times New Roman" w:eastAsia="宋体" w:cs="Times New Roman"/>
                <w:spacing w:val="-1"/>
                <w:sz w:val="24"/>
              </w:rPr>
              <w:t>产生的声功率级。</w:t>
            </w:r>
          </w:p>
          <w:p w14:paraId="5F4037A2">
            <w:pPr>
              <w:autoSpaceDE w:val="0"/>
              <w:autoSpaceDN w:val="0"/>
              <w:adjustRightInd w:val="0"/>
              <w:snapToGrid w:val="0"/>
              <w:spacing w:line="360" w:lineRule="auto"/>
              <w:ind w:firstLine="460" w:firstLineChars="200"/>
              <w:rPr>
                <w:rFonts w:ascii="Times New Roman" w:hAnsi="Times New Roman" w:eastAsia="宋体" w:cs="Times New Roman"/>
                <w:sz w:val="24"/>
              </w:rPr>
            </w:pPr>
            <w:r>
              <w:rPr>
                <w:rFonts w:ascii="Times New Roman" w:hAnsi="Times New Roman" w:eastAsia="Times New Roman" w:cs="Times New Roman"/>
                <w:spacing w:val="-5"/>
                <w:sz w:val="24"/>
              </w:rPr>
              <w:t>Q</w:t>
            </w:r>
            <w:r>
              <w:rPr>
                <w:rFonts w:ascii="Times New Roman" w:hAnsi="Times New Roman" w:eastAsia="宋体" w:cs="Times New Roman"/>
                <w:spacing w:val="-8"/>
                <w:sz w:val="24"/>
              </w:rPr>
              <w:t>：</w:t>
            </w:r>
            <w:r>
              <w:rPr>
                <w:rFonts w:ascii="Times New Roman" w:hAnsi="Times New Roman" w:eastAsia="宋体" w:cs="Times New Roman"/>
                <w:spacing w:val="-5"/>
                <w:sz w:val="24"/>
              </w:rPr>
              <w:t>指向性因数；通常对无指向性声源，当声源放在房间中心时，</w:t>
            </w:r>
            <w:r>
              <w:rPr>
                <w:rFonts w:ascii="Times New Roman" w:hAnsi="Times New Roman" w:eastAsia="Times New Roman" w:cs="Times New Roman"/>
                <w:spacing w:val="-5"/>
                <w:sz w:val="24"/>
              </w:rPr>
              <w:t>Q=1</w:t>
            </w:r>
            <w:r>
              <w:rPr>
                <w:rFonts w:ascii="Times New Roman" w:hAnsi="Times New Roman" w:eastAsia="宋体" w:cs="Times New Roman"/>
                <w:spacing w:val="-5"/>
                <w:sz w:val="24"/>
              </w:rPr>
              <w:t>；当</w:t>
            </w:r>
            <w:r>
              <w:rPr>
                <w:rFonts w:ascii="Times New Roman" w:hAnsi="Times New Roman" w:eastAsia="宋体" w:cs="Times New Roman"/>
                <w:spacing w:val="-12"/>
                <w:sz w:val="24"/>
              </w:rPr>
              <w:t>放</w:t>
            </w:r>
            <w:r>
              <w:rPr>
                <w:rFonts w:ascii="Times New Roman" w:hAnsi="Times New Roman" w:eastAsia="宋体" w:cs="Times New Roman"/>
                <w:spacing w:val="-6"/>
                <w:sz w:val="24"/>
              </w:rPr>
              <w:t>在一面墙的中心时，</w:t>
            </w:r>
            <w:r>
              <w:rPr>
                <w:rFonts w:ascii="Times New Roman" w:hAnsi="Times New Roman" w:eastAsia="Times New Roman" w:cs="Times New Roman"/>
                <w:spacing w:val="-6"/>
                <w:sz w:val="24"/>
              </w:rPr>
              <w:t>Q=2</w:t>
            </w:r>
            <w:r>
              <w:rPr>
                <w:rFonts w:ascii="Times New Roman" w:hAnsi="Times New Roman" w:eastAsia="宋体" w:cs="Times New Roman"/>
                <w:spacing w:val="-6"/>
                <w:sz w:val="24"/>
              </w:rPr>
              <w:t>；当放在两面墙的夹角处时，</w:t>
            </w:r>
            <w:r>
              <w:rPr>
                <w:rFonts w:ascii="Times New Roman" w:hAnsi="Times New Roman" w:eastAsia="Times New Roman" w:cs="Times New Roman"/>
                <w:spacing w:val="-6"/>
                <w:sz w:val="24"/>
              </w:rPr>
              <w:t>Q=4</w:t>
            </w:r>
            <w:r>
              <w:rPr>
                <w:rFonts w:ascii="Times New Roman" w:hAnsi="Times New Roman" w:eastAsia="宋体" w:cs="Times New Roman"/>
                <w:spacing w:val="-6"/>
                <w:sz w:val="24"/>
              </w:rPr>
              <w:t>；当放在三面墙的夹角</w:t>
            </w:r>
            <w:r>
              <w:rPr>
                <w:rFonts w:ascii="Times New Roman" w:hAnsi="Times New Roman" w:eastAsia="宋体" w:cs="Times New Roman"/>
                <w:spacing w:val="-19"/>
                <w:sz w:val="24"/>
              </w:rPr>
              <w:t>处</w:t>
            </w:r>
            <w:r>
              <w:rPr>
                <w:rFonts w:ascii="Times New Roman" w:hAnsi="Times New Roman" w:eastAsia="宋体" w:cs="Times New Roman"/>
                <w:spacing w:val="-16"/>
                <w:sz w:val="24"/>
              </w:rPr>
              <w:t>时，</w:t>
            </w:r>
            <w:r>
              <w:rPr>
                <w:rFonts w:ascii="Times New Roman" w:hAnsi="Times New Roman" w:eastAsia="Times New Roman" w:cs="Times New Roman"/>
                <w:spacing w:val="-16"/>
                <w:sz w:val="24"/>
              </w:rPr>
              <w:t>Q=8</w:t>
            </w:r>
            <w:r>
              <w:rPr>
                <w:rFonts w:ascii="Times New Roman" w:hAnsi="Times New Roman" w:eastAsia="宋体" w:cs="Times New Roman"/>
                <w:spacing w:val="-16"/>
                <w:sz w:val="24"/>
              </w:rPr>
              <w:t>。</w:t>
            </w:r>
          </w:p>
          <w:p w14:paraId="1FEC178F">
            <w:pPr>
              <w:autoSpaceDE w:val="0"/>
              <w:autoSpaceDN w:val="0"/>
              <w:adjustRightInd w:val="0"/>
              <w:snapToGrid w:val="0"/>
              <w:spacing w:line="360" w:lineRule="auto"/>
              <w:ind w:firstLine="448" w:firstLineChars="200"/>
              <w:rPr>
                <w:rFonts w:ascii="Times New Roman" w:hAnsi="Times New Roman" w:eastAsia="宋体" w:cs="Times New Roman"/>
                <w:sz w:val="24"/>
              </w:rPr>
            </w:pPr>
            <w:r>
              <w:rPr>
                <w:rFonts w:ascii="Times New Roman" w:hAnsi="Times New Roman" w:eastAsia="Times New Roman" w:cs="Times New Roman"/>
                <w:spacing w:val="-8"/>
                <w:sz w:val="24"/>
              </w:rPr>
              <w:t>R</w:t>
            </w:r>
            <w:r>
              <w:rPr>
                <w:rFonts w:ascii="Times New Roman" w:hAnsi="Times New Roman" w:eastAsia="宋体" w:cs="Times New Roman"/>
                <w:spacing w:val="-16"/>
                <w:sz w:val="24"/>
              </w:rPr>
              <w:t>：房间</w:t>
            </w:r>
            <w:r>
              <w:rPr>
                <w:rFonts w:ascii="Times New Roman" w:hAnsi="Times New Roman" w:eastAsia="宋体" w:cs="Times New Roman"/>
                <w:spacing w:val="-11"/>
                <w:sz w:val="24"/>
              </w:rPr>
              <w:t>常</w:t>
            </w:r>
            <w:r>
              <w:rPr>
                <w:rFonts w:ascii="Times New Roman" w:hAnsi="Times New Roman" w:eastAsia="宋体" w:cs="Times New Roman"/>
                <w:spacing w:val="-8"/>
                <w:sz w:val="24"/>
              </w:rPr>
              <w:t>数；</w:t>
            </w:r>
            <w:r>
              <w:rPr>
                <w:rFonts w:ascii="Times New Roman" w:hAnsi="Times New Roman" w:eastAsia="Times New Roman" w:cs="Times New Roman"/>
                <w:spacing w:val="-8"/>
                <w:sz w:val="24"/>
              </w:rPr>
              <w:t>R=Sa/</w:t>
            </w:r>
            <w:r>
              <w:rPr>
                <w:rFonts w:ascii="Times New Roman" w:hAnsi="Times New Roman" w:eastAsia="宋体" w:cs="Times New Roman"/>
                <w:spacing w:val="-8"/>
                <w:sz w:val="24"/>
              </w:rPr>
              <w:t>（</w:t>
            </w:r>
            <w:r>
              <w:rPr>
                <w:rFonts w:ascii="Times New Roman" w:hAnsi="Times New Roman" w:eastAsia="Times New Roman" w:cs="Times New Roman"/>
                <w:spacing w:val="-8"/>
                <w:sz w:val="24"/>
              </w:rPr>
              <w:t>1</w:t>
            </w:r>
            <w:r>
              <w:rPr>
                <w:rFonts w:hint="eastAsia" w:eastAsia="宋体" w:cs="Times New Roman"/>
                <w:spacing w:val="-8"/>
                <w:sz w:val="24"/>
              </w:rPr>
              <w:t>—</w:t>
            </w:r>
            <w:r>
              <w:rPr>
                <w:rFonts w:ascii="Times New Roman" w:hAnsi="Times New Roman" w:eastAsia="Times New Roman" w:cs="Times New Roman"/>
                <w:spacing w:val="-8"/>
                <w:sz w:val="24"/>
              </w:rPr>
              <w:t>a</w:t>
            </w:r>
            <w:r>
              <w:rPr>
                <w:rFonts w:ascii="Times New Roman" w:hAnsi="Times New Roman" w:eastAsia="宋体" w:cs="Times New Roman"/>
                <w:spacing w:val="-8"/>
                <w:sz w:val="24"/>
              </w:rPr>
              <w:t>），</w:t>
            </w:r>
            <w:r>
              <w:rPr>
                <w:rFonts w:ascii="Times New Roman" w:hAnsi="Times New Roman" w:eastAsia="Times New Roman" w:cs="Times New Roman"/>
                <w:spacing w:val="-8"/>
                <w:sz w:val="24"/>
              </w:rPr>
              <w:t>S</w:t>
            </w:r>
            <w:r>
              <w:rPr>
                <w:rFonts w:ascii="Times New Roman" w:hAnsi="Times New Roman" w:eastAsia="宋体" w:cs="Times New Roman"/>
                <w:spacing w:val="-8"/>
                <w:sz w:val="24"/>
              </w:rPr>
              <w:t>为房间内表面面积，</w:t>
            </w:r>
            <w:r>
              <w:rPr>
                <w:rFonts w:ascii="Times New Roman" w:hAnsi="Times New Roman" w:eastAsia="Times New Roman" w:cs="Times New Roman"/>
                <w:spacing w:val="-8"/>
                <w:sz w:val="24"/>
              </w:rPr>
              <w:t>m</w:t>
            </w:r>
            <w:r>
              <w:rPr>
                <w:rFonts w:ascii="Times New Roman" w:hAnsi="Times New Roman" w:eastAsia="宋体" w:cs="Times New Roman"/>
                <w:spacing w:val="-8"/>
                <w:sz w:val="24"/>
                <w:vertAlign w:val="superscript"/>
              </w:rPr>
              <w:t>2</w:t>
            </w:r>
            <w:r>
              <w:rPr>
                <w:rFonts w:ascii="Times New Roman" w:hAnsi="Times New Roman" w:eastAsia="宋体" w:cs="Times New Roman"/>
                <w:spacing w:val="-8"/>
                <w:sz w:val="24"/>
              </w:rPr>
              <w:t>；</w:t>
            </w:r>
            <w:r>
              <w:rPr>
                <w:rFonts w:ascii="Times New Roman" w:hAnsi="Times New Roman" w:eastAsia="Times New Roman" w:cs="Times New Roman"/>
                <w:spacing w:val="-8"/>
                <w:sz w:val="24"/>
              </w:rPr>
              <w:t>a</w:t>
            </w:r>
            <w:r>
              <w:rPr>
                <w:rFonts w:ascii="Times New Roman" w:hAnsi="Times New Roman" w:eastAsia="宋体" w:cs="Times New Roman"/>
                <w:spacing w:val="-8"/>
                <w:sz w:val="24"/>
              </w:rPr>
              <w:t>为平均吸声系数</w:t>
            </w:r>
            <w:r>
              <w:rPr>
                <w:rFonts w:ascii="Times New Roman" w:hAnsi="Times New Roman" w:eastAsia="宋体" w:cs="Times New Roman"/>
                <w:spacing w:val="-10"/>
                <w:sz w:val="24"/>
              </w:rPr>
              <w:t>。</w:t>
            </w:r>
          </w:p>
          <w:p w14:paraId="79796FF5">
            <w:pPr>
              <w:autoSpaceDE w:val="0"/>
              <w:autoSpaceDN w:val="0"/>
              <w:adjustRightInd w:val="0"/>
              <w:snapToGrid w:val="0"/>
              <w:spacing w:line="360" w:lineRule="auto"/>
              <w:ind w:firstLine="460" w:firstLineChars="200"/>
              <w:rPr>
                <w:rFonts w:ascii="Times New Roman" w:hAnsi="Times New Roman" w:eastAsia="宋体" w:cs="Times New Roman"/>
                <w:sz w:val="24"/>
              </w:rPr>
            </w:pPr>
            <w:r>
              <w:rPr>
                <w:rFonts w:ascii="Times New Roman" w:hAnsi="Times New Roman" w:eastAsia="Times New Roman" w:cs="Times New Roman"/>
                <w:spacing w:val="-5"/>
                <w:sz w:val="24"/>
              </w:rPr>
              <w:t>r</w:t>
            </w:r>
            <w:r>
              <w:rPr>
                <w:rFonts w:ascii="Times New Roman" w:hAnsi="Times New Roman" w:eastAsia="宋体" w:cs="Times New Roman"/>
                <w:spacing w:val="-10"/>
                <w:sz w:val="24"/>
              </w:rPr>
              <w:t>：声源</w:t>
            </w:r>
            <w:r>
              <w:rPr>
                <w:rFonts w:ascii="Times New Roman" w:hAnsi="Times New Roman" w:eastAsia="宋体" w:cs="Times New Roman"/>
                <w:spacing w:val="-7"/>
                <w:sz w:val="24"/>
              </w:rPr>
              <w:t>到</w:t>
            </w:r>
            <w:r>
              <w:rPr>
                <w:rFonts w:ascii="Times New Roman" w:hAnsi="Times New Roman" w:eastAsia="宋体" w:cs="Times New Roman"/>
                <w:spacing w:val="-5"/>
                <w:sz w:val="24"/>
              </w:rPr>
              <w:t>靠近围护结构某点处的距离，</w:t>
            </w:r>
            <w:r>
              <w:rPr>
                <w:rFonts w:ascii="Times New Roman" w:hAnsi="Times New Roman" w:eastAsia="Times New Roman" w:cs="Times New Roman"/>
                <w:spacing w:val="-5"/>
                <w:sz w:val="24"/>
              </w:rPr>
              <w:t>m</w:t>
            </w:r>
            <w:r>
              <w:rPr>
                <w:rFonts w:ascii="Times New Roman" w:hAnsi="Times New Roman" w:eastAsia="宋体" w:cs="Times New Roman"/>
                <w:spacing w:val="-5"/>
                <w:sz w:val="24"/>
              </w:rPr>
              <w:t>。</w:t>
            </w:r>
          </w:p>
          <w:p w14:paraId="3BF20117">
            <w:pPr>
              <w:autoSpaceDE w:val="0"/>
              <w:autoSpaceDN w:val="0"/>
              <w:adjustRightInd w:val="0"/>
              <w:snapToGrid w:val="0"/>
              <w:spacing w:line="360" w:lineRule="auto"/>
              <w:ind w:firstLine="464" w:firstLineChars="200"/>
              <w:rPr>
                <w:rFonts w:ascii="Times New Roman" w:hAnsi="Times New Roman" w:eastAsia="宋体" w:cs="Times New Roman"/>
                <w:sz w:val="24"/>
              </w:rPr>
            </w:pPr>
            <w:r>
              <w:rPr>
                <w:rFonts w:ascii="Times New Roman" w:hAnsi="Times New Roman" w:eastAsia="宋体" w:cs="Times New Roman"/>
                <w:spacing w:val="-4"/>
                <w:sz w:val="24"/>
              </w:rPr>
              <w:t>③计算出</w:t>
            </w:r>
            <w:r>
              <w:rPr>
                <w:rFonts w:ascii="Times New Roman" w:hAnsi="Times New Roman" w:eastAsia="宋体" w:cs="Times New Roman"/>
                <w:spacing w:val="-3"/>
                <w:sz w:val="24"/>
              </w:rPr>
              <w:t>所</w:t>
            </w:r>
            <w:r>
              <w:rPr>
                <w:rFonts w:ascii="Times New Roman" w:hAnsi="Times New Roman" w:eastAsia="宋体" w:cs="Times New Roman"/>
                <w:spacing w:val="-2"/>
                <w:sz w:val="24"/>
              </w:rPr>
              <w:t>有室内声源在靠近围护结构处产生的总声压级：</w:t>
            </w:r>
          </w:p>
          <w:p w14:paraId="0D60B6E6">
            <w:pPr>
              <w:widowControl/>
              <w:autoSpaceDE w:val="0"/>
              <w:autoSpaceDN w:val="0"/>
              <w:adjustRightInd w:val="0"/>
              <w:snapToGrid w:val="0"/>
              <w:spacing w:line="360" w:lineRule="auto"/>
              <w:ind w:firstLine="480" w:firstLineChars="200"/>
              <w:jc w:val="center"/>
              <w:rPr>
                <w:rFonts w:ascii="Times New Roman" w:hAnsi="Times New Roman" w:eastAsia="宋体" w:cs="Times New Roman"/>
                <w:i/>
                <w:iCs/>
                <w:kern w:val="0"/>
                <w:sz w:val="24"/>
              </w:rPr>
            </w:pPr>
            <w:r>
              <w:rPr>
                <w:rFonts w:ascii="Times New Roman" w:hAnsi="Times New Roman" w:cs="Times New Roman"/>
                <w:sz w:val="24"/>
              </w:rPr>
              <w:drawing>
                <wp:inline distT="0" distB="0" distL="114300" distR="114300">
                  <wp:extent cx="1924685" cy="381635"/>
                  <wp:effectExtent l="0" t="0" r="18415" b="1841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6"/>
                          <a:stretch>
                            <a:fillRect/>
                          </a:stretch>
                        </pic:blipFill>
                        <pic:spPr>
                          <a:xfrm>
                            <a:off x="0" y="0"/>
                            <a:ext cx="1924685" cy="381635"/>
                          </a:xfrm>
                          <a:prstGeom prst="rect">
                            <a:avLst/>
                          </a:prstGeom>
                          <a:noFill/>
                          <a:ln>
                            <a:noFill/>
                          </a:ln>
                        </pic:spPr>
                      </pic:pic>
                    </a:graphicData>
                  </a:graphic>
                </wp:inline>
              </w:drawing>
            </w:r>
          </w:p>
          <w:p w14:paraId="5B9C9FEE">
            <w:pPr>
              <w:autoSpaceDE w:val="0"/>
              <w:autoSpaceDN w:val="0"/>
              <w:adjustRightInd w:val="0"/>
              <w:snapToGrid w:val="0"/>
              <w:spacing w:line="360" w:lineRule="auto"/>
              <w:ind w:firstLine="452" w:firstLineChars="200"/>
              <w:rPr>
                <w:rFonts w:ascii="Times New Roman" w:hAnsi="Times New Roman" w:eastAsia="宋体" w:cs="Times New Roman"/>
                <w:spacing w:val="-7"/>
                <w:sz w:val="24"/>
              </w:rPr>
            </w:pPr>
            <w:r>
              <w:rPr>
                <w:rFonts w:ascii="Times New Roman" w:hAnsi="Times New Roman" w:eastAsia="Times New Roman" w:cs="Times New Roman"/>
                <w:spacing w:val="-7"/>
                <w:sz w:val="24"/>
              </w:rPr>
              <w:t>L</w:t>
            </w:r>
            <w:r>
              <w:rPr>
                <w:rFonts w:ascii="Times New Roman" w:hAnsi="Times New Roman" w:eastAsia="Times New Roman" w:cs="Times New Roman"/>
                <w:i/>
                <w:iCs/>
                <w:spacing w:val="-7"/>
                <w:position w:val="-1"/>
                <w:sz w:val="24"/>
              </w:rPr>
              <w:t>p</w:t>
            </w:r>
            <w:r>
              <w:rPr>
                <w:rFonts w:ascii="Times New Roman" w:hAnsi="Times New Roman" w:eastAsia="Times New Roman" w:cs="Times New Roman"/>
                <w:i/>
                <w:iCs/>
                <w:spacing w:val="-14"/>
                <w:position w:val="-1"/>
                <w:sz w:val="24"/>
              </w:rPr>
              <w:t>1</w:t>
            </w:r>
            <w:r>
              <w:rPr>
                <w:rFonts w:ascii="Times New Roman" w:hAnsi="Times New Roman" w:eastAsia="Times New Roman" w:cs="Times New Roman"/>
                <w:spacing w:val="-14"/>
                <w:position w:val="-1"/>
                <w:sz w:val="24"/>
              </w:rPr>
              <w:t xml:space="preserve"> </w:t>
            </w:r>
            <w:r>
              <w:rPr>
                <w:rFonts w:ascii="Times New Roman" w:hAnsi="Times New Roman" w:eastAsia="宋体" w:cs="Times New Roman"/>
                <w:i/>
                <w:iCs/>
                <w:spacing w:val="-14"/>
                <w:sz w:val="24"/>
              </w:rPr>
              <w:t>（</w:t>
            </w:r>
            <w:r>
              <w:rPr>
                <w:rFonts w:ascii="Times New Roman" w:hAnsi="Times New Roman" w:eastAsia="Times New Roman" w:cs="Times New Roman"/>
                <w:i/>
                <w:iCs/>
                <w:spacing w:val="-7"/>
                <w:sz w:val="24"/>
              </w:rPr>
              <w:t>T</w:t>
            </w:r>
            <w:r>
              <w:rPr>
                <w:rFonts w:ascii="Times New Roman" w:hAnsi="Times New Roman" w:eastAsia="宋体" w:cs="Times New Roman"/>
                <w:i/>
                <w:iCs/>
                <w:spacing w:val="-9"/>
                <w:sz w:val="24"/>
              </w:rPr>
              <w:t>）</w:t>
            </w:r>
            <w:r>
              <w:rPr>
                <w:rFonts w:ascii="Times New Roman" w:hAnsi="Times New Roman" w:eastAsia="宋体" w:cs="Times New Roman"/>
                <w:spacing w:val="-7"/>
                <w:sz w:val="24"/>
              </w:rPr>
              <w:t>：靠近围护结构处室内</w:t>
            </w:r>
            <w:r>
              <w:rPr>
                <w:rFonts w:ascii="Times New Roman" w:hAnsi="Times New Roman" w:eastAsia="Times New Roman" w:cs="Times New Roman"/>
                <w:spacing w:val="-7"/>
                <w:sz w:val="24"/>
              </w:rPr>
              <w:t>N</w:t>
            </w:r>
            <w:r>
              <w:rPr>
                <w:rFonts w:ascii="Times New Roman" w:hAnsi="Times New Roman" w:eastAsia="宋体" w:cs="Times New Roman"/>
                <w:spacing w:val="-7"/>
                <w:sz w:val="24"/>
              </w:rPr>
              <w:t>个声源的叠加声压级，</w:t>
            </w:r>
            <w:r>
              <w:rPr>
                <w:rFonts w:ascii="Times New Roman" w:hAnsi="Times New Roman" w:eastAsia="Times New Roman" w:cs="Times New Roman"/>
                <w:spacing w:val="-7"/>
                <w:sz w:val="24"/>
              </w:rPr>
              <w:t>dB</w:t>
            </w:r>
            <w:r>
              <w:rPr>
                <w:rFonts w:ascii="Times New Roman" w:hAnsi="Times New Roman" w:eastAsia="宋体" w:cs="Times New Roman"/>
                <w:spacing w:val="-7"/>
                <w:sz w:val="24"/>
              </w:rPr>
              <w:t>（</w:t>
            </w:r>
            <w:r>
              <w:rPr>
                <w:rFonts w:ascii="Times New Roman" w:hAnsi="Times New Roman" w:eastAsia="Times New Roman" w:cs="Times New Roman"/>
                <w:spacing w:val="-7"/>
                <w:sz w:val="24"/>
              </w:rPr>
              <w:t>A</w:t>
            </w:r>
            <w:r>
              <w:rPr>
                <w:rFonts w:ascii="Times New Roman" w:hAnsi="Times New Roman" w:eastAsia="宋体" w:cs="Times New Roman"/>
                <w:spacing w:val="-7"/>
                <w:sz w:val="24"/>
              </w:rPr>
              <w:t>）；</w:t>
            </w:r>
          </w:p>
          <w:p w14:paraId="4B3B2411">
            <w:pPr>
              <w:autoSpaceDE w:val="0"/>
              <w:autoSpaceDN w:val="0"/>
              <w:adjustRightInd w:val="0"/>
              <w:snapToGrid w:val="0"/>
              <w:spacing w:line="360" w:lineRule="auto"/>
              <w:ind w:firstLine="460" w:firstLineChars="200"/>
              <w:rPr>
                <w:rFonts w:ascii="Times New Roman" w:hAnsi="Times New Roman" w:eastAsia="宋体" w:cs="Times New Roman"/>
                <w:sz w:val="24"/>
              </w:rPr>
            </w:pPr>
            <w:r>
              <w:rPr>
                <w:rFonts w:ascii="Times New Roman" w:hAnsi="Times New Roman" w:eastAsia="Times New Roman" w:cs="Times New Roman"/>
                <w:spacing w:val="-5"/>
                <w:sz w:val="24"/>
              </w:rPr>
              <w:t>L</w:t>
            </w:r>
            <w:r>
              <w:rPr>
                <w:rFonts w:ascii="Times New Roman" w:hAnsi="Times New Roman" w:eastAsia="Times New Roman" w:cs="Times New Roman"/>
                <w:i/>
                <w:iCs/>
                <w:spacing w:val="-5"/>
                <w:position w:val="-1"/>
                <w:sz w:val="24"/>
              </w:rPr>
              <w:t>p</w:t>
            </w:r>
            <w:r>
              <w:rPr>
                <w:rFonts w:ascii="Times New Roman" w:hAnsi="Times New Roman" w:eastAsia="Times New Roman" w:cs="Times New Roman"/>
                <w:i/>
                <w:iCs/>
                <w:spacing w:val="-10"/>
                <w:position w:val="-1"/>
                <w:sz w:val="24"/>
              </w:rPr>
              <w:t>1.</w:t>
            </w:r>
            <w:r>
              <w:rPr>
                <w:rFonts w:ascii="Times New Roman" w:hAnsi="Times New Roman" w:eastAsia="Times New Roman" w:cs="Times New Roman"/>
                <w:i/>
                <w:iCs/>
                <w:spacing w:val="-5"/>
                <w:position w:val="-1"/>
                <w:sz w:val="24"/>
              </w:rPr>
              <w:t>j</w:t>
            </w:r>
            <w:r>
              <w:rPr>
                <w:rFonts w:ascii="Times New Roman" w:hAnsi="Times New Roman" w:eastAsia="宋体" w:cs="Times New Roman"/>
                <w:spacing w:val="-10"/>
                <w:sz w:val="24"/>
              </w:rPr>
              <w:t>：</w:t>
            </w:r>
            <w:r>
              <w:rPr>
                <w:rFonts w:ascii="Times New Roman" w:hAnsi="Times New Roman" w:eastAsia="Times New Roman" w:cs="Times New Roman"/>
                <w:i/>
                <w:iCs/>
                <w:spacing w:val="-5"/>
                <w:sz w:val="24"/>
              </w:rPr>
              <w:t>j</w:t>
            </w:r>
            <w:r>
              <w:rPr>
                <w:rFonts w:ascii="Times New Roman" w:hAnsi="Times New Roman" w:eastAsia="Times New Roman" w:cs="Times New Roman"/>
                <w:spacing w:val="-5"/>
                <w:sz w:val="24"/>
              </w:rPr>
              <w:t xml:space="preserve"> </w:t>
            </w:r>
            <w:r>
              <w:rPr>
                <w:rFonts w:ascii="Times New Roman" w:hAnsi="Times New Roman" w:eastAsia="宋体" w:cs="Times New Roman"/>
                <w:spacing w:val="-5"/>
                <w:sz w:val="24"/>
              </w:rPr>
              <w:t>声源的声压级，</w:t>
            </w:r>
            <w:r>
              <w:rPr>
                <w:rFonts w:ascii="Times New Roman" w:hAnsi="Times New Roman" w:eastAsia="Times New Roman" w:cs="Times New Roman"/>
                <w:spacing w:val="-5"/>
                <w:sz w:val="24"/>
              </w:rPr>
              <w:t>dB</w:t>
            </w:r>
            <w:r>
              <w:rPr>
                <w:rFonts w:ascii="Times New Roman" w:hAnsi="Times New Roman" w:eastAsia="宋体" w:cs="Times New Roman"/>
                <w:spacing w:val="-5"/>
                <w:sz w:val="24"/>
              </w:rPr>
              <w:t>（</w:t>
            </w:r>
            <w:r>
              <w:rPr>
                <w:rFonts w:ascii="Times New Roman" w:hAnsi="Times New Roman" w:eastAsia="Times New Roman" w:cs="Times New Roman"/>
                <w:spacing w:val="-5"/>
                <w:sz w:val="24"/>
              </w:rPr>
              <w:t>A</w:t>
            </w:r>
            <w:r>
              <w:rPr>
                <w:rFonts w:ascii="Times New Roman" w:hAnsi="Times New Roman" w:eastAsia="宋体" w:cs="Times New Roman"/>
                <w:spacing w:val="-5"/>
                <w:sz w:val="24"/>
              </w:rPr>
              <w:t>）；</w:t>
            </w:r>
          </w:p>
          <w:p w14:paraId="63D8CE70">
            <w:pPr>
              <w:autoSpaceDE w:val="0"/>
              <w:autoSpaceDN w:val="0"/>
              <w:adjustRightInd w:val="0"/>
              <w:snapToGrid w:val="0"/>
              <w:spacing w:line="360" w:lineRule="auto"/>
              <w:ind w:firstLine="472" w:firstLineChars="200"/>
              <w:rPr>
                <w:rFonts w:ascii="Times New Roman" w:hAnsi="Times New Roman" w:eastAsia="宋体" w:cs="Times New Roman"/>
                <w:sz w:val="24"/>
              </w:rPr>
            </w:pPr>
            <w:r>
              <w:rPr>
                <w:rFonts w:ascii="Times New Roman" w:hAnsi="Times New Roman" w:eastAsia="Times New Roman" w:cs="Times New Roman"/>
                <w:spacing w:val="-2"/>
                <w:sz w:val="24"/>
              </w:rPr>
              <w:t>N</w:t>
            </w:r>
            <w:r>
              <w:rPr>
                <w:rFonts w:ascii="Times New Roman" w:hAnsi="Times New Roman" w:eastAsia="Times New Roman" w:cs="Times New Roman"/>
                <w:spacing w:val="-3"/>
                <w:sz w:val="24"/>
              </w:rPr>
              <w:t>—</w:t>
            </w:r>
            <w:r>
              <w:rPr>
                <w:rFonts w:ascii="Times New Roman" w:hAnsi="Times New Roman" w:eastAsia="宋体" w:cs="Times New Roman"/>
                <w:spacing w:val="-3"/>
                <w:sz w:val="24"/>
              </w:rPr>
              <w:t>室内声源总数。</w:t>
            </w:r>
          </w:p>
          <w:p w14:paraId="526C86CC">
            <w:pPr>
              <w:autoSpaceDE w:val="0"/>
              <w:autoSpaceDN w:val="0"/>
              <w:adjustRightInd w:val="0"/>
              <w:snapToGrid w:val="0"/>
              <w:spacing w:line="360" w:lineRule="auto"/>
              <w:ind w:firstLine="456" w:firstLineChars="200"/>
              <w:rPr>
                <w:rFonts w:ascii="Times New Roman" w:hAnsi="Times New Roman" w:eastAsia="宋体" w:cs="Times New Roman"/>
                <w:sz w:val="24"/>
              </w:rPr>
            </w:pPr>
            <w:r>
              <w:rPr>
                <w:rFonts w:ascii="Times New Roman" w:hAnsi="Times New Roman" w:eastAsia="宋体" w:cs="Times New Roman"/>
                <w:spacing w:val="-6"/>
                <w:sz w:val="24"/>
              </w:rPr>
              <w:t>④计</w:t>
            </w:r>
            <w:r>
              <w:rPr>
                <w:rFonts w:ascii="Times New Roman" w:hAnsi="Times New Roman" w:eastAsia="宋体" w:cs="Times New Roman"/>
                <w:spacing w:val="-3"/>
                <w:sz w:val="24"/>
              </w:rPr>
              <w:t>算出室外靠近围护结构处的声压级：</w:t>
            </w:r>
          </w:p>
          <w:p w14:paraId="7A3BC437">
            <w:pPr>
              <w:widowControl/>
              <w:autoSpaceDE w:val="0"/>
              <w:autoSpaceDN w:val="0"/>
              <w:adjustRightInd w:val="0"/>
              <w:snapToGrid w:val="0"/>
              <w:spacing w:line="360" w:lineRule="auto"/>
              <w:ind w:firstLine="480" w:firstLineChars="200"/>
              <w:jc w:val="center"/>
              <w:rPr>
                <w:rFonts w:ascii="Times New Roman" w:hAnsi="Times New Roman" w:eastAsia="Times New Roman" w:cs="Times New Roman"/>
                <w:i/>
                <w:iCs/>
                <w:spacing w:val="-3"/>
                <w:sz w:val="24"/>
              </w:rPr>
            </w:pPr>
            <w:r>
              <w:rPr>
                <w:rFonts w:ascii="Times New Roman" w:hAnsi="Times New Roman" w:cs="Times New Roman"/>
                <w:sz w:val="24"/>
              </w:rPr>
              <w:drawing>
                <wp:inline distT="0" distB="0" distL="114300" distR="114300">
                  <wp:extent cx="1998345" cy="344805"/>
                  <wp:effectExtent l="0" t="0" r="1905" b="1714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7"/>
                          <a:stretch>
                            <a:fillRect/>
                          </a:stretch>
                        </pic:blipFill>
                        <pic:spPr>
                          <a:xfrm>
                            <a:off x="0" y="0"/>
                            <a:ext cx="1998345" cy="344805"/>
                          </a:xfrm>
                          <a:prstGeom prst="rect">
                            <a:avLst/>
                          </a:prstGeom>
                          <a:noFill/>
                          <a:ln>
                            <a:noFill/>
                          </a:ln>
                        </pic:spPr>
                      </pic:pic>
                    </a:graphicData>
                  </a:graphic>
                </wp:inline>
              </w:drawing>
            </w:r>
          </w:p>
          <w:p w14:paraId="6C6E3972">
            <w:pPr>
              <w:autoSpaceDE w:val="0"/>
              <w:autoSpaceDN w:val="0"/>
              <w:adjustRightInd w:val="0"/>
              <w:snapToGrid w:val="0"/>
              <w:spacing w:line="360" w:lineRule="auto"/>
              <w:ind w:firstLine="412" w:firstLineChars="200"/>
              <w:rPr>
                <w:rFonts w:ascii="Times New Roman" w:hAnsi="Times New Roman" w:eastAsia="宋体" w:cs="Times New Roman"/>
                <w:sz w:val="24"/>
              </w:rPr>
            </w:pPr>
            <w:r>
              <w:rPr>
                <w:rFonts w:ascii="Times New Roman" w:hAnsi="Times New Roman" w:eastAsia="宋体" w:cs="Times New Roman"/>
                <w:spacing w:val="-17"/>
                <w:sz w:val="24"/>
              </w:rPr>
              <w:t>式</w:t>
            </w:r>
            <w:r>
              <w:rPr>
                <w:rFonts w:ascii="Times New Roman" w:hAnsi="Times New Roman" w:eastAsia="宋体" w:cs="Times New Roman"/>
                <w:spacing w:val="-15"/>
                <w:sz w:val="24"/>
              </w:rPr>
              <w:t>中：</w:t>
            </w:r>
          </w:p>
          <w:p w14:paraId="57F883A0">
            <w:pPr>
              <w:autoSpaceDE w:val="0"/>
              <w:autoSpaceDN w:val="0"/>
              <w:adjustRightInd w:val="0"/>
              <w:snapToGrid w:val="0"/>
              <w:spacing w:line="360" w:lineRule="auto"/>
              <w:ind w:firstLine="456" w:firstLineChars="200"/>
              <w:rPr>
                <w:rFonts w:ascii="Times New Roman" w:hAnsi="Times New Roman" w:eastAsia="宋体" w:cs="Times New Roman"/>
                <w:spacing w:val="-6"/>
                <w:sz w:val="24"/>
              </w:rPr>
            </w:pPr>
            <w:r>
              <w:rPr>
                <w:rFonts w:ascii="Times New Roman" w:hAnsi="Times New Roman" w:eastAsia="Times New Roman" w:cs="Times New Roman"/>
                <w:spacing w:val="-6"/>
                <w:sz w:val="24"/>
              </w:rPr>
              <w:t>L</w:t>
            </w:r>
            <w:r>
              <w:rPr>
                <w:rFonts w:ascii="Times New Roman" w:hAnsi="Times New Roman" w:eastAsia="Times New Roman" w:cs="Times New Roman"/>
                <w:i/>
                <w:iCs/>
                <w:spacing w:val="-6"/>
                <w:position w:val="-1"/>
                <w:sz w:val="24"/>
              </w:rPr>
              <w:t>p</w:t>
            </w:r>
            <w:r>
              <w:rPr>
                <w:rFonts w:ascii="Times New Roman" w:hAnsi="Times New Roman" w:eastAsia="Times New Roman" w:cs="Times New Roman"/>
                <w:i/>
                <w:iCs/>
                <w:spacing w:val="-12"/>
                <w:position w:val="-1"/>
                <w:sz w:val="24"/>
              </w:rPr>
              <w:t>2</w:t>
            </w:r>
            <w:r>
              <w:rPr>
                <w:rFonts w:ascii="Times New Roman" w:hAnsi="Times New Roman" w:eastAsia="宋体" w:cs="Times New Roman"/>
                <w:spacing w:val="-12"/>
                <w:sz w:val="24"/>
              </w:rPr>
              <w:t>（</w:t>
            </w:r>
            <w:r>
              <w:rPr>
                <w:rFonts w:ascii="Times New Roman" w:hAnsi="Times New Roman" w:eastAsia="Times New Roman" w:cs="Times New Roman"/>
                <w:spacing w:val="-6"/>
                <w:sz w:val="24"/>
              </w:rPr>
              <w:t>T</w:t>
            </w:r>
            <w:r>
              <w:rPr>
                <w:rFonts w:ascii="Times New Roman" w:hAnsi="Times New Roman" w:eastAsia="宋体" w:cs="Times New Roman"/>
                <w:spacing w:val="-12"/>
                <w:sz w:val="24"/>
              </w:rPr>
              <w:t>）：</w:t>
            </w:r>
            <w:r>
              <w:rPr>
                <w:rFonts w:ascii="Times New Roman" w:hAnsi="Times New Roman" w:eastAsia="宋体" w:cs="Times New Roman"/>
                <w:spacing w:val="-7"/>
                <w:sz w:val="24"/>
              </w:rPr>
              <w:t>靠</w:t>
            </w:r>
            <w:r>
              <w:rPr>
                <w:rFonts w:ascii="Times New Roman" w:hAnsi="Times New Roman" w:eastAsia="宋体" w:cs="Times New Roman"/>
                <w:spacing w:val="-6"/>
                <w:sz w:val="24"/>
              </w:rPr>
              <w:t>近围护结构处室外</w:t>
            </w:r>
            <w:r>
              <w:rPr>
                <w:rFonts w:ascii="Times New Roman" w:hAnsi="Times New Roman" w:eastAsia="Times New Roman" w:cs="Times New Roman"/>
                <w:spacing w:val="-6"/>
                <w:sz w:val="24"/>
              </w:rPr>
              <w:t>N</w:t>
            </w:r>
            <w:r>
              <w:rPr>
                <w:rFonts w:ascii="Times New Roman" w:hAnsi="Times New Roman" w:eastAsia="宋体" w:cs="Times New Roman"/>
                <w:spacing w:val="-6"/>
                <w:sz w:val="24"/>
              </w:rPr>
              <w:t>个声源的叠加声压级，</w:t>
            </w:r>
            <w:r>
              <w:rPr>
                <w:rFonts w:ascii="Times New Roman" w:hAnsi="Times New Roman" w:eastAsia="Times New Roman" w:cs="Times New Roman"/>
                <w:spacing w:val="-6"/>
                <w:sz w:val="24"/>
              </w:rPr>
              <w:t>dB</w:t>
            </w:r>
            <w:r>
              <w:rPr>
                <w:rFonts w:ascii="Times New Roman" w:hAnsi="Times New Roman" w:eastAsia="宋体" w:cs="Times New Roman"/>
                <w:spacing w:val="-6"/>
                <w:sz w:val="24"/>
              </w:rPr>
              <w:t>（</w:t>
            </w:r>
            <w:r>
              <w:rPr>
                <w:rFonts w:ascii="Times New Roman" w:hAnsi="Times New Roman" w:eastAsia="Times New Roman" w:cs="Times New Roman"/>
                <w:spacing w:val="-6"/>
                <w:sz w:val="24"/>
              </w:rPr>
              <w:t>A</w:t>
            </w:r>
            <w:r>
              <w:rPr>
                <w:rFonts w:ascii="Times New Roman" w:hAnsi="Times New Roman" w:eastAsia="宋体" w:cs="Times New Roman"/>
                <w:spacing w:val="-6"/>
                <w:sz w:val="24"/>
              </w:rPr>
              <w:t>）；</w:t>
            </w:r>
          </w:p>
          <w:p w14:paraId="45CAC956">
            <w:pPr>
              <w:autoSpaceDE w:val="0"/>
              <w:autoSpaceDN w:val="0"/>
              <w:adjustRightInd w:val="0"/>
              <w:snapToGrid w:val="0"/>
              <w:spacing w:line="360" w:lineRule="auto"/>
              <w:ind w:firstLine="448" w:firstLineChars="200"/>
              <w:rPr>
                <w:rFonts w:ascii="Times New Roman" w:hAnsi="Times New Roman" w:eastAsia="宋体" w:cs="Times New Roman"/>
                <w:sz w:val="24"/>
              </w:rPr>
            </w:pPr>
            <w:r>
              <w:rPr>
                <w:rFonts w:ascii="Times New Roman" w:hAnsi="Times New Roman" w:eastAsia="Times New Roman" w:cs="Times New Roman"/>
                <w:spacing w:val="-8"/>
                <w:sz w:val="24"/>
              </w:rPr>
              <w:t>TL</w:t>
            </w:r>
            <w:r>
              <w:rPr>
                <w:rFonts w:ascii="Times New Roman" w:hAnsi="Times New Roman" w:eastAsia="Times New Roman" w:cs="Times New Roman"/>
                <w:i/>
                <w:iCs/>
                <w:spacing w:val="-8"/>
                <w:position w:val="-1"/>
                <w:sz w:val="24"/>
              </w:rPr>
              <w:t>i</w:t>
            </w:r>
            <w:r>
              <w:rPr>
                <w:rFonts w:ascii="Times New Roman" w:hAnsi="Times New Roman" w:eastAsia="Times New Roman" w:cs="Times New Roman"/>
                <w:spacing w:val="-8"/>
                <w:position w:val="-1"/>
                <w:sz w:val="24"/>
              </w:rPr>
              <w:t xml:space="preserve"> </w:t>
            </w:r>
            <w:r>
              <w:rPr>
                <w:rFonts w:ascii="Times New Roman" w:hAnsi="Times New Roman" w:eastAsia="宋体" w:cs="Times New Roman"/>
                <w:spacing w:val="-8"/>
                <w:sz w:val="24"/>
              </w:rPr>
              <w:t>；围护结构的隔声量，</w:t>
            </w:r>
            <w:r>
              <w:rPr>
                <w:rFonts w:ascii="Times New Roman" w:hAnsi="Times New Roman" w:eastAsia="Times New Roman" w:cs="Times New Roman"/>
                <w:spacing w:val="-8"/>
                <w:sz w:val="24"/>
              </w:rPr>
              <w:t>dB</w:t>
            </w:r>
            <w:r>
              <w:rPr>
                <w:rFonts w:ascii="Times New Roman" w:hAnsi="Times New Roman" w:eastAsia="宋体" w:cs="Times New Roman"/>
                <w:spacing w:val="-8"/>
                <w:sz w:val="24"/>
              </w:rPr>
              <w:t>（</w:t>
            </w:r>
            <w:r>
              <w:rPr>
                <w:rFonts w:ascii="Times New Roman" w:hAnsi="Times New Roman" w:eastAsia="Times New Roman" w:cs="Times New Roman"/>
                <w:spacing w:val="-7"/>
                <w:sz w:val="24"/>
              </w:rPr>
              <w:t>A</w:t>
            </w:r>
            <w:r>
              <w:rPr>
                <w:rFonts w:ascii="Times New Roman" w:hAnsi="Times New Roman" w:eastAsia="宋体" w:cs="Times New Roman"/>
                <w:spacing w:val="-8"/>
                <w:sz w:val="24"/>
              </w:rPr>
              <w:t>）。</w:t>
            </w:r>
          </w:p>
          <w:p w14:paraId="1476A1BB">
            <w:pPr>
              <w:autoSpaceDE w:val="0"/>
              <w:autoSpaceDN w:val="0"/>
              <w:adjustRightInd w:val="0"/>
              <w:snapToGrid w:val="0"/>
              <w:spacing w:line="360" w:lineRule="auto"/>
              <w:ind w:firstLine="432" w:firstLineChars="200"/>
              <w:rPr>
                <w:rFonts w:ascii="Times New Roman" w:hAnsi="Times New Roman" w:eastAsia="宋体" w:cs="Times New Roman"/>
                <w:sz w:val="24"/>
              </w:rPr>
            </w:pPr>
            <w:r>
              <w:rPr>
                <w:rFonts w:ascii="Times New Roman" w:hAnsi="Times New Roman" w:eastAsia="宋体" w:cs="Times New Roman"/>
                <w:spacing w:val="-12"/>
                <w:sz w:val="24"/>
              </w:rPr>
              <w:t>⑤将</w:t>
            </w:r>
            <w:r>
              <w:rPr>
                <w:rFonts w:ascii="Times New Roman" w:hAnsi="Times New Roman" w:eastAsia="宋体" w:cs="Times New Roman"/>
                <w:spacing w:val="-8"/>
                <w:sz w:val="24"/>
              </w:rPr>
              <w:t>室</w:t>
            </w:r>
            <w:r>
              <w:rPr>
                <w:rFonts w:ascii="Times New Roman" w:hAnsi="Times New Roman" w:eastAsia="宋体" w:cs="Times New Roman"/>
                <w:spacing w:val="-6"/>
                <w:sz w:val="24"/>
              </w:rPr>
              <w:t xml:space="preserve">外声级 </w:t>
            </w:r>
            <w:r>
              <w:rPr>
                <w:rFonts w:ascii="Times New Roman" w:hAnsi="Times New Roman" w:eastAsia="Times New Roman" w:cs="Times New Roman"/>
                <w:i/>
                <w:iCs/>
                <w:spacing w:val="-6"/>
                <w:sz w:val="24"/>
              </w:rPr>
              <w:t>L</w:t>
            </w:r>
            <w:r>
              <w:rPr>
                <w:rFonts w:ascii="Times New Roman" w:hAnsi="Times New Roman" w:eastAsia="Times New Roman" w:cs="Times New Roman"/>
                <w:i/>
                <w:iCs/>
                <w:spacing w:val="-6"/>
                <w:position w:val="-1"/>
                <w:sz w:val="24"/>
              </w:rPr>
              <w:t>p2</w:t>
            </w:r>
            <w:r>
              <w:rPr>
                <w:rFonts w:ascii="Times New Roman" w:hAnsi="Times New Roman" w:eastAsia="Times New Roman" w:cs="Times New Roman"/>
                <w:spacing w:val="-6"/>
                <w:position w:val="-1"/>
                <w:sz w:val="24"/>
              </w:rPr>
              <w:t xml:space="preserve"> </w:t>
            </w:r>
            <w:r>
              <w:rPr>
                <w:rFonts w:ascii="Times New Roman" w:hAnsi="Times New Roman" w:eastAsia="宋体" w:cs="Times New Roman"/>
                <w:i/>
                <w:iCs/>
                <w:spacing w:val="-6"/>
                <w:sz w:val="24"/>
              </w:rPr>
              <w:t>（</w:t>
            </w:r>
            <w:r>
              <w:rPr>
                <w:rFonts w:ascii="Times New Roman" w:hAnsi="Times New Roman" w:eastAsia="Times New Roman" w:cs="Times New Roman"/>
                <w:i/>
                <w:iCs/>
                <w:spacing w:val="-6"/>
                <w:sz w:val="24"/>
              </w:rPr>
              <w:t>T</w:t>
            </w:r>
            <w:r>
              <w:rPr>
                <w:rFonts w:ascii="Times New Roman" w:hAnsi="Times New Roman" w:eastAsia="宋体" w:cs="Times New Roman"/>
                <w:i/>
                <w:iCs/>
                <w:spacing w:val="-6"/>
                <w:sz w:val="24"/>
              </w:rPr>
              <w:t>）</w:t>
            </w:r>
            <w:r>
              <w:rPr>
                <w:rFonts w:ascii="Times New Roman" w:hAnsi="Times New Roman" w:eastAsia="宋体" w:cs="Times New Roman"/>
                <w:spacing w:val="-6"/>
                <w:sz w:val="24"/>
              </w:rPr>
              <w:t>和透声面积换算成等效的室外声源，计算出等效声源的</w:t>
            </w:r>
            <w:r>
              <w:rPr>
                <w:rFonts w:ascii="Times New Roman" w:hAnsi="Times New Roman" w:eastAsia="宋体" w:cs="Times New Roman"/>
                <w:spacing w:val="-7"/>
                <w:sz w:val="24"/>
              </w:rPr>
              <w:t xml:space="preserve">声功率级 </w:t>
            </w:r>
            <w:r>
              <w:rPr>
                <w:rFonts w:ascii="Times New Roman" w:hAnsi="Times New Roman" w:eastAsia="Times New Roman" w:cs="Times New Roman"/>
                <w:i/>
                <w:iCs/>
                <w:spacing w:val="-7"/>
                <w:sz w:val="24"/>
              </w:rPr>
              <w:t>L</w:t>
            </w:r>
            <w:r>
              <w:rPr>
                <w:rFonts w:ascii="Times New Roman" w:hAnsi="Times New Roman" w:eastAsia="Times New Roman" w:cs="Times New Roman"/>
                <w:i/>
                <w:iCs/>
                <w:spacing w:val="-6"/>
                <w:position w:val="-1"/>
                <w:sz w:val="24"/>
              </w:rPr>
              <w:t>W</w:t>
            </w:r>
            <w:r>
              <w:rPr>
                <w:rFonts w:ascii="Times New Roman" w:hAnsi="Times New Roman" w:eastAsia="宋体" w:cs="Times New Roman"/>
                <w:spacing w:val="-7"/>
                <w:sz w:val="24"/>
              </w:rPr>
              <w:t>；</w:t>
            </w:r>
          </w:p>
          <w:p w14:paraId="4582CEF5">
            <w:pPr>
              <w:autoSpaceDE w:val="0"/>
              <w:autoSpaceDN w:val="0"/>
              <w:adjustRightInd w:val="0"/>
              <w:snapToGrid w:val="0"/>
              <w:spacing w:line="360" w:lineRule="auto"/>
              <w:ind w:firstLine="480" w:firstLineChars="200"/>
              <w:jc w:val="center"/>
              <w:rPr>
                <w:rFonts w:ascii="Times New Roman" w:hAnsi="Times New Roman" w:cs="Times New Roman"/>
                <w:sz w:val="24"/>
              </w:rPr>
            </w:pPr>
            <w:r>
              <w:rPr>
                <w:rFonts w:ascii="Times New Roman" w:hAnsi="Times New Roman" w:cs="Times New Roman"/>
                <w:sz w:val="24"/>
              </w:rPr>
              <w:drawing>
                <wp:inline distT="0" distB="0" distL="114300" distR="114300">
                  <wp:extent cx="1524635" cy="303530"/>
                  <wp:effectExtent l="0" t="0" r="18415" b="127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8"/>
                          <a:stretch>
                            <a:fillRect/>
                          </a:stretch>
                        </pic:blipFill>
                        <pic:spPr>
                          <a:xfrm>
                            <a:off x="0" y="0"/>
                            <a:ext cx="1524635" cy="303530"/>
                          </a:xfrm>
                          <a:prstGeom prst="rect">
                            <a:avLst/>
                          </a:prstGeom>
                          <a:noFill/>
                          <a:ln>
                            <a:noFill/>
                          </a:ln>
                        </pic:spPr>
                      </pic:pic>
                    </a:graphicData>
                  </a:graphic>
                </wp:inline>
              </w:drawing>
            </w:r>
          </w:p>
          <w:p w14:paraId="3DE79E2C">
            <w:pPr>
              <w:autoSpaceDE w:val="0"/>
              <w:autoSpaceDN w:val="0"/>
              <w:adjustRightInd w:val="0"/>
              <w:snapToGrid w:val="0"/>
              <w:spacing w:line="360" w:lineRule="auto"/>
              <w:ind w:firstLine="368" w:firstLineChars="200"/>
              <w:rPr>
                <w:rFonts w:ascii="Times New Roman" w:hAnsi="Times New Roman" w:eastAsia="宋体" w:cs="Times New Roman"/>
                <w:sz w:val="24"/>
              </w:rPr>
            </w:pPr>
            <w:r>
              <w:rPr>
                <w:rFonts w:ascii="Times New Roman" w:hAnsi="Times New Roman" w:eastAsia="宋体" w:cs="Times New Roman"/>
                <w:spacing w:val="-28"/>
                <w:sz w:val="24"/>
              </w:rPr>
              <w:t>式</w:t>
            </w:r>
            <w:r>
              <w:rPr>
                <w:rFonts w:ascii="Times New Roman" w:hAnsi="Times New Roman" w:eastAsia="宋体" w:cs="Times New Roman"/>
                <w:spacing w:val="-15"/>
                <w:sz w:val="24"/>
              </w:rPr>
              <w:t>中：</w:t>
            </w:r>
            <w:r>
              <w:rPr>
                <w:rFonts w:ascii="Times New Roman" w:hAnsi="Times New Roman" w:eastAsia="Times New Roman" w:cs="Times New Roman"/>
                <w:spacing w:val="-15"/>
                <w:sz w:val="24"/>
              </w:rPr>
              <w:t>s</w:t>
            </w:r>
            <w:r>
              <w:rPr>
                <w:rFonts w:ascii="Times New Roman" w:hAnsi="Times New Roman" w:eastAsia="宋体" w:cs="Times New Roman"/>
                <w:spacing w:val="-15"/>
                <w:sz w:val="24"/>
              </w:rPr>
              <w:t>为透声面积，</w:t>
            </w:r>
            <w:r>
              <w:rPr>
                <w:rFonts w:ascii="Times New Roman" w:hAnsi="Times New Roman" w:eastAsia="Times New Roman" w:cs="Times New Roman"/>
                <w:spacing w:val="-15"/>
                <w:sz w:val="24"/>
              </w:rPr>
              <w:t>m</w:t>
            </w:r>
            <w:r>
              <w:rPr>
                <w:rFonts w:ascii="Times New Roman" w:hAnsi="Times New Roman" w:eastAsia="宋体" w:cs="Times New Roman"/>
                <w:spacing w:val="-15"/>
                <w:sz w:val="24"/>
                <w:vertAlign w:val="superscript"/>
              </w:rPr>
              <w:t>2</w:t>
            </w:r>
            <w:r>
              <w:rPr>
                <w:rFonts w:ascii="Times New Roman" w:hAnsi="Times New Roman" w:eastAsia="宋体" w:cs="Times New Roman"/>
                <w:spacing w:val="-15"/>
                <w:sz w:val="24"/>
              </w:rPr>
              <w:t>。</w:t>
            </w:r>
          </w:p>
          <w:p w14:paraId="57D611AD">
            <w:pPr>
              <w:widowControl/>
              <w:autoSpaceDE w:val="0"/>
              <w:autoSpaceDN w:val="0"/>
              <w:adjustRightInd w:val="0"/>
              <w:snapToGrid w:val="0"/>
              <w:spacing w:line="360" w:lineRule="auto"/>
              <w:ind w:firstLine="472" w:firstLineChars="200"/>
              <w:rPr>
                <w:rFonts w:ascii="Times New Roman" w:hAnsi="Times New Roman" w:eastAsia="Times New Roman" w:cs="Times New Roman"/>
                <w:i/>
                <w:iCs/>
                <w:spacing w:val="-3"/>
                <w:sz w:val="24"/>
              </w:rPr>
            </w:pPr>
            <w:r>
              <w:rPr>
                <w:rFonts w:ascii="Times New Roman" w:hAnsi="Times New Roman" w:eastAsia="宋体" w:cs="Times New Roman"/>
                <w:spacing w:val="-2"/>
                <w:sz w:val="24"/>
              </w:rPr>
              <w:t>⑥等效室外声源的位置为围护结构的位置，其声功率级为</w:t>
            </w:r>
            <w:r>
              <w:rPr>
                <w:rFonts w:ascii="Times New Roman" w:hAnsi="Times New Roman" w:eastAsia="Times New Roman" w:cs="Times New Roman"/>
                <w:sz w:val="24"/>
              </w:rPr>
              <w:t>L</w:t>
            </w:r>
            <w:r>
              <w:rPr>
                <w:rFonts w:ascii="Times New Roman" w:hAnsi="Times New Roman" w:eastAsia="Times New Roman" w:cs="Times New Roman"/>
                <w:i/>
                <w:iCs/>
                <w:sz w:val="24"/>
              </w:rPr>
              <w:t>w</w:t>
            </w:r>
            <w:r>
              <w:rPr>
                <w:rFonts w:ascii="Times New Roman" w:hAnsi="Times New Roman" w:eastAsia="宋体" w:cs="Times New Roman"/>
                <w:spacing w:val="-2"/>
                <w:sz w:val="24"/>
              </w:rPr>
              <w:t>，由此按室</w:t>
            </w:r>
            <w:r>
              <w:rPr>
                <w:rFonts w:ascii="Times New Roman" w:hAnsi="Times New Roman" w:eastAsia="宋体" w:cs="Times New Roman"/>
                <w:sz w:val="24"/>
              </w:rPr>
              <w:t>外</w:t>
            </w:r>
            <w:r>
              <w:rPr>
                <w:rFonts w:ascii="Times New Roman" w:hAnsi="Times New Roman" w:eastAsia="宋体" w:cs="Times New Roman"/>
                <w:spacing w:val="-6"/>
                <w:sz w:val="24"/>
              </w:rPr>
              <w:t>声源方法计算</w:t>
            </w:r>
            <w:r>
              <w:rPr>
                <w:rFonts w:ascii="Times New Roman" w:hAnsi="Times New Roman" w:eastAsia="宋体" w:cs="Times New Roman"/>
                <w:spacing w:val="-3"/>
                <w:sz w:val="24"/>
              </w:rPr>
              <w:t>等效室外声源在预测点产生的</w:t>
            </w:r>
            <w:r>
              <w:rPr>
                <w:rFonts w:ascii="Times New Roman" w:hAnsi="Times New Roman" w:eastAsia="Times New Roman" w:cs="Times New Roman"/>
                <w:spacing w:val="-3"/>
                <w:sz w:val="24"/>
              </w:rPr>
              <w:t>A</w:t>
            </w:r>
            <w:r>
              <w:rPr>
                <w:rFonts w:ascii="Times New Roman" w:hAnsi="Times New Roman" w:eastAsia="宋体" w:cs="Times New Roman"/>
                <w:spacing w:val="-3"/>
                <w:sz w:val="24"/>
              </w:rPr>
              <w:t>声级。</w:t>
            </w:r>
          </w:p>
          <w:p w14:paraId="30D0968A">
            <w:pPr>
              <w:autoSpaceDE w:val="0"/>
              <w:autoSpaceDN w:val="0"/>
              <w:adjustRightInd w:val="0"/>
              <w:snapToGrid w:val="0"/>
              <w:spacing w:line="360" w:lineRule="auto"/>
              <w:ind w:firstLine="508" w:firstLineChars="200"/>
              <w:rPr>
                <w:rFonts w:ascii="Times New Roman" w:hAnsi="Times New Roman" w:eastAsia="宋体" w:cs="Times New Roman"/>
                <w:spacing w:val="7"/>
                <w:sz w:val="24"/>
              </w:rPr>
            </w:pPr>
            <w:r>
              <w:rPr>
                <w:rFonts w:ascii="Times New Roman" w:hAnsi="Times New Roman" w:eastAsia="宋体" w:cs="Times New Roman"/>
                <w:spacing w:val="7"/>
                <w:sz w:val="24"/>
              </w:rPr>
              <w:t>4</w:t>
            </w:r>
            <w:r>
              <w:rPr>
                <w:rFonts w:ascii="Times New Roman" w:hAnsi="Times New Roman" w:cs="Times New Roman"/>
                <w:spacing w:val="7"/>
                <w:sz w:val="24"/>
              </w:rPr>
              <w:t>）</w:t>
            </w:r>
            <w:r>
              <w:rPr>
                <w:rFonts w:ascii="Times New Roman" w:hAnsi="Times New Roman" w:eastAsia="宋体" w:cs="Times New Roman"/>
                <w:spacing w:val="7"/>
                <w:sz w:val="24"/>
              </w:rPr>
              <w:t>计算总声压级</w:t>
            </w:r>
          </w:p>
          <w:p w14:paraId="520B84D4">
            <w:pPr>
              <w:autoSpaceDE w:val="0"/>
              <w:autoSpaceDN w:val="0"/>
              <w:adjustRightInd w:val="0"/>
              <w:snapToGrid w:val="0"/>
              <w:spacing w:line="360" w:lineRule="auto"/>
              <w:ind w:firstLine="424" w:firstLineChars="200"/>
              <w:rPr>
                <w:rFonts w:ascii="Times New Roman" w:hAnsi="Times New Roman" w:eastAsia="宋体" w:cs="Times New Roman"/>
                <w:sz w:val="24"/>
              </w:rPr>
            </w:pPr>
            <w:r>
              <w:rPr>
                <w:rFonts w:ascii="Times New Roman" w:hAnsi="Times New Roman" w:eastAsia="宋体" w:cs="Times New Roman"/>
                <w:spacing w:val="-14"/>
                <w:sz w:val="24"/>
              </w:rPr>
              <w:t>设</w:t>
            </w:r>
            <w:r>
              <w:rPr>
                <w:rFonts w:ascii="Times New Roman" w:hAnsi="Times New Roman" w:eastAsia="宋体" w:cs="Times New Roman"/>
                <w:spacing w:val="-8"/>
                <w:sz w:val="24"/>
              </w:rPr>
              <w:t>第</w:t>
            </w:r>
            <w:r>
              <w:rPr>
                <w:rFonts w:ascii="Times New Roman" w:hAnsi="Times New Roman" w:eastAsia="Times New Roman" w:cs="Times New Roman"/>
                <w:spacing w:val="-7"/>
                <w:sz w:val="24"/>
              </w:rPr>
              <w:t>i</w:t>
            </w:r>
            <w:r>
              <w:rPr>
                <w:rFonts w:ascii="Times New Roman" w:hAnsi="Times New Roman" w:eastAsia="宋体" w:cs="Times New Roman"/>
                <w:spacing w:val="-7"/>
                <w:sz w:val="24"/>
              </w:rPr>
              <w:t>个室外声源在预测点产生的</w:t>
            </w:r>
            <w:r>
              <w:rPr>
                <w:rFonts w:ascii="Times New Roman" w:hAnsi="Times New Roman" w:eastAsia="Times New Roman" w:cs="Times New Roman"/>
                <w:spacing w:val="-7"/>
                <w:sz w:val="24"/>
              </w:rPr>
              <w:t>A</w:t>
            </w:r>
            <w:r>
              <w:rPr>
                <w:rFonts w:ascii="Times New Roman" w:hAnsi="Times New Roman" w:eastAsia="宋体" w:cs="Times New Roman"/>
                <w:spacing w:val="-7"/>
                <w:sz w:val="24"/>
              </w:rPr>
              <w:t>声级为</w:t>
            </w:r>
            <w:r>
              <w:rPr>
                <w:rFonts w:ascii="Times New Roman" w:hAnsi="Times New Roman" w:eastAsia="Times New Roman" w:cs="Times New Roman"/>
                <w:i/>
                <w:iCs/>
                <w:spacing w:val="-7"/>
                <w:sz w:val="24"/>
              </w:rPr>
              <w:t>L</w:t>
            </w:r>
            <w:r>
              <w:rPr>
                <w:rFonts w:ascii="Times New Roman" w:hAnsi="Times New Roman" w:eastAsia="Times New Roman" w:cs="Times New Roman"/>
                <w:i/>
                <w:iCs/>
                <w:spacing w:val="-7"/>
                <w:position w:val="-1"/>
                <w:sz w:val="24"/>
              </w:rPr>
              <w:t>A,i</w:t>
            </w:r>
            <w:r>
              <w:rPr>
                <w:rFonts w:ascii="Times New Roman" w:hAnsi="Times New Roman" w:eastAsia="Times New Roman" w:cs="Times New Roman"/>
                <w:spacing w:val="-7"/>
                <w:position w:val="-1"/>
                <w:sz w:val="24"/>
              </w:rPr>
              <w:t xml:space="preserve"> </w:t>
            </w:r>
            <w:r>
              <w:rPr>
                <w:rFonts w:ascii="Times New Roman" w:hAnsi="Times New Roman" w:eastAsia="宋体" w:cs="Times New Roman"/>
                <w:spacing w:val="-7"/>
                <w:sz w:val="24"/>
              </w:rPr>
              <w:t>，在</w:t>
            </w:r>
            <w:r>
              <w:rPr>
                <w:rFonts w:ascii="Times New Roman" w:hAnsi="Times New Roman" w:eastAsia="Times New Roman" w:cs="Times New Roman"/>
                <w:spacing w:val="-7"/>
                <w:sz w:val="24"/>
              </w:rPr>
              <w:t>T</w:t>
            </w:r>
            <w:r>
              <w:rPr>
                <w:rFonts w:ascii="Times New Roman" w:hAnsi="Times New Roman" w:eastAsia="宋体" w:cs="Times New Roman"/>
                <w:spacing w:val="-7"/>
                <w:sz w:val="24"/>
              </w:rPr>
              <w:t>时间内该声源工作时</w:t>
            </w:r>
            <w:r>
              <w:rPr>
                <w:rFonts w:ascii="Times New Roman" w:hAnsi="Times New Roman" w:eastAsia="宋体" w:cs="Times New Roman"/>
                <w:spacing w:val="-12"/>
                <w:sz w:val="24"/>
              </w:rPr>
              <w:t>间为</w:t>
            </w:r>
            <w:r>
              <w:rPr>
                <w:rFonts w:ascii="Times New Roman" w:hAnsi="Times New Roman" w:eastAsia="Times New Roman" w:cs="Times New Roman"/>
                <w:i/>
                <w:iCs/>
                <w:spacing w:val="-6"/>
                <w:sz w:val="24"/>
              </w:rPr>
              <w:t>t</w:t>
            </w:r>
            <w:r>
              <w:rPr>
                <w:rFonts w:ascii="Times New Roman" w:hAnsi="Times New Roman" w:eastAsia="Times New Roman" w:cs="Times New Roman"/>
                <w:i/>
                <w:iCs/>
                <w:spacing w:val="-6"/>
                <w:position w:val="-1"/>
                <w:sz w:val="24"/>
              </w:rPr>
              <w:t>i</w:t>
            </w:r>
            <w:r>
              <w:rPr>
                <w:rFonts w:ascii="Times New Roman" w:hAnsi="Times New Roman" w:eastAsia="Times New Roman" w:cs="Times New Roman"/>
                <w:spacing w:val="-6"/>
                <w:position w:val="-1"/>
                <w:sz w:val="24"/>
              </w:rPr>
              <w:t xml:space="preserve"> </w:t>
            </w:r>
            <w:r>
              <w:rPr>
                <w:rFonts w:ascii="Times New Roman" w:hAnsi="Times New Roman" w:eastAsia="宋体" w:cs="Times New Roman"/>
                <w:spacing w:val="-6"/>
                <w:sz w:val="24"/>
              </w:rPr>
              <w:t>；第</w:t>
            </w:r>
            <w:r>
              <w:rPr>
                <w:rFonts w:ascii="Times New Roman" w:hAnsi="Times New Roman" w:eastAsia="Times New Roman" w:cs="Times New Roman"/>
                <w:spacing w:val="-6"/>
                <w:sz w:val="24"/>
              </w:rPr>
              <w:t>j</w:t>
            </w:r>
            <w:r>
              <w:rPr>
                <w:rFonts w:ascii="Times New Roman" w:hAnsi="Times New Roman" w:eastAsia="宋体" w:cs="Times New Roman"/>
                <w:spacing w:val="-6"/>
                <w:sz w:val="24"/>
              </w:rPr>
              <w:t>个等效室外声源在预测点产生的</w:t>
            </w:r>
            <w:r>
              <w:rPr>
                <w:rFonts w:ascii="Times New Roman" w:hAnsi="Times New Roman" w:eastAsia="Times New Roman" w:cs="Times New Roman"/>
                <w:spacing w:val="-6"/>
                <w:sz w:val="24"/>
              </w:rPr>
              <w:t>A</w:t>
            </w:r>
            <w:r>
              <w:rPr>
                <w:rFonts w:ascii="Times New Roman" w:hAnsi="Times New Roman" w:eastAsia="宋体" w:cs="Times New Roman"/>
                <w:spacing w:val="-6"/>
                <w:sz w:val="24"/>
              </w:rPr>
              <w:t>声级为</w:t>
            </w:r>
            <w:r>
              <w:rPr>
                <w:rFonts w:ascii="Times New Roman" w:hAnsi="Times New Roman" w:eastAsia="Times New Roman" w:cs="Times New Roman"/>
                <w:i/>
                <w:iCs/>
                <w:spacing w:val="-6"/>
                <w:sz w:val="24"/>
              </w:rPr>
              <w:t>L</w:t>
            </w:r>
            <w:r>
              <w:rPr>
                <w:rFonts w:ascii="Times New Roman" w:hAnsi="Times New Roman" w:eastAsia="Times New Roman" w:cs="Times New Roman"/>
                <w:i/>
                <w:iCs/>
                <w:spacing w:val="-6"/>
                <w:position w:val="-1"/>
                <w:sz w:val="24"/>
              </w:rPr>
              <w:t>Aj</w:t>
            </w:r>
            <w:r>
              <w:rPr>
                <w:rFonts w:ascii="Times New Roman" w:hAnsi="Times New Roman" w:eastAsia="Times New Roman" w:cs="Times New Roman"/>
                <w:spacing w:val="-6"/>
                <w:position w:val="-1"/>
                <w:sz w:val="24"/>
              </w:rPr>
              <w:t xml:space="preserve"> </w:t>
            </w:r>
            <w:r>
              <w:rPr>
                <w:rFonts w:ascii="Times New Roman" w:hAnsi="Times New Roman" w:eastAsia="宋体" w:cs="Times New Roman"/>
                <w:spacing w:val="-6"/>
                <w:sz w:val="24"/>
              </w:rPr>
              <w:t>，在</w:t>
            </w:r>
            <w:r>
              <w:rPr>
                <w:rFonts w:ascii="Times New Roman" w:hAnsi="Times New Roman" w:eastAsia="Times New Roman" w:cs="Times New Roman"/>
                <w:spacing w:val="-6"/>
                <w:sz w:val="24"/>
              </w:rPr>
              <w:t>T</w:t>
            </w:r>
            <w:r>
              <w:rPr>
                <w:rFonts w:ascii="Times New Roman" w:hAnsi="Times New Roman" w:eastAsia="宋体" w:cs="Times New Roman"/>
                <w:spacing w:val="-6"/>
                <w:sz w:val="24"/>
              </w:rPr>
              <w:t>时间内该声源</w:t>
            </w:r>
            <w:r>
              <w:rPr>
                <w:rFonts w:ascii="Times New Roman" w:hAnsi="Times New Roman" w:eastAsia="宋体" w:cs="Times New Roman"/>
                <w:spacing w:val="1"/>
                <w:sz w:val="24"/>
              </w:rPr>
              <w:t>工作时间为</w:t>
            </w:r>
            <w:r>
              <w:rPr>
                <w:rFonts w:ascii="Times New Roman" w:hAnsi="Times New Roman" w:eastAsia="Times New Roman" w:cs="Times New Roman"/>
                <w:i/>
                <w:iCs/>
                <w:sz w:val="24"/>
              </w:rPr>
              <w:t>t</w:t>
            </w:r>
            <w:r>
              <w:rPr>
                <w:rFonts w:ascii="Times New Roman" w:hAnsi="Times New Roman" w:eastAsia="Times New Roman" w:cs="Times New Roman"/>
                <w:i/>
                <w:iCs/>
                <w:position w:val="-1"/>
                <w:sz w:val="24"/>
              </w:rPr>
              <w:t>,j</w:t>
            </w:r>
            <w:r>
              <w:rPr>
                <w:rFonts w:ascii="Times New Roman" w:hAnsi="Times New Roman" w:eastAsia="Times New Roman" w:cs="Times New Roman"/>
                <w:position w:val="-1"/>
                <w:sz w:val="24"/>
              </w:rPr>
              <w:t xml:space="preserve"> </w:t>
            </w:r>
            <w:r>
              <w:rPr>
                <w:rFonts w:ascii="Times New Roman" w:hAnsi="Times New Roman" w:eastAsia="宋体" w:cs="Times New Roman"/>
                <w:sz w:val="24"/>
              </w:rPr>
              <w:t>，则拟建工程声源对预测点产生的贡献值（</w:t>
            </w:r>
            <w:r>
              <w:rPr>
                <w:rFonts w:ascii="Times New Roman" w:hAnsi="Times New Roman" w:eastAsia="Times New Roman" w:cs="Times New Roman"/>
                <w:sz w:val="24"/>
              </w:rPr>
              <w:t>L</w:t>
            </w:r>
            <w:r>
              <w:rPr>
                <w:rFonts w:ascii="Times New Roman" w:hAnsi="Times New Roman" w:eastAsia="Times New Roman" w:cs="Times New Roman"/>
                <w:i/>
                <w:iCs/>
                <w:position w:val="-1"/>
                <w:sz w:val="24"/>
              </w:rPr>
              <w:t>eqg</w:t>
            </w:r>
            <w:r>
              <w:rPr>
                <w:rFonts w:ascii="Times New Roman" w:hAnsi="Times New Roman" w:eastAsia="Times New Roman" w:cs="Times New Roman"/>
                <w:position w:val="-1"/>
                <w:sz w:val="24"/>
              </w:rPr>
              <w:t xml:space="preserve"> </w:t>
            </w:r>
            <w:r>
              <w:rPr>
                <w:rFonts w:ascii="Times New Roman" w:hAnsi="Times New Roman" w:eastAsia="宋体" w:cs="Times New Roman"/>
                <w:sz w:val="24"/>
              </w:rPr>
              <w:t>）</w:t>
            </w:r>
          </w:p>
          <w:p w14:paraId="194F4589">
            <w:pPr>
              <w:autoSpaceDE w:val="0"/>
              <w:autoSpaceDN w:val="0"/>
              <w:adjustRightInd w:val="0"/>
              <w:snapToGrid w:val="0"/>
              <w:spacing w:line="360" w:lineRule="auto"/>
              <w:ind w:firstLine="480" w:firstLineChars="200"/>
              <w:rPr>
                <w:rFonts w:ascii="Times New Roman" w:hAnsi="Times New Roman" w:eastAsia="宋体" w:cs="Times New Roman"/>
                <w:spacing w:val="-17"/>
                <w:sz w:val="24"/>
              </w:rPr>
            </w:pPr>
            <w:r>
              <w:rPr>
                <w:rFonts w:ascii="Times New Roman" w:hAnsi="Times New Roman" w:cs="Times New Roman"/>
                <w:sz w:val="24"/>
              </w:rPr>
              <w:drawing>
                <wp:inline distT="0" distB="0" distL="114300" distR="114300">
                  <wp:extent cx="2392680" cy="455295"/>
                  <wp:effectExtent l="0" t="0" r="7620" b="190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9"/>
                          <a:stretch>
                            <a:fillRect/>
                          </a:stretch>
                        </pic:blipFill>
                        <pic:spPr>
                          <a:xfrm>
                            <a:off x="0" y="0"/>
                            <a:ext cx="2392680" cy="455295"/>
                          </a:xfrm>
                          <a:prstGeom prst="rect">
                            <a:avLst/>
                          </a:prstGeom>
                          <a:noFill/>
                          <a:ln>
                            <a:noFill/>
                          </a:ln>
                        </pic:spPr>
                      </pic:pic>
                    </a:graphicData>
                  </a:graphic>
                </wp:inline>
              </w:drawing>
            </w:r>
          </w:p>
          <w:p w14:paraId="592A5F24">
            <w:pPr>
              <w:autoSpaceDE w:val="0"/>
              <w:autoSpaceDN w:val="0"/>
              <w:adjustRightInd w:val="0"/>
              <w:snapToGrid w:val="0"/>
              <w:spacing w:line="360" w:lineRule="auto"/>
              <w:ind w:firstLine="412" w:firstLineChars="200"/>
              <w:rPr>
                <w:rFonts w:ascii="Times New Roman" w:hAnsi="Times New Roman" w:eastAsia="宋体" w:cs="Times New Roman"/>
                <w:sz w:val="24"/>
              </w:rPr>
            </w:pPr>
            <w:r>
              <w:rPr>
                <w:rFonts w:ascii="Times New Roman" w:hAnsi="Times New Roman" w:eastAsia="宋体" w:cs="Times New Roman"/>
                <w:spacing w:val="-17"/>
                <w:sz w:val="24"/>
              </w:rPr>
              <w:t>式</w:t>
            </w:r>
            <w:r>
              <w:rPr>
                <w:rFonts w:ascii="Times New Roman" w:hAnsi="Times New Roman" w:eastAsia="宋体" w:cs="Times New Roman"/>
                <w:spacing w:val="-15"/>
                <w:sz w:val="24"/>
              </w:rPr>
              <w:t>中：</w:t>
            </w:r>
          </w:p>
          <w:p w14:paraId="3C9E5F10">
            <w:pPr>
              <w:autoSpaceDE w:val="0"/>
              <w:autoSpaceDN w:val="0"/>
              <w:adjustRightInd w:val="0"/>
              <w:snapToGrid w:val="0"/>
              <w:spacing w:line="360" w:lineRule="auto"/>
              <w:ind w:firstLine="452" w:firstLineChars="200"/>
              <w:rPr>
                <w:rFonts w:ascii="Times New Roman" w:hAnsi="Times New Roman" w:eastAsia="宋体" w:cs="Times New Roman"/>
                <w:sz w:val="24"/>
              </w:rPr>
            </w:pPr>
            <w:r>
              <w:rPr>
                <w:rFonts w:ascii="Times New Roman" w:hAnsi="Times New Roman" w:eastAsia="Times New Roman" w:cs="Times New Roman"/>
                <w:spacing w:val="-7"/>
                <w:position w:val="17"/>
                <w:sz w:val="24"/>
              </w:rPr>
              <w:t>t</w:t>
            </w:r>
            <w:r>
              <w:rPr>
                <w:rFonts w:ascii="Times New Roman" w:hAnsi="Times New Roman" w:eastAsia="Times New Roman" w:cs="Times New Roman"/>
                <w:spacing w:val="-7"/>
                <w:position w:val="16"/>
                <w:sz w:val="24"/>
              </w:rPr>
              <w:t>j</w:t>
            </w:r>
            <w:r>
              <w:rPr>
                <w:rFonts w:ascii="Times New Roman" w:hAnsi="Times New Roman" w:eastAsia="Times New Roman" w:cs="Times New Roman"/>
                <w:spacing w:val="-9"/>
                <w:position w:val="16"/>
                <w:sz w:val="24"/>
              </w:rPr>
              <w:t xml:space="preserve"> </w:t>
            </w:r>
            <w:r>
              <w:rPr>
                <w:rFonts w:ascii="Times New Roman" w:hAnsi="Times New Roman" w:eastAsia="宋体" w:cs="Times New Roman"/>
                <w:spacing w:val="-7"/>
                <w:position w:val="17"/>
                <w:sz w:val="24"/>
              </w:rPr>
              <w:t>：在</w:t>
            </w:r>
            <w:r>
              <w:rPr>
                <w:rFonts w:ascii="Times New Roman" w:hAnsi="Times New Roman" w:eastAsia="Times New Roman" w:cs="Times New Roman"/>
                <w:spacing w:val="-7"/>
                <w:position w:val="17"/>
                <w:sz w:val="24"/>
              </w:rPr>
              <w:t>T</w:t>
            </w:r>
            <w:r>
              <w:rPr>
                <w:rFonts w:ascii="Times New Roman" w:hAnsi="Times New Roman" w:eastAsia="宋体" w:cs="Times New Roman"/>
                <w:spacing w:val="-7"/>
                <w:position w:val="17"/>
                <w:sz w:val="24"/>
              </w:rPr>
              <w:t>时间内</w:t>
            </w:r>
            <w:r>
              <w:rPr>
                <w:rFonts w:ascii="Times New Roman" w:hAnsi="Times New Roman" w:eastAsia="Times New Roman" w:cs="Times New Roman"/>
                <w:spacing w:val="-7"/>
                <w:position w:val="17"/>
                <w:sz w:val="24"/>
              </w:rPr>
              <w:t>j</w:t>
            </w:r>
            <w:r>
              <w:rPr>
                <w:rFonts w:ascii="Times New Roman" w:hAnsi="Times New Roman" w:eastAsia="宋体" w:cs="Times New Roman"/>
                <w:spacing w:val="-7"/>
                <w:position w:val="17"/>
                <w:sz w:val="24"/>
              </w:rPr>
              <w:t>声源工作时间，</w:t>
            </w:r>
            <w:r>
              <w:rPr>
                <w:rFonts w:ascii="Times New Roman" w:hAnsi="Times New Roman" w:eastAsia="Times New Roman" w:cs="Times New Roman"/>
                <w:spacing w:val="-7"/>
                <w:position w:val="17"/>
                <w:sz w:val="24"/>
              </w:rPr>
              <w:t>s</w:t>
            </w:r>
            <w:r>
              <w:rPr>
                <w:rFonts w:ascii="Times New Roman" w:hAnsi="Times New Roman" w:eastAsia="宋体" w:cs="Times New Roman"/>
                <w:spacing w:val="-7"/>
                <w:position w:val="17"/>
                <w:sz w:val="24"/>
              </w:rPr>
              <w:t>；</w:t>
            </w:r>
          </w:p>
          <w:p w14:paraId="3AAFE322">
            <w:pPr>
              <w:autoSpaceDE w:val="0"/>
              <w:autoSpaceDN w:val="0"/>
              <w:adjustRightInd w:val="0"/>
              <w:snapToGrid w:val="0"/>
              <w:spacing w:line="360" w:lineRule="auto"/>
              <w:ind w:firstLine="452" w:firstLineChars="200"/>
              <w:rPr>
                <w:rFonts w:ascii="Times New Roman" w:hAnsi="Times New Roman" w:eastAsia="宋体" w:cs="Times New Roman"/>
                <w:sz w:val="24"/>
              </w:rPr>
            </w:pPr>
            <w:r>
              <w:rPr>
                <w:rFonts w:ascii="Times New Roman" w:hAnsi="Times New Roman" w:eastAsia="Times New Roman" w:cs="Times New Roman"/>
                <w:spacing w:val="-7"/>
                <w:sz w:val="24"/>
              </w:rPr>
              <w:t>t</w:t>
            </w:r>
            <w:r>
              <w:rPr>
                <w:rFonts w:ascii="Times New Roman" w:hAnsi="Times New Roman" w:eastAsia="Times New Roman" w:cs="Times New Roman"/>
                <w:spacing w:val="-7"/>
                <w:position w:val="-1"/>
                <w:sz w:val="24"/>
              </w:rPr>
              <w:t>i</w:t>
            </w:r>
            <w:r>
              <w:rPr>
                <w:rFonts w:ascii="Times New Roman" w:hAnsi="Times New Roman" w:eastAsia="Times New Roman" w:cs="Times New Roman"/>
                <w:spacing w:val="-9"/>
                <w:position w:val="-1"/>
                <w:sz w:val="24"/>
              </w:rPr>
              <w:t xml:space="preserve"> </w:t>
            </w:r>
            <w:r>
              <w:rPr>
                <w:rFonts w:ascii="Times New Roman" w:hAnsi="Times New Roman" w:eastAsia="宋体" w:cs="Times New Roman"/>
                <w:spacing w:val="-7"/>
                <w:sz w:val="24"/>
              </w:rPr>
              <w:t>：在</w:t>
            </w:r>
            <w:r>
              <w:rPr>
                <w:rFonts w:ascii="Times New Roman" w:hAnsi="Times New Roman" w:eastAsia="Times New Roman" w:cs="Times New Roman"/>
                <w:spacing w:val="-7"/>
                <w:sz w:val="24"/>
              </w:rPr>
              <w:t>T</w:t>
            </w:r>
            <w:r>
              <w:rPr>
                <w:rFonts w:ascii="Times New Roman" w:hAnsi="Times New Roman" w:eastAsia="宋体" w:cs="Times New Roman"/>
                <w:spacing w:val="-7"/>
                <w:sz w:val="24"/>
              </w:rPr>
              <w:t>时间内</w:t>
            </w:r>
            <w:r>
              <w:rPr>
                <w:rFonts w:ascii="Times New Roman" w:hAnsi="Times New Roman" w:eastAsia="Times New Roman" w:cs="Times New Roman"/>
                <w:spacing w:val="-7"/>
                <w:sz w:val="24"/>
              </w:rPr>
              <w:t>i</w:t>
            </w:r>
            <w:r>
              <w:rPr>
                <w:rFonts w:ascii="Times New Roman" w:hAnsi="Times New Roman" w:eastAsia="宋体" w:cs="Times New Roman"/>
                <w:spacing w:val="-7"/>
                <w:sz w:val="24"/>
              </w:rPr>
              <w:t>声源工作时间，</w:t>
            </w:r>
            <w:r>
              <w:rPr>
                <w:rFonts w:ascii="Times New Roman" w:hAnsi="Times New Roman" w:eastAsia="Times New Roman" w:cs="Times New Roman"/>
                <w:spacing w:val="-7"/>
                <w:sz w:val="24"/>
              </w:rPr>
              <w:t>s</w:t>
            </w:r>
            <w:r>
              <w:rPr>
                <w:rFonts w:ascii="Times New Roman" w:hAnsi="Times New Roman" w:eastAsia="宋体" w:cs="Times New Roman"/>
                <w:spacing w:val="-7"/>
                <w:sz w:val="24"/>
              </w:rPr>
              <w:t>；</w:t>
            </w:r>
          </w:p>
          <w:p w14:paraId="71A3C984">
            <w:pPr>
              <w:pStyle w:val="2"/>
              <w:autoSpaceDE w:val="0"/>
              <w:autoSpaceDN w:val="0"/>
              <w:adjustRightInd w:val="0"/>
              <w:snapToGrid w:val="0"/>
              <w:spacing w:line="360" w:lineRule="auto"/>
              <w:ind w:left="0" w:leftChars="0" w:firstLine="412" w:firstLineChars="200"/>
              <w:rPr>
                <w:rFonts w:ascii="Times New Roman" w:hAnsi="Times New Roman" w:eastAsia="宋体" w:cs="Times New Roman"/>
                <w:spacing w:val="-17"/>
                <w:sz w:val="24"/>
              </w:rPr>
            </w:pPr>
            <w:r>
              <w:rPr>
                <w:rFonts w:ascii="Times New Roman" w:hAnsi="Times New Roman" w:eastAsia="Times New Roman" w:cs="Times New Roman"/>
                <w:spacing w:val="-17"/>
                <w:sz w:val="24"/>
              </w:rPr>
              <w:t>T</w:t>
            </w:r>
            <w:r>
              <w:rPr>
                <w:rFonts w:ascii="Times New Roman" w:hAnsi="Times New Roman" w:eastAsia="宋体" w:cs="Times New Roman"/>
                <w:spacing w:val="-34"/>
                <w:sz w:val="24"/>
              </w:rPr>
              <w:t>：</w:t>
            </w:r>
            <w:r>
              <w:rPr>
                <w:rFonts w:ascii="Times New Roman" w:hAnsi="Times New Roman" w:eastAsia="宋体" w:cs="Times New Roman"/>
                <w:spacing w:val="-17"/>
                <w:sz w:val="24"/>
              </w:rPr>
              <w:t>用于计算等效声级的时间，</w:t>
            </w:r>
            <w:r>
              <w:rPr>
                <w:rFonts w:ascii="Times New Roman" w:hAnsi="Times New Roman" w:eastAsia="Times New Roman" w:cs="Times New Roman"/>
                <w:spacing w:val="-17"/>
                <w:sz w:val="24"/>
              </w:rPr>
              <w:t>s</w:t>
            </w:r>
            <w:r>
              <w:rPr>
                <w:rFonts w:ascii="Times New Roman" w:hAnsi="Times New Roman" w:eastAsia="宋体" w:cs="Times New Roman"/>
                <w:spacing w:val="-17"/>
                <w:sz w:val="24"/>
              </w:rPr>
              <w:t>；</w:t>
            </w:r>
          </w:p>
          <w:p w14:paraId="347E917A">
            <w:pPr>
              <w:pStyle w:val="2"/>
              <w:autoSpaceDE w:val="0"/>
              <w:autoSpaceDN w:val="0"/>
              <w:adjustRightInd w:val="0"/>
              <w:snapToGrid w:val="0"/>
              <w:spacing w:line="360" w:lineRule="auto"/>
              <w:ind w:left="0" w:leftChars="0" w:firstLine="412" w:firstLineChars="200"/>
              <w:rPr>
                <w:rFonts w:ascii="Times New Roman" w:hAnsi="Times New Roman" w:eastAsia="宋体" w:cs="Times New Roman"/>
                <w:spacing w:val="-17"/>
                <w:sz w:val="24"/>
              </w:rPr>
            </w:pPr>
            <w:r>
              <w:rPr>
                <w:rFonts w:ascii="Times New Roman" w:hAnsi="Times New Roman" w:eastAsia="Times New Roman" w:cs="Times New Roman"/>
                <w:spacing w:val="-17"/>
                <w:sz w:val="24"/>
              </w:rPr>
              <w:t>N</w:t>
            </w:r>
            <w:r>
              <w:rPr>
                <w:rFonts w:ascii="Times New Roman" w:hAnsi="Times New Roman" w:eastAsia="宋体" w:cs="Times New Roman"/>
                <w:spacing w:val="-17"/>
                <w:sz w:val="24"/>
              </w:rPr>
              <w:t>；室外声源个数；</w:t>
            </w:r>
          </w:p>
          <w:p w14:paraId="0FFEFA7F">
            <w:pPr>
              <w:pStyle w:val="2"/>
              <w:autoSpaceDE w:val="0"/>
              <w:autoSpaceDN w:val="0"/>
              <w:adjustRightInd w:val="0"/>
              <w:snapToGrid w:val="0"/>
              <w:spacing w:line="360" w:lineRule="auto"/>
              <w:ind w:left="0" w:leftChars="0" w:firstLine="412" w:firstLineChars="200"/>
              <w:rPr>
                <w:rFonts w:ascii="Times New Roman" w:hAnsi="Times New Roman" w:eastAsia="宋体" w:cs="Times New Roman"/>
                <w:bCs/>
                <w:sz w:val="24"/>
              </w:rPr>
            </w:pPr>
            <w:r>
              <w:rPr>
                <w:rFonts w:ascii="Times New Roman" w:hAnsi="Times New Roman" w:eastAsia="Times New Roman" w:cs="Times New Roman"/>
                <w:spacing w:val="-17"/>
                <w:sz w:val="24"/>
              </w:rPr>
              <w:t>M</w:t>
            </w:r>
            <w:r>
              <w:rPr>
                <w:rFonts w:ascii="Times New Roman" w:hAnsi="Times New Roman" w:eastAsia="宋体" w:cs="Times New Roman"/>
                <w:spacing w:val="-17"/>
                <w:sz w:val="24"/>
              </w:rPr>
              <w:t>：等效室外声源个数</w:t>
            </w:r>
          </w:p>
          <w:p w14:paraId="110058CE">
            <w:pPr>
              <w:widowControl/>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为避免计算中增大衰减量而造成预测值偏小，计算</w:t>
            </w:r>
            <w:r>
              <w:rPr>
                <w:rFonts w:hint="eastAsia" w:cs="Times New Roman"/>
                <w:sz w:val="24"/>
              </w:rPr>
              <w:t>时</w:t>
            </w:r>
            <w:r>
              <w:rPr>
                <w:rFonts w:ascii="Times New Roman" w:hAnsi="Times New Roman" w:cs="Times New Roman"/>
                <w:sz w:val="24"/>
              </w:rPr>
              <w:t>忽略</w:t>
            </w:r>
            <w:r>
              <w:rPr>
                <w:rFonts w:ascii="Times New Roman" w:hAnsi="Times New Roman" w:cs="Times New Roman"/>
                <w:kern w:val="0"/>
                <w:sz w:val="24"/>
              </w:rPr>
              <w:t>A</w:t>
            </w:r>
            <w:r>
              <w:rPr>
                <w:rFonts w:ascii="Times New Roman" w:hAnsi="Times New Roman" w:cs="Times New Roman"/>
                <w:kern w:val="0"/>
                <w:sz w:val="24"/>
                <w:vertAlign w:val="subscript"/>
              </w:rPr>
              <w:t>atm</w:t>
            </w:r>
            <w:r>
              <w:rPr>
                <w:rFonts w:ascii="Times New Roman" w:hAnsi="Times New Roman" w:cs="Times New Roman"/>
                <w:sz w:val="24"/>
              </w:rPr>
              <w:t>和</w:t>
            </w:r>
            <w:r>
              <w:rPr>
                <w:rFonts w:ascii="Times New Roman" w:hAnsi="Times New Roman" w:cs="Times New Roman"/>
                <w:kern w:val="0"/>
                <w:sz w:val="24"/>
              </w:rPr>
              <w:t>A</w:t>
            </w:r>
            <w:r>
              <w:rPr>
                <w:rFonts w:ascii="Times New Roman" w:hAnsi="Times New Roman" w:cs="Times New Roman"/>
                <w:kern w:val="0"/>
                <w:sz w:val="24"/>
                <w:vertAlign w:val="subscript"/>
              </w:rPr>
              <w:t>misc</w:t>
            </w:r>
            <w:r>
              <w:rPr>
                <w:rFonts w:ascii="Times New Roman" w:hAnsi="Times New Roman" w:cs="Times New Roman"/>
                <w:kern w:val="0"/>
                <w:sz w:val="24"/>
              </w:rPr>
              <w:t>。</w:t>
            </w:r>
          </w:p>
          <w:p w14:paraId="591244E3">
            <w:pPr>
              <w:adjustRightInd w:val="0"/>
              <w:snapToGrid w:val="0"/>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4）降噪治理措施</w:t>
            </w:r>
          </w:p>
          <w:p w14:paraId="1A514062">
            <w:pPr>
              <w:widowControl/>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①重视整体设计。合理布局，</w:t>
            </w:r>
            <w:r>
              <w:rPr>
                <w:rFonts w:hint="eastAsia" w:ascii="Times New Roman" w:hAnsi="Times New Roman" w:cs="Times New Roman"/>
                <w:bCs/>
                <w:sz w:val="24"/>
              </w:rPr>
              <w:t>环评建议</w:t>
            </w:r>
            <w:r>
              <w:rPr>
                <w:rFonts w:ascii="Times New Roman" w:hAnsi="Times New Roman" w:cs="Times New Roman"/>
                <w:bCs/>
                <w:sz w:val="24"/>
              </w:rPr>
              <w:t>将高噪声设备尽量布置在车间中部，尽可能远离</w:t>
            </w:r>
            <w:r>
              <w:rPr>
                <w:rFonts w:hint="eastAsia" w:ascii="Times New Roman" w:hAnsi="Times New Roman" w:cs="Times New Roman"/>
                <w:bCs/>
                <w:sz w:val="24"/>
              </w:rPr>
              <w:t>北部</w:t>
            </w:r>
            <w:r>
              <w:rPr>
                <w:rFonts w:ascii="Times New Roman" w:hAnsi="Times New Roman" w:cs="Times New Roman"/>
                <w:bCs/>
                <w:sz w:val="24"/>
              </w:rPr>
              <w:t>厂区边界，周围设置低噪声设备，避免将其布置在靠近边界的位置；</w:t>
            </w:r>
          </w:p>
          <w:p w14:paraId="408F2188">
            <w:pPr>
              <w:widowControl/>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②加强设备的维护和保养，确保设备处于良好的运转状态，杜绝因设备不正常运转而产生的高噪声现象，必要时应及时更换设备；</w:t>
            </w:r>
          </w:p>
          <w:p w14:paraId="18556738">
            <w:pPr>
              <w:widowControl/>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③注意设备选型及安装。在设计和设备采购阶段，尽量选用加工精度高、运行噪声低的设备，可以从声源上降低设备本身的噪声；</w:t>
            </w:r>
          </w:p>
          <w:p w14:paraId="5716024F">
            <w:pPr>
              <w:widowControl/>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④针对运营期生产高噪声设备基础应做隔振垫层处理，以便有效隔绝通过基础、地面传递的固体声，在设备连接处可采用减振垫或柔性接头等降噪措施。离心风机设置隔声罩进行降噪。</w:t>
            </w:r>
          </w:p>
          <w:p w14:paraId="196E28CF">
            <w:pPr>
              <w:widowControl/>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⑤</w:t>
            </w:r>
            <w:r>
              <w:rPr>
                <w:rFonts w:hint="eastAsia" w:ascii="Times New Roman" w:hAnsi="Times New Roman" w:cs="Times New Roman"/>
                <w:bCs/>
                <w:sz w:val="24"/>
              </w:rPr>
              <w:t>车间设备合理布局，高噪声设备往车间北侧布置，远离南侧的敏感点巨家村。</w:t>
            </w:r>
          </w:p>
          <w:p w14:paraId="7B1F85AF">
            <w:pPr>
              <w:widowControl/>
              <w:adjustRightInd w:val="0"/>
              <w:snapToGrid w:val="0"/>
              <w:spacing w:line="360" w:lineRule="auto"/>
              <w:ind w:firstLine="480" w:firstLineChars="200"/>
              <w:rPr>
                <w:rFonts w:eastAsia="宋体"/>
                <w:sz w:val="24"/>
              </w:rPr>
            </w:pPr>
            <w:r>
              <w:rPr>
                <w:rFonts w:ascii="Times New Roman" w:hAnsi="Times New Roman" w:cs="Times New Roman"/>
                <w:bCs/>
                <w:sz w:val="24"/>
              </w:rPr>
              <w:t>⑥要求运输车进出厂区时要减速行驶，不许突然加速，不许</w:t>
            </w:r>
            <w:r>
              <w:rPr>
                <w:rFonts w:hint="eastAsia" w:ascii="Times New Roman" w:hAnsi="Times New Roman" w:cs="Times New Roman"/>
                <w:bCs/>
                <w:sz w:val="24"/>
                <w:lang w:eastAsia="zh-CN"/>
              </w:rPr>
              <w:t>空</w:t>
            </w:r>
            <w:r>
              <w:rPr>
                <w:rFonts w:hint="eastAsia" w:ascii="Times New Roman" w:hAnsi="Times New Roman" w:cs="Times New Roman"/>
                <w:bCs/>
                <w:sz w:val="24"/>
                <w:lang w:val="en-US" w:eastAsia="zh-CN"/>
              </w:rPr>
              <w:t>档</w:t>
            </w:r>
            <w:r>
              <w:rPr>
                <w:rFonts w:ascii="Times New Roman" w:hAnsi="Times New Roman" w:cs="Times New Roman"/>
                <w:bCs/>
                <w:sz w:val="24"/>
              </w:rPr>
              <w:t>等待；做好厂区内、外部</w:t>
            </w:r>
            <w:r>
              <w:rPr>
                <w:rFonts w:hint="eastAsia" w:ascii="Times New Roman" w:hAnsi="Times New Roman" w:cs="Times New Roman"/>
                <w:bCs/>
                <w:sz w:val="24"/>
              </w:rPr>
              <w:t>车辆</w:t>
            </w:r>
            <w:r>
              <w:rPr>
                <w:rFonts w:ascii="Times New Roman" w:hAnsi="Times New Roman" w:cs="Times New Roman"/>
                <w:bCs/>
                <w:sz w:val="24"/>
              </w:rPr>
              <w:t>的疏通，设置机动车禁鸣喇叭等标记，加强对运输车辆司机的教育，提高驾驶员素质；进行装卸作业时，必须严格执行降噪措施，避免人为噪声</w:t>
            </w:r>
            <w:r>
              <w:rPr>
                <w:rFonts w:hint="eastAsia" w:ascii="Times New Roman" w:hAnsi="Times New Roman" w:cs="Times New Roman"/>
                <w:bCs/>
                <w:sz w:val="24"/>
              </w:rPr>
              <w:t>，</w:t>
            </w:r>
            <w:r>
              <w:rPr>
                <w:rFonts w:ascii="Times New Roman" w:hAnsi="Times New Roman" w:cs="Times New Roman"/>
                <w:bCs/>
                <w:sz w:val="24"/>
              </w:rPr>
              <w:t>合理安排工作时间，运输时间应避开周边居民作息时间段，尽量减少噪声对周围环境的影响</w:t>
            </w:r>
            <w:r>
              <w:rPr>
                <w:rFonts w:hint="eastAsia" w:ascii="Times New Roman" w:hAnsi="Times New Roman" w:cs="Times New Roman"/>
                <w:bCs/>
                <w:sz w:val="24"/>
              </w:rPr>
              <w:t>。</w:t>
            </w:r>
          </w:p>
          <w:p w14:paraId="5A0DECA5">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3）预测结果：</w:t>
            </w:r>
          </w:p>
          <w:p w14:paraId="2E03F6F7">
            <w:pPr>
              <w:adjustRightInd w:val="0"/>
              <w:snapToGrid w:val="0"/>
              <w:spacing w:line="360" w:lineRule="auto"/>
              <w:ind w:firstLine="480" w:firstLineChars="200"/>
              <w:rPr>
                <w:rFonts w:ascii="Times New Roman" w:hAnsi="Times New Roman" w:eastAsia="宋体" w:cs="Times New Roman"/>
                <w:sz w:val="24"/>
              </w:rPr>
            </w:pPr>
            <w:commentRangeStart w:id="51"/>
            <w:r>
              <w:rPr>
                <w:rFonts w:ascii="Times New Roman" w:hAnsi="Times New Roman" w:eastAsia="宋体" w:cs="Times New Roman"/>
                <w:kern w:val="0"/>
                <w:sz w:val="24"/>
                <w:lang w:bidi="ar"/>
              </w:rPr>
              <w:t>按照最不利情况预测厂界受到的影响，预测结果</w:t>
            </w:r>
            <w:r>
              <w:rPr>
                <w:rFonts w:hint="eastAsia" w:ascii="Times New Roman" w:hAnsi="Times New Roman" w:eastAsia="宋体" w:cs="Times New Roman"/>
                <w:kern w:val="0"/>
                <w:sz w:val="24"/>
                <w:lang w:bidi="ar"/>
              </w:rPr>
              <w:t>详见下</w:t>
            </w:r>
            <w:r>
              <w:rPr>
                <w:rFonts w:ascii="Times New Roman" w:hAnsi="Times New Roman" w:eastAsia="宋体" w:cs="Times New Roman"/>
                <w:sz w:val="24"/>
              </w:rPr>
              <w:t>表。</w:t>
            </w:r>
          </w:p>
          <w:p w14:paraId="3EFAE3D8">
            <w:pPr>
              <w:widowControl/>
              <w:adjustRightInd w:val="0"/>
              <w:snapToGrid w:val="0"/>
              <w:jc w:val="center"/>
              <w:rPr>
                <w:rFonts w:ascii="Times New Roman" w:hAnsi="Times New Roman" w:eastAsia="宋体" w:cs="Times New Roman"/>
                <w:b/>
                <w:szCs w:val="21"/>
                <w:lang w:val="zh-CN"/>
              </w:rPr>
            </w:pPr>
            <w:r>
              <w:rPr>
                <w:rFonts w:ascii="Times New Roman" w:hAnsi="Times New Roman" w:eastAsia="宋体" w:cs="Times New Roman"/>
                <w:b/>
                <w:szCs w:val="21"/>
                <w:lang w:val="zh-CN"/>
              </w:rPr>
              <w:t>表</w:t>
            </w:r>
            <w:r>
              <w:rPr>
                <w:rFonts w:ascii="Times New Roman" w:hAnsi="Times New Roman" w:eastAsia="宋体" w:cs="Times New Roman"/>
                <w:b/>
                <w:szCs w:val="21"/>
              </w:rPr>
              <w:t>4-1</w:t>
            </w:r>
            <w:r>
              <w:rPr>
                <w:rFonts w:hint="eastAsia" w:ascii="Times New Roman" w:hAnsi="Times New Roman" w:eastAsia="宋体" w:cs="Times New Roman"/>
                <w:b/>
                <w:szCs w:val="21"/>
              </w:rPr>
              <w:t xml:space="preserve">0    </w:t>
            </w:r>
            <w:r>
              <w:rPr>
                <w:rFonts w:ascii="Times New Roman" w:hAnsi="Times New Roman" w:eastAsia="宋体" w:cs="Times New Roman"/>
                <w:b/>
                <w:szCs w:val="21"/>
                <w:lang w:val="zh-CN"/>
              </w:rPr>
              <w:t>项目噪声预测结果（</w:t>
            </w:r>
            <w:r>
              <w:rPr>
                <w:rFonts w:ascii="Times New Roman" w:hAnsi="Times New Roman" w:eastAsia="宋体" w:cs="Times New Roman"/>
                <w:b/>
                <w:szCs w:val="21"/>
              </w:rPr>
              <w:t>昼间</w:t>
            </w:r>
            <w:r>
              <w:rPr>
                <w:rFonts w:ascii="Times New Roman" w:hAnsi="Times New Roman" w:eastAsia="宋体" w:cs="Times New Roman"/>
                <w:b/>
                <w:szCs w:val="21"/>
                <w:lang w:val="zh-CN"/>
              </w:rPr>
              <w:t>）</w:t>
            </w:r>
            <w:r>
              <w:rPr>
                <w:rFonts w:ascii="Times New Roman" w:hAnsi="Times New Roman" w:eastAsia="宋体" w:cs="Times New Roman"/>
                <w:b/>
                <w:szCs w:val="21"/>
              </w:rPr>
              <w:t xml:space="preserve"> </w:t>
            </w:r>
            <w:r>
              <w:rPr>
                <w:rFonts w:hint="eastAsia" w:ascii="Times New Roman" w:hAnsi="Times New Roman" w:eastAsia="宋体" w:cs="Times New Roman"/>
                <w:b/>
                <w:szCs w:val="21"/>
              </w:rPr>
              <w:t xml:space="preserve">  </w:t>
            </w:r>
            <w:r>
              <w:rPr>
                <w:rFonts w:ascii="Times New Roman" w:hAnsi="Times New Roman" w:eastAsia="宋体" w:cs="Times New Roman"/>
                <w:b/>
                <w:szCs w:val="21"/>
                <w:lang w:val="zh-CN"/>
              </w:rPr>
              <w:t>单位：dB（A）</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1174"/>
              <w:gridCol w:w="948"/>
              <w:gridCol w:w="1028"/>
              <w:gridCol w:w="1028"/>
              <w:gridCol w:w="1028"/>
              <w:gridCol w:w="1026"/>
              <w:gridCol w:w="1026"/>
            </w:tblGrid>
            <w:tr w14:paraId="663F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pct"/>
                  <w:vAlign w:val="center"/>
                </w:tcPr>
                <w:p w14:paraId="7CEA09F1">
                  <w:pPr>
                    <w:pStyle w:val="39"/>
                    <w:autoSpaceDE w:val="0"/>
                    <w:autoSpaceDN w:val="0"/>
                    <w:adjustRightInd w:val="0"/>
                    <w:snapToGrid w:val="0"/>
                    <w:jc w:val="center"/>
                    <w:rPr>
                      <w:rFonts w:ascii="Times New Roman" w:hAnsi="Times New Roman" w:eastAsia="宋体" w:cs="Times New Roman"/>
                      <w:b/>
                      <w:bCs/>
                      <w:szCs w:val="21"/>
                      <w:lang w:val="en-US" w:bidi="ar-SA"/>
                    </w:rPr>
                  </w:pPr>
                  <w:r>
                    <w:rPr>
                      <w:rFonts w:ascii="Times New Roman" w:hAnsi="Times New Roman" w:eastAsia="宋体" w:cs="Times New Roman"/>
                      <w:b/>
                      <w:bCs/>
                      <w:szCs w:val="21"/>
                      <w:lang w:val="en-US" w:bidi="ar-SA"/>
                    </w:rPr>
                    <w:t>位置</w:t>
                  </w:r>
                </w:p>
              </w:tc>
              <w:tc>
                <w:tcPr>
                  <w:tcW w:w="704" w:type="pct"/>
                  <w:vAlign w:val="center"/>
                </w:tcPr>
                <w:p w14:paraId="37EECCD3">
                  <w:pPr>
                    <w:pStyle w:val="39"/>
                    <w:autoSpaceDE w:val="0"/>
                    <w:autoSpaceDN w:val="0"/>
                    <w:adjustRightInd w:val="0"/>
                    <w:snapToGrid w:val="0"/>
                    <w:jc w:val="center"/>
                    <w:rPr>
                      <w:rFonts w:ascii="Times New Roman" w:hAnsi="Times New Roman" w:eastAsia="宋体" w:cs="Times New Roman"/>
                      <w:b/>
                      <w:bCs/>
                      <w:szCs w:val="21"/>
                      <w:lang w:val="en-US" w:bidi="ar-SA"/>
                    </w:rPr>
                  </w:pPr>
                  <w:r>
                    <w:rPr>
                      <w:rFonts w:ascii="Times New Roman" w:hAnsi="Times New Roman" w:eastAsia="宋体" w:cs="Times New Roman"/>
                      <w:b/>
                      <w:bCs/>
                      <w:szCs w:val="21"/>
                      <w:lang w:val="en-US" w:bidi="ar-SA"/>
                    </w:rPr>
                    <w:t>设备</w:t>
                  </w:r>
                </w:p>
              </w:tc>
              <w:tc>
                <w:tcPr>
                  <w:tcW w:w="567" w:type="pct"/>
                  <w:vAlign w:val="center"/>
                </w:tcPr>
                <w:p w14:paraId="76EA73F9">
                  <w:pPr>
                    <w:pStyle w:val="39"/>
                    <w:autoSpaceDE w:val="0"/>
                    <w:autoSpaceDN w:val="0"/>
                    <w:adjustRightInd w:val="0"/>
                    <w:snapToGrid w:val="0"/>
                    <w:jc w:val="center"/>
                    <w:rPr>
                      <w:rFonts w:ascii="Times New Roman" w:hAnsi="Times New Roman" w:eastAsia="宋体" w:cs="Times New Roman"/>
                      <w:b/>
                      <w:bCs/>
                      <w:szCs w:val="21"/>
                      <w:lang w:val="en-US" w:bidi="ar-SA"/>
                    </w:rPr>
                  </w:pPr>
                  <w:r>
                    <w:rPr>
                      <w:rFonts w:ascii="Times New Roman" w:hAnsi="Times New Roman" w:eastAsia="宋体" w:cs="Times New Roman"/>
                      <w:b/>
                      <w:bCs/>
                      <w:szCs w:val="21"/>
                      <w:lang w:val="en-US" w:bidi="ar-SA"/>
                    </w:rPr>
                    <w:t>噪声值dB（A）</w:t>
                  </w:r>
                </w:p>
              </w:tc>
              <w:tc>
                <w:tcPr>
                  <w:tcW w:w="616" w:type="pct"/>
                  <w:vAlign w:val="center"/>
                </w:tcPr>
                <w:p w14:paraId="168E3312">
                  <w:pPr>
                    <w:pStyle w:val="39"/>
                    <w:autoSpaceDE w:val="0"/>
                    <w:autoSpaceDN w:val="0"/>
                    <w:adjustRightInd w:val="0"/>
                    <w:snapToGrid w:val="0"/>
                    <w:jc w:val="center"/>
                    <w:rPr>
                      <w:rFonts w:ascii="Times New Roman" w:hAnsi="Times New Roman" w:eastAsia="宋体" w:cs="Times New Roman"/>
                      <w:b/>
                      <w:bCs/>
                      <w:szCs w:val="21"/>
                      <w:lang w:val="en-US" w:bidi="ar-SA"/>
                    </w:rPr>
                  </w:pPr>
                  <w:r>
                    <w:rPr>
                      <w:rFonts w:ascii="Times New Roman" w:hAnsi="Times New Roman" w:eastAsia="宋体" w:cs="Times New Roman"/>
                      <w:b/>
                      <w:bCs/>
                      <w:szCs w:val="21"/>
                      <w:lang w:val="en-US" w:bidi="ar-SA"/>
                    </w:rPr>
                    <w:t>厂界</w:t>
                  </w:r>
                </w:p>
                <w:p w14:paraId="0FEF1ACF">
                  <w:pPr>
                    <w:pStyle w:val="39"/>
                    <w:autoSpaceDE w:val="0"/>
                    <w:autoSpaceDN w:val="0"/>
                    <w:adjustRightInd w:val="0"/>
                    <w:snapToGrid w:val="0"/>
                    <w:jc w:val="center"/>
                    <w:rPr>
                      <w:rFonts w:ascii="Times New Roman" w:hAnsi="Times New Roman" w:eastAsia="宋体" w:cs="Times New Roman"/>
                      <w:b/>
                      <w:bCs/>
                      <w:szCs w:val="21"/>
                      <w:lang w:val="en-US" w:bidi="ar-SA"/>
                    </w:rPr>
                  </w:pPr>
                  <w:r>
                    <w:rPr>
                      <w:rFonts w:ascii="Times New Roman" w:hAnsi="Times New Roman" w:eastAsia="宋体" w:cs="Times New Roman"/>
                      <w:b/>
                      <w:bCs/>
                      <w:szCs w:val="21"/>
                      <w:lang w:val="en-US" w:bidi="ar-SA"/>
                    </w:rPr>
                    <w:t>东侧</w:t>
                  </w:r>
                </w:p>
              </w:tc>
              <w:tc>
                <w:tcPr>
                  <w:tcW w:w="616" w:type="pct"/>
                  <w:vAlign w:val="center"/>
                </w:tcPr>
                <w:p w14:paraId="19BF6219">
                  <w:pPr>
                    <w:pStyle w:val="39"/>
                    <w:autoSpaceDE w:val="0"/>
                    <w:autoSpaceDN w:val="0"/>
                    <w:adjustRightInd w:val="0"/>
                    <w:snapToGrid w:val="0"/>
                    <w:jc w:val="center"/>
                    <w:rPr>
                      <w:rFonts w:ascii="Times New Roman" w:hAnsi="Times New Roman" w:eastAsia="宋体" w:cs="Times New Roman"/>
                      <w:b/>
                      <w:bCs/>
                      <w:szCs w:val="21"/>
                      <w:lang w:val="en-US" w:bidi="ar-SA"/>
                    </w:rPr>
                  </w:pPr>
                  <w:r>
                    <w:rPr>
                      <w:rFonts w:ascii="Times New Roman" w:hAnsi="Times New Roman" w:eastAsia="宋体" w:cs="Times New Roman"/>
                      <w:b/>
                      <w:bCs/>
                      <w:szCs w:val="21"/>
                      <w:lang w:val="en-US" w:bidi="ar-SA"/>
                    </w:rPr>
                    <w:t>厂界</w:t>
                  </w:r>
                </w:p>
                <w:p w14:paraId="6548F7B2">
                  <w:pPr>
                    <w:pStyle w:val="39"/>
                    <w:autoSpaceDE w:val="0"/>
                    <w:autoSpaceDN w:val="0"/>
                    <w:adjustRightInd w:val="0"/>
                    <w:snapToGrid w:val="0"/>
                    <w:jc w:val="center"/>
                    <w:rPr>
                      <w:rFonts w:ascii="Times New Roman" w:hAnsi="Times New Roman" w:eastAsia="宋体" w:cs="Times New Roman"/>
                      <w:b/>
                      <w:bCs/>
                      <w:szCs w:val="21"/>
                      <w:lang w:val="en-US" w:bidi="ar-SA"/>
                    </w:rPr>
                  </w:pPr>
                  <w:r>
                    <w:rPr>
                      <w:rFonts w:ascii="Times New Roman" w:hAnsi="Times New Roman" w:eastAsia="宋体" w:cs="Times New Roman"/>
                      <w:b/>
                      <w:bCs/>
                      <w:szCs w:val="21"/>
                      <w:lang w:val="en-US" w:bidi="ar-SA"/>
                    </w:rPr>
                    <w:t>南侧</w:t>
                  </w:r>
                </w:p>
              </w:tc>
              <w:tc>
                <w:tcPr>
                  <w:tcW w:w="616" w:type="pct"/>
                  <w:vAlign w:val="center"/>
                </w:tcPr>
                <w:p w14:paraId="20476AE1">
                  <w:pPr>
                    <w:pStyle w:val="39"/>
                    <w:autoSpaceDE w:val="0"/>
                    <w:autoSpaceDN w:val="0"/>
                    <w:adjustRightInd w:val="0"/>
                    <w:snapToGrid w:val="0"/>
                    <w:jc w:val="center"/>
                    <w:rPr>
                      <w:rFonts w:ascii="Times New Roman" w:hAnsi="Times New Roman" w:eastAsia="宋体" w:cs="Times New Roman"/>
                      <w:b/>
                      <w:bCs/>
                      <w:szCs w:val="21"/>
                      <w:lang w:val="en-US" w:bidi="ar-SA"/>
                    </w:rPr>
                  </w:pPr>
                  <w:r>
                    <w:rPr>
                      <w:rFonts w:ascii="Times New Roman" w:hAnsi="Times New Roman" w:eastAsia="宋体" w:cs="Times New Roman"/>
                      <w:b/>
                      <w:bCs/>
                      <w:szCs w:val="21"/>
                      <w:lang w:val="en-US" w:bidi="ar-SA"/>
                    </w:rPr>
                    <w:t>厂界</w:t>
                  </w:r>
                </w:p>
                <w:p w14:paraId="16BF10B3">
                  <w:pPr>
                    <w:pStyle w:val="39"/>
                    <w:autoSpaceDE w:val="0"/>
                    <w:autoSpaceDN w:val="0"/>
                    <w:adjustRightInd w:val="0"/>
                    <w:snapToGrid w:val="0"/>
                    <w:jc w:val="center"/>
                    <w:rPr>
                      <w:rFonts w:ascii="Times New Roman" w:hAnsi="Times New Roman" w:eastAsia="宋体" w:cs="Times New Roman"/>
                      <w:b/>
                      <w:bCs/>
                      <w:szCs w:val="21"/>
                      <w:lang w:val="en-US" w:bidi="ar-SA"/>
                    </w:rPr>
                  </w:pPr>
                  <w:r>
                    <w:rPr>
                      <w:rFonts w:ascii="Times New Roman" w:hAnsi="Times New Roman" w:eastAsia="宋体" w:cs="Times New Roman"/>
                      <w:b/>
                      <w:bCs/>
                      <w:szCs w:val="21"/>
                      <w:lang w:val="en-US" w:bidi="ar-SA"/>
                    </w:rPr>
                    <w:t>西侧</w:t>
                  </w:r>
                </w:p>
              </w:tc>
              <w:tc>
                <w:tcPr>
                  <w:tcW w:w="615" w:type="pct"/>
                  <w:vAlign w:val="center"/>
                </w:tcPr>
                <w:p w14:paraId="7FA53F35">
                  <w:pPr>
                    <w:pStyle w:val="39"/>
                    <w:autoSpaceDE w:val="0"/>
                    <w:autoSpaceDN w:val="0"/>
                    <w:adjustRightInd w:val="0"/>
                    <w:snapToGrid w:val="0"/>
                    <w:jc w:val="center"/>
                    <w:rPr>
                      <w:rFonts w:ascii="Times New Roman" w:hAnsi="Times New Roman" w:eastAsia="宋体" w:cs="Times New Roman"/>
                      <w:b/>
                      <w:bCs/>
                      <w:szCs w:val="21"/>
                      <w:lang w:val="en-US" w:bidi="ar-SA"/>
                    </w:rPr>
                  </w:pPr>
                  <w:r>
                    <w:rPr>
                      <w:rFonts w:ascii="Times New Roman" w:hAnsi="Times New Roman" w:eastAsia="宋体" w:cs="Times New Roman"/>
                      <w:b/>
                      <w:bCs/>
                      <w:szCs w:val="21"/>
                      <w:lang w:val="en-US" w:bidi="ar-SA"/>
                    </w:rPr>
                    <w:t>厂界</w:t>
                  </w:r>
                </w:p>
                <w:p w14:paraId="18341E2D">
                  <w:pPr>
                    <w:pStyle w:val="39"/>
                    <w:autoSpaceDE w:val="0"/>
                    <w:autoSpaceDN w:val="0"/>
                    <w:adjustRightInd w:val="0"/>
                    <w:snapToGrid w:val="0"/>
                    <w:jc w:val="center"/>
                    <w:rPr>
                      <w:rFonts w:ascii="Times New Roman" w:hAnsi="Times New Roman" w:eastAsia="宋体" w:cs="Times New Roman"/>
                      <w:b/>
                      <w:bCs/>
                      <w:szCs w:val="21"/>
                      <w:lang w:val="en-US" w:bidi="ar-SA"/>
                    </w:rPr>
                  </w:pPr>
                  <w:r>
                    <w:rPr>
                      <w:rFonts w:ascii="Times New Roman" w:hAnsi="Times New Roman" w:eastAsia="宋体" w:cs="Times New Roman"/>
                      <w:b/>
                      <w:bCs/>
                      <w:szCs w:val="21"/>
                      <w:lang w:val="en-US" w:bidi="ar-SA"/>
                    </w:rPr>
                    <w:t>北侧</w:t>
                  </w:r>
                </w:p>
              </w:tc>
              <w:tc>
                <w:tcPr>
                  <w:tcW w:w="615" w:type="pct"/>
                  <w:vAlign w:val="center"/>
                </w:tcPr>
                <w:p w14:paraId="1E2F2C48">
                  <w:pPr>
                    <w:pStyle w:val="39"/>
                    <w:autoSpaceDE w:val="0"/>
                    <w:autoSpaceDN w:val="0"/>
                    <w:adjustRightInd w:val="0"/>
                    <w:snapToGrid w:val="0"/>
                    <w:jc w:val="center"/>
                    <w:rPr>
                      <w:rFonts w:ascii="Times New Roman" w:hAnsi="Times New Roman" w:eastAsia="宋体" w:cs="Times New Roman"/>
                      <w:b/>
                      <w:bCs/>
                      <w:szCs w:val="21"/>
                      <w:lang w:val="en-US" w:bidi="ar-SA"/>
                    </w:rPr>
                  </w:pPr>
                  <w:r>
                    <w:rPr>
                      <w:rFonts w:hint="eastAsia" w:ascii="Times New Roman" w:hAnsi="Times New Roman" w:eastAsia="宋体" w:cs="Times New Roman"/>
                      <w:b/>
                      <w:bCs/>
                      <w:szCs w:val="21"/>
                      <w:lang w:val="en-US" w:bidi="ar-SA"/>
                    </w:rPr>
                    <w:t>巨家村</w:t>
                  </w:r>
                </w:p>
              </w:tc>
            </w:tr>
            <w:tr w14:paraId="38DE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7" w:type="pct"/>
                  <w:vAlign w:val="center"/>
                </w:tcPr>
                <w:p w14:paraId="5895443A">
                  <w:pPr>
                    <w:autoSpaceDE w:val="0"/>
                    <w:autoSpaceDN w:val="0"/>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距离（m）</w:t>
                  </w:r>
                </w:p>
              </w:tc>
              <w:tc>
                <w:tcPr>
                  <w:tcW w:w="704" w:type="pct"/>
                  <w:vMerge w:val="restart"/>
                  <w:vAlign w:val="center"/>
                </w:tcPr>
                <w:p w14:paraId="7D9A120E">
                  <w:pPr>
                    <w:adjustRightInd w:val="0"/>
                    <w:snapToGrid w:val="0"/>
                    <w:jc w:val="center"/>
                    <w:rPr>
                      <w:rFonts w:ascii="Times New Roman" w:hAnsi="Times New Roman" w:eastAsia="宋体" w:cs="Times New Roman"/>
                      <w:szCs w:val="21"/>
                    </w:rPr>
                  </w:pPr>
                  <w:r>
                    <w:rPr>
                      <w:rFonts w:hint="eastAsia" w:ascii="Times New Roman" w:hAnsi="Times New Roman" w:cs="Times New Roman"/>
                      <w:szCs w:val="21"/>
                    </w:rPr>
                    <w:t>自动喷漆烘干</w:t>
                  </w:r>
                </w:p>
              </w:tc>
              <w:tc>
                <w:tcPr>
                  <w:tcW w:w="567" w:type="pct"/>
                  <w:vMerge w:val="restart"/>
                  <w:vAlign w:val="center"/>
                </w:tcPr>
                <w:p w14:paraId="567DB329">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55</w:t>
                  </w:r>
                </w:p>
              </w:tc>
              <w:tc>
                <w:tcPr>
                  <w:tcW w:w="616" w:type="pct"/>
                  <w:vAlign w:val="center"/>
                </w:tcPr>
                <w:p w14:paraId="7BFC6A70">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616" w:type="pct"/>
                  <w:vAlign w:val="center"/>
                </w:tcPr>
                <w:p w14:paraId="048972C4">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35</w:t>
                  </w:r>
                </w:p>
              </w:tc>
              <w:tc>
                <w:tcPr>
                  <w:tcW w:w="616" w:type="pct"/>
                  <w:vAlign w:val="center"/>
                </w:tcPr>
                <w:p w14:paraId="3000A45D">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615" w:type="pct"/>
                  <w:vAlign w:val="center"/>
                </w:tcPr>
                <w:p w14:paraId="1EB69967">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83</w:t>
                  </w:r>
                </w:p>
              </w:tc>
              <w:tc>
                <w:tcPr>
                  <w:tcW w:w="615" w:type="pct"/>
                  <w:vAlign w:val="center"/>
                </w:tcPr>
                <w:p w14:paraId="5047B1B2">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80</w:t>
                  </w:r>
                </w:p>
              </w:tc>
            </w:tr>
            <w:tr w14:paraId="515CC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pct"/>
                  <w:vAlign w:val="center"/>
                </w:tcPr>
                <w:p w14:paraId="5ED1FF67">
                  <w:pPr>
                    <w:autoSpaceDE w:val="0"/>
                    <w:autoSpaceDN w:val="0"/>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贡献值</w:t>
                  </w:r>
                </w:p>
              </w:tc>
              <w:tc>
                <w:tcPr>
                  <w:tcW w:w="704" w:type="pct"/>
                  <w:vMerge w:val="continue"/>
                  <w:vAlign w:val="center"/>
                </w:tcPr>
                <w:p w14:paraId="7D1D13BB">
                  <w:pPr>
                    <w:autoSpaceDE w:val="0"/>
                    <w:autoSpaceDN w:val="0"/>
                    <w:adjustRightInd w:val="0"/>
                    <w:snapToGrid w:val="0"/>
                    <w:jc w:val="center"/>
                    <w:rPr>
                      <w:rFonts w:ascii="Times New Roman" w:hAnsi="Times New Roman" w:eastAsia="宋体" w:cs="Times New Roman"/>
                      <w:szCs w:val="21"/>
                    </w:rPr>
                  </w:pPr>
                </w:p>
              </w:tc>
              <w:tc>
                <w:tcPr>
                  <w:tcW w:w="567" w:type="pct"/>
                  <w:vMerge w:val="continue"/>
                  <w:vAlign w:val="center"/>
                </w:tcPr>
                <w:p w14:paraId="32F90B38">
                  <w:pPr>
                    <w:autoSpaceDE w:val="0"/>
                    <w:autoSpaceDN w:val="0"/>
                    <w:adjustRightInd w:val="0"/>
                    <w:snapToGrid w:val="0"/>
                    <w:jc w:val="center"/>
                    <w:rPr>
                      <w:rFonts w:ascii="Times New Roman" w:hAnsi="Times New Roman" w:eastAsia="宋体" w:cs="Times New Roman"/>
                      <w:szCs w:val="21"/>
                    </w:rPr>
                  </w:pPr>
                </w:p>
              </w:tc>
              <w:tc>
                <w:tcPr>
                  <w:tcW w:w="616" w:type="pct"/>
                  <w:vAlign w:val="center"/>
                </w:tcPr>
                <w:p w14:paraId="66632DE6">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45</w:t>
                  </w:r>
                </w:p>
              </w:tc>
              <w:tc>
                <w:tcPr>
                  <w:tcW w:w="616" w:type="pct"/>
                  <w:vAlign w:val="center"/>
                </w:tcPr>
                <w:p w14:paraId="165B27D1">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24</w:t>
                  </w:r>
                </w:p>
              </w:tc>
              <w:tc>
                <w:tcPr>
                  <w:tcW w:w="616" w:type="pct"/>
                  <w:vAlign w:val="center"/>
                </w:tcPr>
                <w:p w14:paraId="1DF7417E">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35</w:t>
                  </w:r>
                </w:p>
              </w:tc>
              <w:tc>
                <w:tcPr>
                  <w:tcW w:w="615" w:type="pct"/>
                  <w:vAlign w:val="center"/>
                </w:tcPr>
                <w:p w14:paraId="47E71E31">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17</w:t>
                  </w:r>
                </w:p>
              </w:tc>
              <w:tc>
                <w:tcPr>
                  <w:tcW w:w="615" w:type="pct"/>
                  <w:vAlign w:val="center"/>
                </w:tcPr>
                <w:p w14:paraId="5B9314A0">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17</w:t>
                  </w:r>
                </w:p>
              </w:tc>
            </w:tr>
            <w:tr w14:paraId="40099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pct"/>
                  <w:vAlign w:val="center"/>
                </w:tcPr>
                <w:p w14:paraId="53A37791">
                  <w:pPr>
                    <w:autoSpaceDE w:val="0"/>
                    <w:autoSpaceDN w:val="0"/>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距离（m）</w:t>
                  </w:r>
                </w:p>
              </w:tc>
              <w:tc>
                <w:tcPr>
                  <w:tcW w:w="704" w:type="pct"/>
                  <w:vMerge w:val="restart"/>
                  <w:vAlign w:val="center"/>
                </w:tcPr>
                <w:p w14:paraId="0B6F650D">
                  <w:pPr>
                    <w:adjustRightInd w:val="0"/>
                    <w:snapToGrid w:val="0"/>
                    <w:jc w:val="center"/>
                    <w:rPr>
                      <w:rFonts w:ascii="Times New Roman" w:hAnsi="Times New Roman" w:eastAsia="宋体" w:cs="Times New Roman"/>
                      <w:szCs w:val="21"/>
                    </w:rPr>
                  </w:pPr>
                  <w:r>
                    <w:rPr>
                      <w:rFonts w:hint="eastAsia" w:ascii="Times New Roman" w:hAnsi="Times New Roman" w:cs="Times New Roman"/>
                      <w:szCs w:val="21"/>
                    </w:rPr>
                    <w:t>自动喷砂</w:t>
                  </w:r>
                </w:p>
              </w:tc>
              <w:tc>
                <w:tcPr>
                  <w:tcW w:w="567" w:type="pct"/>
                  <w:vMerge w:val="restart"/>
                  <w:vAlign w:val="center"/>
                </w:tcPr>
                <w:p w14:paraId="3E367973">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65</w:t>
                  </w:r>
                </w:p>
              </w:tc>
              <w:tc>
                <w:tcPr>
                  <w:tcW w:w="616" w:type="pct"/>
                  <w:vAlign w:val="center"/>
                </w:tcPr>
                <w:p w14:paraId="15B46496">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616" w:type="pct"/>
                  <w:vAlign w:val="center"/>
                </w:tcPr>
                <w:p w14:paraId="7F877D99">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82</w:t>
                  </w:r>
                </w:p>
              </w:tc>
              <w:tc>
                <w:tcPr>
                  <w:tcW w:w="616" w:type="pct"/>
                  <w:vAlign w:val="center"/>
                </w:tcPr>
                <w:p w14:paraId="613A2B4C">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615" w:type="pct"/>
                  <w:vAlign w:val="center"/>
                </w:tcPr>
                <w:p w14:paraId="377163BD">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36</w:t>
                  </w:r>
                </w:p>
              </w:tc>
              <w:tc>
                <w:tcPr>
                  <w:tcW w:w="615" w:type="pct"/>
                  <w:vAlign w:val="center"/>
                </w:tcPr>
                <w:p w14:paraId="15E3C88D">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127</w:t>
                  </w:r>
                </w:p>
              </w:tc>
            </w:tr>
            <w:tr w14:paraId="2AA55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pct"/>
                  <w:vAlign w:val="center"/>
                </w:tcPr>
                <w:p w14:paraId="436AA2B1">
                  <w:pPr>
                    <w:autoSpaceDE w:val="0"/>
                    <w:autoSpaceDN w:val="0"/>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贡献值</w:t>
                  </w:r>
                </w:p>
              </w:tc>
              <w:tc>
                <w:tcPr>
                  <w:tcW w:w="704" w:type="pct"/>
                  <w:vMerge w:val="continue"/>
                  <w:vAlign w:val="center"/>
                </w:tcPr>
                <w:p w14:paraId="5BA23C64">
                  <w:pPr>
                    <w:autoSpaceDE w:val="0"/>
                    <w:autoSpaceDN w:val="0"/>
                    <w:adjustRightInd w:val="0"/>
                    <w:snapToGrid w:val="0"/>
                    <w:jc w:val="center"/>
                    <w:rPr>
                      <w:rFonts w:ascii="Times New Roman" w:hAnsi="Times New Roman" w:eastAsia="宋体" w:cs="Times New Roman"/>
                      <w:szCs w:val="21"/>
                    </w:rPr>
                  </w:pPr>
                </w:p>
              </w:tc>
              <w:tc>
                <w:tcPr>
                  <w:tcW w:w="567" w:type="pct"/>
                  <w:vMerge w:val="continue"/>
                  <w:vAlign w:val="center"/>
                </w:tcPr>
                <w:p w14:paraId="6367CD8B">
                  <w:pPr>
                    <w:autoSpaceDE w:val="0"/>
                    <w:autoSpaceDN w:val="0"/>
                    <w:adjustRightInd w:val="0"/>
                    <w:snapToGrid w:val="0"/>
                    <w:jc w:val="center"/>
                    <w:rPr>
                      <w:rFonts w:ascii="Times New Roman" w:hAnsi="Times New Roman" w:eastAsia="宋体" w:cs="Times New Roman"/>
                      <w:szCs w:val="21"/>
                    </w:rPr>
                  </w:pPr>
                </w:p>
              </w:tc>
              <w:tc>
                <w:tcPr>
                  <w:tcW w:w="616" w:type="pct"/>
                  <w:vAlign w:val="center"/>
                </w:tcPr>
                <w:p w14:paraId="696B348C">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51</w:t>
                  </w:r>
                </w:p>
              </w:tc>
              <w:tc>
                <w:tcPr>
                  <w:tcW w:w="616" w:type="pct"/>
                  <w:vAlign w:val="center"/>
                </w:tcPr>
                <w:p w14:paraId="5D3D7C4F">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27</w:t>
                  </w:r>
                </w:p>
              </w:tc>
              <w:tc>
                <w:tcPr>
                  <w:tcW w:w="616" w:type="pct"/>
                  <w:vAlign w:val="center"/>
                </w:tcPr>
                <w:p w14:paraId="7EFBEE6F">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45</w:t>
                  </w:r>
                </w:p>
              </w:tc>
              <w:tc>
                <w:tcPr>
                  <w:tcW w:w="615" w:type="pct"/>
                  <w:vAlign w:val="center"/>
                </w:tcPr>
                <w:p w14:paraId="35693ED5">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34</w:t>
                  </w:r>
                </w:p>
              </w:tc>
              <w:tc>
                <w:tcPr>
                  <w:tcW w:w="615" w:type="pct"/>
                  <w:vAlign w:val="center"/>
                </w:tcPr>
                <w:p w14:paraId="1245990C">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23</w:t>
                  </w:r>
                </w:p>
              </w:tc>
            </w:tr>
            <w:tr w14:paraId="68DBC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647" w:type="pct"/>
                  <w:vAlign w:val="center"/>
                </w:tcPr>
                <w:p w14:paraId="00F0FB38">
                  <w:pPr>
                    <w:autoSpaceDE w:val="0"/>
                    <w:autoSpaceDN w:val="0"/>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距离（m）</w:t>
                  </w:r>
                </w:p>
              </w:tc>
              <w:tc>
                <w:tcPr>
                  <w:tcW w:w="704" w:type="pct"/>
                  <w:vMerge w:val="restart"/>
                  <w:vAlign w:val="center"/>
                </w:tcPr>
                <w:p w14:paraId="62C585B7">
                  <w:pPr>
                    <w:adjustRightInd w:val="0"/>
                    <w:snapToGrid w:val="0"/>
                    <w:jc w:val="center"/>
                    <w:rPr>
                      <w:rFonts w:ascii="Times New Roman" w:hAnsi="Times New Roman" w:eastAsia="宋体" w:cs="Times New Roman"/>
                      <w:szCs w:val="21"/>
                    </w:rPr>
                  </w:pPr>
                  <w:r>
                    <w:rPr>
                      <w:rFonts w:ascii="Times New Roman" w:hAnsi="Times New Roman" w:cs="Times New Roman"/>
                      <w:szCs w:val="21"/>
                    </w:rPr>
                    <w:t>风机</w:t>
                  </w:r>
                </w:p>
              </w:tc>
              <w:tc>
                <w:tcPr>
                  <w:tcW w:w="567" w:type="pct"/>
                  <w:vMerge w:val="restart"/>
                  <w:vAlign w:val="center"/>
                </w:tcPr>
                <w:p w14:paraId="30CA0D7F">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65</w:t>
                  </w:r>
                </w:p>
              </w:tc>
              <w:tc>
                <w:tcPr>
                  <w:tcW w:w="616" w:type="pct"/>
                  <w:vAlign w:val="center"/>
                </w:tcPr>
                <w:p w14:paraId="2F46D397">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616" w:type="pct"/>
                  <w:vAlign w:val="center"/>
                </w:tcPr>
                <w:p w14:paraId="5F17AD95">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32</w:t>
                  </w:r>
                </w:p>
              </w:tc>
              <w:tc>
                <w:tcPr>
                  <w:tcW w:w="616" w:type="pct"/>
                  <w:vAlign w:val="center"/>
                </w:tcPr>
                <w:p w14:paraId="240B2DD4">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12</w:t>
                  </w:r>
                </w:p>
              </w:tc>
              <w:tc>
                <w:tcPr>
                  <w:tcW w:w="615" w:type="pct"/>
                  <w:vAlign w:val="center"/>
                </w:tcPr>
                <w:p w14:paraId="0455F30B">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86</w:t>
                  </w:r>
                </w:p>
              </w:tc>
              <w:tc>
                <w:tcPr>
                  <w:tcW w:w="615" w:type="pct"/>
                  <w:vAlign w:val="center"/>
                </w:tcPr>
                <w:p w14:paraId="3C935027">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77</w:t>
                  </w:r>
                </w:p>
              </w:tc>
            </w:tr>
            <w:tr w14:paraId="37E6E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pct"/>
                  <w:vAlign w:val="center"/>
                </w:tcPr>
                <w:p w14:paraId="19F502F5">
                  <w:pPr>
                    <w:autoSpaceDE w:val="0"/>
                    <w:autoSpaceDN w:val="0"/>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贡献值</w:t>
                  </w:r>
                </w:p>
              </w:tc>
              <w:tc>
                <w:tcPr>
                  <w:tcW w:w="704" w:type="pct"/>
                  <w:vMerge w:val="continue"/>
                  <w:vAlign w:val="center"/>
                </w:tcPr>
                <w:p w14:paraId="24A42444">
                  <w:pPr>
                    <w:autoSpaceDE w:val="0"/>
                    <w:autoSpaceDN w:val="0"/>
                    <w:adjustRightInd w:val="0"/>
                    <w:snapToGrid w:val="0"/>
                    <w:jc w:val="center"/>
                    <w:rPr>
                      <w:rFonts w:ascii="Times New Roman" w:hAnsi="Times New Roman" w:eastAsia="宋体" w:cs="Times New Roman"/>
                      <w:szCs w:val="21"/>
                    </w:rPr>
                  </w:pPr>
                </w:p>
              </w:tc>
              <w:tc>
                <w:tcPr>
                  <w:tcW w:w="567" w:type="pct"/>
                  <w:vMerge w:val="continue"/>
                  <w:vAlign w:val="center"/>
                </w:tcPr>
                <w:p w14:paraId="1564B306">
                  <w:pPr>
                    <w:autoSpaceDE w:val="0"/>
                    <w:autoSpaceDN w:val="0"/>
                    <w:adjustRightInd w:val="0"/>
                    <w:snapToGrid w:val="0"/>
                    <w:jc w:val="center"/>
                    <w:rPr>
                      <w:rFonts w:ascii="Times New Roman" w:hAnsi="Times New Roman" w:eastAsia="宋体" w:cs="Times New Roman"/>
                      <w:szCs w:val="21"/>
                    </w:rPr>
                  </w:pPr>
                </w:p>
              </w:tc>
              <w:tc>
                <w:tcPr>
                  <w:tcW w:w="616" w:type="pct"/>
                  <w:vAlign w:val="center"/>
                </w:tcPr>
                <w:p w14:paraId="486B6D3B">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55</w:t>
                  </w:r>
                </w:p>
              </w:tc>
              <w:tc>
                <w:tcPr>
                  <w:tcW w:w="616" w:type="pct"/>
                  <w:vAlign w:val="center"/>
                </w:tcPr>
                <w:p w14:paraId="4EE5CE4F">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35</w:t>
                  </w:r>
                </w:p>
              </w:tc>
              <w:tc>
                <w:tcPr>
                  <w:tcW w:w="616" w:type="pct"/>
                  <w:vAlign w:val="center"/>
                </w:tcPr>
                <w:p w14:paraId="364A58BB">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43</w:t>
                  </w:r>
                </w:p>
              </w:tc>
              <w:tc>
                <w:tcPr>
                  <w:tcW w:w="615" w:type="pct"/>
                  <w:vAlign w:val="center"/>
                </w:tcPr>
                <w:p w14:paraId="76AED199">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26</w:t>
                  </w:r>
                </w:p>
              </w:tc>
              <w:tc>
                <w:tcPr>
                  <w:tcW w:w="615" w:type="pct"/>
                  <w:vAlign w:val="center"/>
                </w:tcPr>
                <w:p w14:paraId="4F84CC9E">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27</w:t>
                  </w:r>
                </w:p>
              </w:tc>
            </w:tr>
            <w:tr w14:paraId="4D0B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919" w:type="pct"/>
                  <w:gridSpan w:val="3"/>
                  <w:vAlign w:val="center"/>
                </w:tcPr>
                <w:p w14:paraId="13635827">
                  <w:pPr>
                    <w:autoSpaceDE w:val="0"/>
                    <w:autoSpaceDN w:val="0"/>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lang w:eastAsia="zh-CN"/>
                    </w:rPr>
                    <w:t>本项目</w:t>
                  </w:r>
                  <w:r>
                    <w:rPr>
                      <w:rFonts w:ascii="Times New Roman" w:hAnsi="Times New Roman" w:eastAsia="宋体" w:cs="Times New Roman"/>
                      <w:color w:val="FF0000"/>
                      <w:szCs w:val="21"/>
                    </w:rPr>
                    <w:t>贡献值</w:t>
                  </w:r>
                </w:p>
              </w:tc>
              <w:tc>
                <w:tcPr>
                  <w:tcW w:w="616" w:type="pct"/>
                  <w:vAlign w:val="center"/>
                </w:tcPr>
                <w:p w14:paraId="1332809F">
                  <w:pPr>
                    <w:autoSpaceDE w:val="0"/>
                    <w:autoSpaceDN w:val="0"/>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57</w:t>
                  </w:r>
                </w:p>
              </w:tc>
              <w:tc>
                <w:tcPr>
                  <w:tcW w:w="616" w:type="pct"/>
                  <w:vAlign w:val="center"/>
                </w:tcPr>
                <w:p w14:paraId="7076CAA8">
                  <w:pPr>
                    <w:autoSpaceDE w:val="0"/>
                    <w:autoSpaceDN w:val="0"/>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36</w:t>
                  </w:r>
                </w:p>
              </w:tc>
              <w:tc>
                <w:tcPr>
                  <w:tcW w:w="616" w:type="pct"/>
                  <w:vAlign w:val="center"/>
                </w:tcPr>
                <w:p w14:paraId="2FCA05E2">
                  <w:pPr>
                    <w:autoSpaceDE w:val="0"/>
                    <w:autoSpaceDN w:val="0"/>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47</w:t>
                  </w:r>
                </w:p>
              </w:tc>
              <w:tc>
                <w:tcPr>
                  <w:tcW w:w="615" w:type="pct"/>
                  <w:vAlign w:val="center"/>
                </w:tcPr>
                <w:p w14:paraId="3CD74F72">
                  <w:pPr>
                    <w:autoSpaceDE w:val="0"/>
                    <w:autoSpaceDN w:val="0"/>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35</w:t>
                  </w:r>
                </w:p>
              </w:tc>
              <w:tc>
                <w:tcPr>
                  <w:tcW w:w="615" w:type="pct"/>
                  <w:vAlign w:val="center"/>
                </w:tcPr>
                <w:p w14:paraId="1C44C36C">
                  <w:pPr>
                    <w:autoSpaceDE w:val="0"/>
                    <w:autoSpaceDN w:val="0"/>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29</w:t>
                  </w:r>
                </w:p>
              </w:tc>
            </w:tr>
            <w:tr w14:paraId="5BDDC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9" w:type="pct"/>
                  <w:gridSpan w:val="3"/>
                  <w:vAlign w:val="center"/>
                </w:tcPr>
                <w:p w14:paraId="4D937ECA">
                  <w:pPr>
                    <w:autoSpaceDE w:val="0"/>
                    <w:autoSpaceDN w:val="0"/>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lang w:eastAsia="zh-CN"/>
                    </w:rPr>
                    <w:t>在建工程贡献值</w:t>
                  </w:r>
                  <w:r>
                    <w:rPr>
                      <w:rFonts w:hint="eastAsia"/>
                      <w:color w:val="FF0000"/>
                      <w:szCs w:val="21"/>
                      <w:vertAlign w:val="superscript"/>
                    </w:rPr>
                    <w:t>※</w:t>
                  </w:r>
                </w:p>
              </w:tc>
              <w:tc>
                <w:tcPr>
                  <w:tcW w:w="616" w:type="pct"/>
                  <w:vAlign w:val="center"/>
                </w:tcPr>
                <w:p w14:paraId="5212228D">
                  <w:pPr>
                    <w:autoSpaceDE w:val="0"/>
                    <w:autoSpaceDN w:val="0"/>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51</w:t>
                  </w:r>
                </w:p>
              </w:tc>
              <w:tc>
                <w:tcPr>
                  <w:tcW w:w="616" w:type="pct"/>
                  <w:vAlign w:val="center"/>
                </w:tcPr>
                <w:p w14:paraId="676C1CB9">
                  <w:pPr>
                    <w:autoSpaceDE w:val="0"/>
                    <w:autoSpaceDN w:val="0"/>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49</w:t>
                  </w:r>
                </w:p>
              </w:tc>
              <w:tc>
                <w:tcPr>
                  <w:tcW w:w="616" w:type="pct"/>
                  <w:vAlign w:val="center"/>
                </w:tcPr>
                <w:p w14:paraId="575A00E9">
                  <w:pPr>
                    <w:autoSpaceDE w:val="0"/>
                    <w:autoSpaceDN w:val="0"/>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48</w:t>
                  </w:r>
                </w:p>
              </w:tc>
              <w:tc>
                <w:tcPr>
                  <w:tcW w:w="615" w:type="pct"/>
                  <w:vAlign w:val="center"/>
                </w:tcPr>
                <w:p w14:paraId="4ABE0BB8">
                  <w:pPr>
                    <w:autoSpaceDE w:val="0"/>
                    <w:autoSpaceDN w:val="0"/>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50</w:t>
                  </w:r>
                </w:p>
              </w:tc>
              <w:tc>
                <w:tcPr>
                  <w:tcW w:w="615" w:type="pct"/>
                  <w:vAlign w:val="center"/>
                </w:tcPr>
                <w:p w14:paraId="2A5B3B6E">
                  <w:pPr>
                    <w:autoSpaceDE w:val="0"/>
                    <w:autoSpaceDN w:val="0"/>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35</w:t>
                  </w:r>
                </w:p>
              </w:tc>
            </w:tr>
            <w:tr w14:paraId="0951B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9" w:type="pct"/>
                  <w:gridSpan w:val="3"/>
                  <w:vAlign w:val="center"/>
                </w:tcPr>
                <w:p w14:paraId="310E4ED8">
                  <w:pPr>
                    <w:autoSpaceDE w:val="0"/>
                    <w:autoSpaceDN w:val="0"/>
                    <w:adjustRightInd w:val="0"/>
                    <w:snapToGrid w:val="0"/>
                    <w:jc w:val="center"/>
                    <w:rPr>
                      <w:rFonts w:hint="eastAsia" w:ascii="Times New Roman" w:hAnsi="Times New Roman" w:eastAsia="宋体" w:cs="Times New Roman"/>
                      <w:color w:val="FF0000"/>
                      <w:szCs w:val="21"/>
                    </w:rPr>
                  </w:pPr>
                  <w:r>
                    <w:rPr>
                      <w:rFonts w:ascii="Times New Roman" w:hAnsi="Times New Roman" w:eastAsia="宋体" w:cs="Times New Roman"/>
                      <w:color w:val="FF0000"/>
                      <w:szCs w:val="21"/>
                    </w:rPr>
                    <w:t>背景值</w:t>
                  </w:r>
                </w:p>
              </w:tc>
              <w:tc>
                <w:tcPr>
                  <w:tcW w:w="616" w:type="pct"/>
                  <w:vAlign w:val="center"/>
                </w:tcPr>
                <w:p w14:paraId="098D5C1E">
                  <w:pPr>
                    <w:autoSpaceDE w:val="0"/>
                    <w:autoSpaceDN w:val="0"/>
                    <w:adjustRightInd w:val="0"/>
                    <w:snapToGrid w:val="0"/>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w:t>
                  </w:r>
                </w:p>
              </w:tc>
              <w:tc>
                <w:tcPr>
                  <w:tcW w:w="616" w:type="pct"/>
                  <w:vAlign w:val="center"/>
                </w:tcPr>
                <w:p w14:paraId="083DDC31">
                  <w:pPr>
                    <w:autoSpaceDE w:val="0"/>
                    <w:autoSpaceDN w:val="0"/>
                    <w:adjustRightInd w:val="0"/>
                    <w:snapToGrid w:val="0"/>
                    <w:jc w:val="center"/>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w:t>
                  </w:r>
                </w:p>
              </w:tc>
              <w:tc>
                <w:tcPr>
                  <w:tcW w:w="616" w:type="pct"/>
                  <w:vAlign w:val="center"/>
                </w:tcPr>
                <w:p w14:paraId="4638E041">
                  <w:pPr>
                    <w:autoSpaceDE w:val="0"/>
                    <w:autoSpaceDN w:val="0"/>
                    <w:adjustRightInd w:val="0"/>
                    <w:snapToGrid w:val="0"/>
                    <w:jc w:val="center"/>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w:t>
                  </w:r>
                </w:p>
              </w:tc>
              <w:tc>
                <w:tcPr>
                  <w:tcW w:w="615" w:type="pct"/>
                  <w:vAlign w:val="center"/>
                </w:tcPr>
                <w:p w14:paraId="060CD0DF">
                  <w:pPr>
                    <w:autoSpaceDE w:val="0"/>
                    <w:autoSpaceDN w:val="0"/>
                    <w:adjustRightInd w:val="0"/>
                    <w:snapToGrid w:val="0"/>
                    <w:jc w:val="center"/>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w:t>
                  </w:r>
                </w:p>
              </w:tc>
              <w:tc>
                <w:tcPr>
                  <w:tcW w:w="615" w:type="pct"/>
                  <w:vAlign w:val="center"/>
                </w:tcPr>
                <w:p w14:paraId="0AE852E6">
                  <w:pPr>
                    <w:autoSpaceDE w:val="0"/>
                    <w:autoSpaceDN w:val="0"/>
                    <w:adjustRightInd w:val="0"/>
                    <w:snapToGrid w:val="0"/>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50</w:t>
                  </w:r>
                </w:p>
              </w:tc>
            </w:tr>
            <w:tr w14:paraId="0AA4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9" w:type="pct"/>
                  <w:gridSpan w:val="3"/>
                  <w:vAlign w:val="center"/>
                </w:tcPr>
                <w:p w14:paraId="086BA7AD">
                  <w:pPr>
                    <w:autoSpaceDE w:val="0"/>
                    <w:autoSpaceDN w:val="0"/>
                    <w:adjustRightInd w:val="0"/>
                    <w:snapToGrid w:val="0"/>
                    <w:jc w:val="center"/>
                    <w:rPr>
                      <w:rFonts w:hint="eastAsia" w:ascii="Times New Roman" w:hAnsi="Times New Roman" w:eastAsia="宋体" w:cs="Times New Roman"/>
                      <w:color w:val="FF0000"/>
                      <w:szCs w:val="21"/>
                      <w:lang w:eastAsia="zh-CN"/>
                    </w:rPr>
                  </w:pPr>
                  <w:r>
                    <w:rPr>
                      <w:rFonts w:hint="eastAsia" w:ascii="Times New Roman" w:hAnsi="Times New Roman" w:eastAsia="宋体" w:cs="Times New Roman"/>
                      <w:color w:val="FF0000"/>
                      <w:szCs w:val="21"/>
                      <w:lang w:eastAsia="zh-CN"/>
                    </w:rPr>
                    <w:t>扩建后全厂厂界贡献值</w:t>
                  </w:r>
                </w:p>
              </w:tc>
              <w:tc>
                <w:tcPr>
                  <w:tcW w:w="616" w:type="pct"/>
                  <w:vAlign w:val="center"/>
                </w:tcPr>
                <w:p w14:paraId="01D67327">
                  <w:pPr>
                    <w:autoSpaceDE w:val="0"/>
                    <w:autoSpaceDN w:val="0"/>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 xml:space="preserve">58 </w:t>
                  </w:r>
                </w:p>
              </w:tc>
              <w:tc>
                <w:tcPr>
                  <w:tcW w:w="616" w:type="pct"/>
                  <w:vAlign w:val="center"/>
                </w:tcPr>
                <w:p w14:paraId="7F3496AA">
                  <w:pPr>
                    <w:autoSpaceDE w:val="0"/>
                    <w:autoSpaceDN w:val="0"/>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49</w:t>
                  </w:r>
                </w:p>
              </w:tc>
              <w:tc>
                <w:tcPr>
                  <w:tcW w:w="616" w:type="pct"/>
                  <w:vAlign w:val="center"/>
                </w:tcPr>
                <w:p w14:paraId="30105D9F">
                  <w:pPr>
                    <w:autoSpaceDE w:val="0"/>
                    <w:autoSpaceDN w:val="0"/>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51</w:t>
                  </w:r>
                </w:p>
              </w:tc>
              <w:tc>
                <w:tcPr>
                  <w:tcW w:w="615" w:type="pct"/>
                  <w:vAlign w:val="center"/>
                </w:tcPr>
                <w:p w14:paraId="50A4DB0E">
                  <w:pPr>
                    <w:autoSpaceDE w:val="0"/>
                    <w:autoSpaceDN w:val="0"/>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 xml:space="preserve">50 </w:t>
                  </w:r>
                </w:p>
              </w:tc>
              <w:tc>
                <w:tcPr>
                  <w:tcW w:w="615" w:type="pct"/>
                  <w:vAlign w:val="center"/>
                </w:tcPr>
                <w:p w14:paraId="4B71FD68">
                  <w:pPr>
                    <w:autoSpaceDE w:val="0"/>
                    <w:autoSpaceDN w:val="0"/>
                    <w:adjustRightInd w:val="0"/>
                    <w:snapToGrid w:val="0"/>
                    <w:jc w:val="center"/>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w:t>
                  </w:r>
                </w:p>
              </w:tc>
            </w:tr>
            <w:tr w14:paraId="48BF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9" w:type="pct"/>
                  <w:gridSpan w:val="3"/>
                  <w:vAlign w:val="center"/>
                </w:tcPr>
                <w:p w14:paraId="60C44CFB">
                  <w:pPr>
                    <w:autoSpaceDE w:val="0"/>
                    <w:autoSpaceDN w:val="0"/>
                    <w:adjustRightInd w:val="0"/>
                    <w:snapToGrid w:val="0"/>
                    <w:jc w:val="center"/>
                    <w:rPr>
                      <w:rFonts w:hint="eastAsia" w:ascii="Times New Roman" w:hAnsi="Times New Roman" w:eastAsia="宋体" w:cs="Times New Roman"/>
                      <w:color w:val="FF0000"/>
                      <w:szCs w:val="21"/>
                      <w:lang w:eastAsia="zh-CN"/>
                    </w:rPr>
                  </w:pPr>
                  <w:r>
                    <w:rPr>
                      <w:rFonts w:hint="eastAsia" w:ascii="Times New Roman" w:hAnsi="Times New Roman" w:eastAsia="宋体" w:cs="Times New Roman"/>
                      <w:color w:val="FF0000"/>
                      <w:szCs w:val="21"/>
                      <w:lang w:eastAsia="zh-CN"/>
                    </w:rPr>
                    <w:t>扩建后敏感点预测值</w:t>
                  </w:r>
                </w:p>
              </w:tc>
              <w:tc>
                <w:tcPr>
                  <w:tcW w:w="616" w:type="pct"/>
                  <w:vAlign w:val="center"/>
                </w:tcPr>
                <w:p w14:paraId="6B8C55F0">
                  <w:pPr>
                    <w:autoSpaceDE w:val="0"/>
                    <w:autoSpaceDN w:val="0"/>
                    <w:adjustRightInd w:val="0"/>
                    <w:snapToGrid w:val="0"/>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w:t>
                  </w:r>
                </w:p>
              </w:tc>
              <w:tc>
                <w:tcPr>
                  <w:tcW w:w="616" w:type="pct"/>
                  <w:vAlign w:val="center"/>
                </w:tcPr>
                <w:p w14:paraId="0F18F1AE">
                  <w:pPr>
                    <w:autoSpaceDE w:val="0"/>
                    <w:autoSpaceDN w:val="0"/>
                    <w:adjustRightInd w:val="0"/>
                    <w:snapToGrid w:val="0"/>
                    <w:jc w:val="center"/>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w:t>
                  </w:r>
                </w:p>
              </w:tc>
              <w:tc>
                <w:tcPr>
                  <w:tcW w:w="616" w:type="pct"/>
                  <w:vAlign w:val="center"/>
                </w:tcPr>
                <w:p w14:paraId="60749B95">
                  <w:pPr>
                    <w:autoSpaceDE w:val="0"/>
                    <w:autoSpaceDN w:val="0"/>
                    <w:adjustRightInd w:val="0"/>
                    <w:snapToGrid w:val="0"/>
                    <w:jc w:val="center"/>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w:t>
                  </w:r>
                </w:p>
              </w:tc>
              <w:tc>
                <w:tcPr>
                  <w:tcW w:w="615" w:type="pct"/>
                  <w:vAlign w:val="center"/>
                </w:tcPr>
                <w:p w14:paraId="3895AC11">
                  <w:pPr>
                    <w:autoSpaceDE w:val="0"/>
                    <w:autoSpaceDN w:val="0"/>
                    <w:adjustRightInd w:val="0"/>
                    <w:snapToGrid w:val="0"/>
                    <w:jc w:val="center"/>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w:t>
                  </w:r>
                </w:p>
              </w:tc>
              <w:tc>
                <w:tcPr>
                  <w:tcW w:w="615" w:type="pct"/>
                  <w:vAlign w:val="center"/>
                </w:tcPr>
                <w:p w14:paraId="50D7D851">
                  <w:pPr>
                    <w:autoSpaceDE w:val="0"/>
                    <w:autoSpaceDN w:val="0"/>
                    <w:adjustRightInd w:val="0"/>
                    <w:snapToGrid w:val="0"/>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50</w:t>
                  </w:r>
                </w:p>
              </w:tc>
            </w:tr>
            <w:tr w14:paraId="39FB1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9" w:type="pct"/>
                  <w:gridSpan w:val="3"/>
                  <w:vAlign w:val="center"/>
                </w:tcPr>
                <w:p w14:paraId="650D74AA">
                  <w:pPr>
                    <w:autoSpaceDE w:val="0"/>
                    <w:autoSpaceDN w:val="0"/>
                    <w:adjustRightInd w:val="0"/>
                    <w:snapToGrid w:val="0"/>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标准值（昼间）</w:t>
                  </w:r>
                </w:p>
              </w:tc>
              <w:tc>
                <w:tcPr>
                  <w:tcW w:w="616" w:type="pct"/>
                  <w:vAlign w:val="center"/>
                </w:tcPr>
                <w:p w14:paraId="15D63995">
                  <w:pPr>
                    <w:autoSpaceDE w:val="0"/>
                    <w:autoSpaceDN w:val="0"/>
                    <w:adjustRightInd w:val="0"/>
                    <w:snapToGrid w:val="0"/>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65</w:t>
                  </w:r>
                </w:p>
              </w:tc>
              <w:tc>
                <w:tcPr>
                  <w:tcW w:w="616" w:type="pct"/>
                  <w:vAlign w:val="center"/>
                </w:tcPr>
                <w:p w14:paraId="51EA9180">
                  <w:pPr>
                    <w:autoSpaceDE w:val="0"/>
                    <w:autoSpaceDN w:val="0"/>
                    <w:adjustRightInd w:val="0"/>
                    <w:snapToGrid w:val="0"/>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65</w:t>
                  </w:r>
                </w:p>
              </w:tc>
              <w:tc>
                <w:tcPr>
                  <w:tcW w:w="616" w:type="pct"/>
                  <w:vAlign w:val="center"/>
                </w:tcPr>
                <w:p w14:paraId="47F9CEE8">
                  <w:pPr>
                    <w:autoSpaceDE w:val="0"/>
                    <w:autoSpaceDN w:val="0"/>
                    <w:adjustRightInd w:val="0"/>
                    <w:snapToGrid w:val="0"/>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65</w:t>
                  </w:r>
                </w:p>
              </w:tc>
              <w:tc>
                <w:tcPr>
                  <w:tcW w:w="615" w:type="pct"/>
                  <w:vAlign w:val="center"/>
                </w:tcPr>
                <w:p w14:paraId="57DCE9AA">
                  <w:pPr>
                    <w:autoSpaceDE w:val="0"/>
                    <w:autoSpaceDN w:val="0"/>
                    <w:adjustRightInd w:val="0"/>
                    <w:snapToGrid w:val="0"/>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65</w:t>
                  </w:r>
                </w:p>
              </w:tc>
              <w:tc>
                <w:tcPr>
                  <w:tcW w:w="615" w:type="pct"/>
                  <w:vAlign w:val="center"/>
                </w:tcPr>
                <w:p w14:paraId="4B53A88A">
                  <w:pPr>
                    <w:autoSpaceDE w:val="0"/>
                    <w:autoSpaceDN w:val="0"/>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60</w:t>
                  </w:r>
                </w:p>
              </w:tc>
            </w:tr>
            <w:tr w14:paraId="31973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9" w:type="pct"/>
                  <w:gridSpan w:val="3"/>
                  <w:vAlign w:val="center"/>
                </w:tcPr>
                <w:p w14:paraId="1D4EE183">
                  <w:pPr>
                    <w:autoSpaceDE w:val="0"/>
                    <w:autoSpaceDN w:val="0"/>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是否达标</w:t>
                  </w:r>
                </w:p>
              </w:tc>
              <w:tc>
                <w:tcPr>
                  <w:tcW w:w="616" w:type="pct"/>
                  <w:vAlign w:val="center"/>
                </w:tcPr>
                <w:p w14:paraId="738E083F">
                  <w:pPr>
                    <w:autoSpaceDE w:val="0"/>
                    <w:autoSpaceDN w:val="0"/>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达标</w:t>
                  </w:r>
                </w:p>
              </w:tc>
              <w:tc>
                <w:tcPr>
                  <w:tcW w:w="616" w:type="pct"/>
                  <w:vAlign w:val="center"/>
                </w:tcPr>
                <w:p w14:paraId="65110CD2">
                  <w:pPr>
                    <w:autoSpaceDE w:val="0"/>
                    <w:autoSpaceDN w:val="0"/>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达标</w:t>
                  </w:r>
                </w:p>
              </w:tc>
              <w:tc>
                <w:tcPr>
                  <w:tcW w:w="616" w:type="pct"/>
                  <w:vAlign w:val="center"/>
                </w:tcPr>
                <w:p w14:paraId="18D756BB">
                  <w:pPr>
                    <w:autoSpaceDE w:val="0"/>
                    <w:autoSpaceDN w:val="0"/>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达标</w:t>
                  </w:r>
                </w:p>
              </w:tc>
              <w:tc>
                <w:tcPr>
                  <w:tcW w:w="615" w:type="pct"/>
                  <w:vAlign w:val="center"/>
                </w:tcPr>
                <w:p w14:paraId="3A1A88FA">
                  <w:pPr>
                    <w:autoSpaceDE w:val="0"/>
                    <w:autoSpaceDN w:val="0"/>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达标</w:t>
                  </w:r>
                </w:p>
              </w:tc>
              <w:tc>
                <w:tcPr>
                  <w:tcW w:w="615" w:type="pct"/>
                  <w:vAlign w:val="center"/>
                </w:tcPr>
                <w:p w14:paraId="64AEDAA7">
                  <w:pPr>
                    <w:autoSpaceDE w:val="0"/>
                    <w:autoSpaceDN w:val="0"/>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达标</w:t>
                  </w:r>
                  <w:commentRangeEnd w:id="51"/>
                  <w:r>
                    <w:commentReference w:id="51"/>
                  </w:r>
                </w:p>
              </w:tc>
            </w:tr>
          </w:tbl>
          <w:p w14:paraId="76E80EF2">
            <w:pPr>
              <w:pStyle w:val="8"/>
              <w:ind w:firstLine="420" w:firstLineChars="200"/>
              <w:rPr>
                <w:rFonts w:ascii="Times New Roman" w:hAnsi="Times New Roman" w:cs="Times New Roman"/>
                <w:color w:val="auto"/>
                <w:szCs w:val="21"/>
              </w:rPr>
            </w:pPr>
            <w:r>
              <w:rPr>
                <w:rFonts w:ascii="Times New Roman" w:hAnsi="Times New Roman" w:cs="Times New Roman"/>
                <w:color w:val="auto"/>
                <w:szCs w:val="21"/>
              </w:rPr>
              <w:t>备注：</w:t>
            </w:r>
            <w:r>
              <w:rPr>
                <w:rFonts w:hint="eastAsia"/>
                <w:color w:val="auto"/>
                <w:szCs w:val="21"/>
                <w:vertAlign w:val="superscript"/>
              </w:rPr>
              <w:t>※</w:t>
            </w:r>
            <w:r>
              <w:rPr>
                <w:rFonts w:hint="eastAsia"/>
                <w:color w:val="auto"/>
                <w:szCs w:val="21"/>
              </w:rPr>
              <w:t>数据</w:t>
            </w:r>
            <w:r>
              <w:rPr>
                <w:rFonts w:hint="eastAsia" w:ascii="Times New Roman" w:hAnsi="Times New Roman" w:cs="Times New Roman"/>
                <w:color w:val="auto"/>
                <w:szCs w:val="21"/>
              </w:rPr>
              <w:t>为</w:t>
            </w:r>
            <w:r>
              <w:rPr>
                <w:rFonts w:hint="eastAsia"/>
                <w:color w:val="auto"/>
              </w:rPr>
              <w:t>在建设备的噪声贡献值，来源于《宝鸡天浩泰金属表面处理有限公司钢零件表面处理生产线建设项目环境影响报告表》</w:t>
            </w:r>
            <w:r>
              <w:rPr>
                <w:rFonts w:ascii="Times New Roman" w:hAnsi="Times New Roman" w:cs="Times New Roman"/>
                <w:color w:val="auto"/>
                <w:szCs w:val="21"/>
              </w:rPr>
              <w:t>。</w:t>
            </w:r>
          </w:p>
          <w:p w14:paraId="0F3E6873">
            <w:pPr>
              <w:adjustRightInd w:val="0"/>
              <w:snapToGrid w:val="0"/>
              <w:spacing w:before="156" w:beforeLines="50" w:line="360" w:lineRule="auto"/>
              <w:ind w:firstLine="480" w:firstLineChars="200"/>
              <w:rPr>
                <w:rFonts w:ascii="Times New Roman" w:hAnsi="Times New Roman" w:eastAsia="宋体" w:cs="Times New Roman"/>
                <w:sz w:val="24"/>
              </w:rPr>
            </w:pPr>
            <w:r>
              <w:rPr>
                <w:rFonts w:ascii="Times New Roman" w:hAnsi="Times New Roman" w:cs="Times New Roman"/>
                <w:color w:val="auto"/>
                <w:sz w:val="24"/>
              </w:rPr>
              <w:t>根据预测结果，项目建成运行后，本项目厂界</w:t>
            </w:r>
            <w:r>
              <w:rPr>
                <w:rFonts w:ascii="Times New Roman" w:hAnsi="Times New Roman" w:cs="Times New Roman"/>
                <w:sz w:val="24"/>
              </w:rPr>
              <w:t>四周昼间噪声贡献值均满足《工业企业厂界环境噪声排放标准》（GB12348-2008）中3类昼间标准限值要求，</w:t>
            </w:r>
            <w:r>
              <w:rPr>
                <w:rFonts w:hint="eastAsia" w:ascii="Times New Roman" w:hAnsi="Times New Roman" w:cs="Times New Roman"/>
                <w:sz w:val="24"/>
              </w:rPr>
              <w:t>巨家村</w:t>
            </w:r>
            <w:r>
              <w:rPr>
                <w:rFonts w:ascii="Times New Roman" w:hAnsi="Times New Roman" w:cs="Times New Roman"/>
                <w:sz w:val="24"/>
              </w:rPr>
              <w:t>昼间噪声</w:t>
            </w:r>
            <w:r>
              <w:rPr>
                <w:rFonts w:hint="eastAsia" w:ascii="Times New Roman" w:hAnsi="Times New Roman" w:cs="Times New Roman"/>
                <w:sz w:val="24"/>
                <w:lang w:eastAsia="zh-CN"/>
              </w:rPr>
              <w:t>预测</w:t>
            </w:r>
            <w:r>
              <w:rPr>
                <w:rFonts w:ascii="Times New Roman" w:hAnsi="Times New Roman" w:cs="Times New Roman"/>
                <w:sz w:val="24"/>
              </w:rPr>
              <w:t>值均满足</w:t>
            </w:r>
            <w:r>
              <w:rPr>
                <w:rFonts w:ascii="Times New Roman" w:hAnsi="Times New Roman" w:eastAsia="宋体" w:cs="Times New Roman"/>
                <w:kern w:val="0"/>
                <w:sz w:val="24"/>
              </w:rPr>
              <w:t>《声环境质量标准》（GB3096-2008）</w:t>
            </w:r>
            <w:r>
              <w:rPr>
                <w:rFonts w:ascii="Times New Roman" w:hAnsi="Times New Roman" w:cs="Times New Roman"/>
                <w:sz w:val="24"/>
              </w:rPr>
              <w:t>中</w:t>
            </w:r>
            <w:r>
              <w:rPr>
                <w:rFonts w:hint="eastAsia" w:ascii="Times New Roman" w:hAnsi="Times New Roman" w:cs="Times New Roman"/>
                <w:sz w:val="24"/>
              </w:rPr>
              <w:t>2</w:t>
            </w:r>
            <w:r>
              <w:rPr>
                <w:rFonts w:ascii="Times New Roman" w:hAnsi="Times New Roman" w:cs="Times New Roman"/>
                <w:sz w:val="24"/>
              </w:rPr>
              <w:t>类标准限值要求，</w:t>
            </w:r>
            <w:r>
              <w:rPr>
                <w:rFonts w:ascii="Times New Roman" w:hAnsi="Times New Roman" w:eastAsia="宋体" w:cs="Times New Roman"/>
                <w:snapToGrid w:val="0"/>
                <w:kern w:val="0"/>
                <w:sz w:val="24"/>
              </w:rPr>
              <w:t>项目运营对周边声环境影响较小</w:t>
            </w:r>
            <w:r>
              <w:rPr>
                <w:rFonts w:ascii="Times New Roman" w:hAnsi="Times New Roman" w:eastAsia="宋体" w:cs="Times New Roman"/>
                <w:sz w:val="24"/>
              </w:rPr>
              <w:t>。</w:t>
            </w:r>
          </w:p>
          <w:p w14:paraId="5CAF8564">
            <w:pPr>
              <w:adjustRightInd w:val="0"/>
              <w:snapToGrid w:val="0"/>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3、自行监测要求</w:t>
            </w:r>
          </w:p>
          <w:p w14:paraId="78B6DEB1">
            <w:pPr>
              <w:widowControl/>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参照《排污单位自行监测技术指南 总则》（HJ819-2017），制定噪声监测计划，具体见下表。</w:t>
            </w:r>
          </w:p>
          <w:p w14:paraId="29BD33A2">
            <w:pPr>
              <w:pStyle w:val="63"/>
              <w:spacing w:line="240" w:lineRule="auto"/>
              <w:ind w:firstLine="422"/>
              <w:jc w:val="center"/>
              <w:rPr>
                <w:rFonts w:ascii="Times New Roman" w:hAnsi="Times New Roman" w:cs="Times New Roman"/>
                <w:b/>
                <w:bCs w:val="0"/>
                <w:sz w:val="21"/>
                <w:szCs w:val="21"/>
              </w:rPr>
            </w:pPr>
            <w:r>
              <w:rPr>
                <w:rFonts w:ascii="Times New Roman" w:hAnsi="Times New Roman" w:cs="Times New Roman"/>
                <w:b/>
                <w:bCs w:val="0"/>
                <w:sz w:val="21"/>
                <w:szCs w:val="21"/>
              </w:rPr>
              <w:t>表4-1</w:t>
            </w:r>
            <w:r>
              <w:rPr>
                <w:rFonts w:hint="eastAsia" w:ascii="Times New Roman" w:hAnsi="Times New Roman" w:cs="Times New Roman"/>
                <w:b/>
                <w:bCs w:val="0"/>
                <w:sz w:val="21"/>
                <w:szCs w:val="21"/>
              </w:rPr>
              <w:t xml:space="preserve">1   </w:t>
            </w:r>
            <w:r>
              <w:rPr>
                <w:rFonts w:ascii="Times New Roman" w:hAnsi="Times New Roman" w:cs="Times New Roman"/>
                <w:b/>
                <w:bCs w:val="0"/>
                <w:sz w:val="21"/>
                <w:szCs w:val="21"/>
              </w:rPr>
              <w:t xml:space="preserve"> 运营期环境监测计划</w:t>
            </w:r>
          </w:p>
          <w:tbl>
            <w:tblPr>
              <w:tblStyle w:val="26"/>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59"/>
              <w:gridCol w:w="1837"/>
              <w:gridCol w:w="735"/>
              <w:gridCol w:w="859"/>
              <w:gridCol w:w="2823"/>
            </w:tblGrid>
            <w:tr w14:paraId="6BF8A9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0" w:type="pct"/>
                  <w:tcBorders>
                    <w:tl2br w:val="nil"/>
                    <w:tr2bl w:val="nil"/>
                  </w:tcBorders>
                  <w:vAlign w:val="center"/>
                </w:tcPr>
                <w:p w14:paraId="734DA018">
                  <w:pPr>
                    <w:spacing w:line="240" w:lineRule="exact"/>
                    <w:jc w:val="center"/>
                    <w:rPr>
                      <w:rFonts w:ascii="Times New Roman" w:hAnsi="Times New Roman" w:cs="Times New Roman"/>
                      <w:b/>
                      <w:bCs/>
                      <w:szCs w:val="21"/>
                    </w:rPr>
                  </w:pPr>
                  <w:r>
                    <w:rPr>
                      <w:rFonts w:ascii="Times New Roman" w:hAnsi="Times New Roman" w:cs="Times New Roman"/>
                      <w:b/>
                      <w:bCs/>
                      <w:szCs w:val="21"/>
                    </w:rPr>
                    <w:t>污染源名称</w:t>
                  </w:r>
                </w:p>
              </w:tc>
              <w:tc>
                <w:tcPr>
                  <w:tcW w:w="634" w:type="pct"/>
                  <w:tcBorders>
                    <w:tl2br w:val="nil"/>
                    <w:tr2bl w:val="nil"/>
                  </w:tcBorders>
                  <w:vAlign w:val="center"/>
                </w:tcPr>
                <w:p w14:paraId="5716735E">
                  <w:pPr>
                    <w:spacing w:line="240" w:lineRule="exact"/>
                    <w:jc w:val="center"/>
                    <w:rPr>
                      <w:rFonts w:ascii="Times New Roman" w:hAnsi="Times New Roman" w:cs="Times New Roman"/>
                      <w:b/>
                      <w:bCs/>
                      <w:szCs w:val="21"/>
                    </w:rPr>
                  </w:pPr>
                  <w:r>
                    <w:rPr>
                      <w:rFonts w:ascii="Times New Roman" w:hAnsi="Times New Roman" w:cs="Times New Roman"/>
                      <w:b/>
                      <w:bCs/>
                      <w:szCs w:val="21"/>
                    </w:rPr>
                    <w:t>监测</w:t>
                  </w:r>
                </w:p>
                <w:p w14:paraId="13A4A45E">
                  <w:pPr>
                    <w:spacing w:line="240" w:lineRule="exact"/>
                    <w:jc w:val="center"/>
                    <w:rPr>
                      <w:rFonts w:ascii="Times New Roman" w:hAnsi="Times New Roman" w:cs="Times New Roman"/>
                      <w:b/>
                      <w:bCs/>
                      <w:szCs w:val="21"/>
                    </w:rPr>
                  </w:pPr>
                  <w:r>
                    <w:rPr>
                      <w:rFonts w:ascii="Times New Roman" w:hAnsi="Times New Roman" w:cs="Times New Roman"/>
                      <w:b/>
                      <w:bCs/>
                      <w:szCs w:val="21"/>
                    </w:rPr>
                    <w:t>项目</w:t>
                  </w:r>
                </w:p>
              </w:tc>
              <w:tc>
                <w:tcPr>
                  <w:tcW w:w="1100" w:type="pct"/>
                  <w:tcBorders>
                    <w:tl2br w:val="nil"/>
                    <w:tr2bl w:val="nil"/>
                  </w:tcBorders>
                  <w:vAlign w:val="center"/>
                </w:tcPr>
                <w:p w14:paraId="793938A3">
                  <w:pPr>
                    <w:spacing w:line="240" w:lineRule="exact"/>
                    <w:jc w:val="center"/>
                    <w:rPr>
                      <w:rFonts w:ascii="Times New Roman" w:hAnsi="Times New Roman" w:cs="Times New Roman"/>
                      <w:b/>
                      <w:bCs/>
                      <w:szCs w:val="21"/>
                    </w:rPr>
                  </w:pPr>
                  <w:r>
                    <w:rPr>
                      <w:rFonts w:ascii="Times New Roman" w:hAnsi="Times New Roman" w:cs="Times New Roman"/>
                      <w:b/>
                      <w:bCs/>
                      <w:szCs w:val="21"/>
                    </w:rPr>
                    <w:t>监测点位置</w:t>
                  </w:r>
                </w:p>
              </w:tc>
              <w:tc>
                <w:tcPr>
                  <w:tcW w:w="440" w:type="pct"/>
                  <w:tcBorders>
                    <w:tl2br w:val="nil"/>
                    <w:tr2bl w:val="nil"/>
                  </w:tcBorders>
                  <w:vAlign w:val="center"/>
                </w:tcPr>
                <w:p w14:paraId="1C005244">
                  <w:pPr>
                    <w:spacing w:line="240" w:lineRule="exact"/>
                    <w:jc w:val="center"/>
                    <w:rPr>
                      <w:rFonts w:ascii="Times New Roman" w:hAnsi="Times New Roman" w:cs="Times New Roman"/>
                      <w:b/>
                      <w:bCs/>
                      <w:szCs w:val="21"/>
                    </w:rPr>
                  </w:pPr>
                  <w:r>
                    <w:rPr>
                      <w:rFonts w:ascii="Times New Roman" w:hAnsi="Times New Roman" w:cs="Times New Roman"/>
                      <w:b/>
                      <w:bCs/>
                      <w:szCs w:val="21"/>
                    </w:rPr>
                    <w:t>监测</w:t>
                  </w:r>
                </w:p>
                <w:p w14:paraId="2876B433">
                  <w:pPr>
                    <w:spacing w:line="240" w:lineRule="exact"/>
                    <w:jc w:val="center"/>
                    <w:rPr>
                      <w:rFonts w:ascii="Times New Roman" w:hAnsi="Times New Roman" w:cs="Times New Roman"/>
                      <w:b/>
                      <w:bCs/>
                      <w:szCs w:val="21"/>
                    </w:rPr>
                  </w:pPr>
                  <w:r>
                    <w:rPr>
                      <w:rFonts w:ascii="Times New Roman" w:hAnsi="Times New Roman" w:cs="Times New Roman"/>
                      <w:b/>
                      <w:bCs/>
                      <w:szCs w:val="21"/>
                    </w:rPr>
                    <w:t>点数</w:t>
                  </w:r>
                </w:p>
              </w:tc>
              <w:tc>
                <w:tcPr>
                  <w:tcW w:w="514" w:type="pct"/>
                  <w:tcBorders>
                    <w:tl2br w:val="nil"/>
                    <w:tr2bl w:val="nil"/>
                  </w:tcBorders>
                  <w:vAlign w:val="center"/>
                </w:tcPr>
                <w:p w14:paraId="779F4585">
                  <w:pPr>
                    <w:spacing w:line="240" w:lineRule="exact"/>
                    <w:jc w:val="center"/>
                    <w:rPr>
                      <w:rFonts w:ascii="Times New Roman" w:hAnsi="Times New Roman" w:cs="Times New Roman"/>
                      <w:b/>
                      <w:bCs/>
                      <w:szCs w:val="21"/>
                    </w:rPr>
                  </w:pPr>
                  <w:r>
                    <w:rPr>
                      <w:rFonts w:ascii="Times New Roman" w:hAnsi="Times New Roman" w:cs="Times New Roman"/>
                      <w:b/>
                      <w:bCs/>
                      <w:szCs w:val="21"/>
                    </w:rPr>
                    <w:t>监测</w:t>
                  </w:r>
                </w:p>
                <w:p w14:paraId="7F1E8284">
                  <w:pPr>
                    <w:spacing w:line="240" w:lineRule="exact"/>
                    <w:jc w:val="center"/>
                    <w:rPr>
                      <w:rFonts w:ascii="Times New Roman" w:hAnsi="Times New Roman" w:cs="Times New Roman"/>
                      <w:b/>
                      <w:bCs/>
                      <w:szCs w:val="21"/>
                    </w:rPr>
                  </w:pPr>
                  <w:r>
                    <w:rPr>
                      <w:rFonts w:ascii="Times New Roman" w:hAnsi="Times New Roman" w:cs="Times New Roman"/>
                      <w:b/>
                      <w:bCs/>
                      <w:szCs w:val="21"/>
                    </w:rPr>
                    <w:t>频率</w:t>
                  </w:r>
                </w:p>
              </w:tc>
              <w:tc>
                <w:tcPr>
                  <w:tcW w:w="1690" w:type="pct"/>
                  <w:tcBorders>
                    <w:tl2br w:val="nil"/>
                    <w:tr2bl w:val="nil"/>
                  </w:tcBorders>
                  <w:vAlign w:val="center"/>
                </w:tcPr>
                <w:p w14:paraId="4947751E">
                  <w:pPr>
                    <w:spacing w:line="240" w:lineRule="exact"/>
                    <w:jc w:val="center"/>
                    <w:rPr>
                      <w:rFonts w:ascii="Times New Roman" w:hAnsi="Times New Roman" w:cs="Times New Roman"/>
                      <w:b/>
                      <w:bCs/>
                      <w:szCs w:val="21"/>
                    </w:rPr>
                  </w:pPr>
                  <w:r>
                    <w:rPr>
                      <w:rFonts w:ascii="Times New Roman" w:hAnsi="Times New Roman" w:cs="Times New Roman"/>
                      <w:b/>
                      <w:bCs/>
                      <w:szCs w:val="21"/>
                    </w:rPr>
                    <w:t>控制指标</w:t>
                  </w:r>
                </w:p>
              </w:tc>
            </w:tr>
            <w:tr w14:paraId="083DFA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620" w:type="pct"/>
                  <w:vMerge w:val="restart"/>
                  <w:tcBorders>
                    <w:tl2br w:val="nil"/>
                    <w:tr2bl w:val="nil"/>
                  </w:tcBorders>
                  <w:vAlign w:val="center"/>
                </w:tcPr>
                <w:p w14:paraId="05E1B489">
                  <w:pPr>
                    <w:spacing w:line="240" w:lineRule="exact"/>
                    <w:jc w:val="center"/>
                    <w:rPr>
                      <w:rFonts w:ascii="Times New Roman" w:hAnsi="Times New Roman" w:cs="Times New Roman"/>
                      <w:szCs w:val="21"/>
                    </w:rPr>
                  </w:pPr>
                  <w:r>
                    <w:rPr>
                      <w:rFonts w:ascii="Times New Roman" w:hAnsi="Times New Roman" w:cs="Times New Roman"/>
                      <w:szCs w:val="21"/>
                    </w:rPr>
                    <w:t>设备</w:t>
                  </w:r>
                </w:p>
                <w:p w14:paraId="6B168BCF">
                  <w:pPr>
                    <w:spacing w:line="240" w:lineRule="exact"/>
                    <w:jc w:val="center"/>
                    <w:rPr>
                      <w:rFonts w:ascii="Times New Roman" w:hAnsi="Times New Roman" w:cs="Times New Roman"/>
                      <w:szCs w:val="21"/>
                    </w:rPr>
                  </w:pPr>
                  <w:r>
                    <w:rPr>
                      <w:rFonts w:ascii="Times New Roman" w:hAnsi="Times New Roman" w:cs="Times New Roman"/>
                      <w:szCs w:val="21"/>
                    </w:rPr>
                    <w:t>噪声</w:t>
                  </w:r>
                </w:p>
              </w:tc>
              <w:tc>
                <w:tcPr>
                  <w:tcW w:w="634" w:type="pct"/>
                  <w:tcBorders>
                    <w:tl2br w:val="nil"/>
                    <w:tr2bl w:val="nil"/>
                  </w:tcBorders>
                  <w:vAlign w:val="center"/>
                </w:tcPr>
                <w:p w14:paraId="1AA4416A">
                  <w:pPr>
                    <w:spacing w:line="240" w:lineRule="exact"/>
                    <w:jc w:val="center"/>
                    <w:rPr>
                      <w:rFonts w:ascii="Times New Roman" w:hAnsi="Times New Roman" w:cs="Times New Roman"/>
                      <w:szCs w:val="21"/>
                    </w:rPr>
                  </w:pPr>
                  <w:r>
                    <w:rPr>
                      <w:rFonts w:ascii="Times New Roman" w:hAnsi="Times New Roman" w:cs="Times New Roman"/>
                      <w:szCs w:val="21"/>
                    </w:rPr>
                    <w:t>厂界</w:t>
                  </w:r>
                </w:p>
                <w:p w14:paraId="41C72D8D">
                  <w:pPr>
                    <w:spacing w:line="240" w:lineRule="exact"/>
                    <w:jc w:val="center"/>
                    <w:rPr>
                      <w:rFonts w:ascii="Times New Roman" w:hAnsi="Times New Roman" w:cs="Times New Roman"/>
                      <w:szCs w:val="21"/>
                    </w:rPr>
                  </w:pPr>
                  <w:r>
                    <w:rPr>
                      <w:rFonts w:ascii="Times New Roman" w:hAnsi="Times New Roman" w:cs="Times New Roman"/>
                      <w:szCs w:val="21"/>
                    </w:rPr>
                    <w:t>噪声</w:t>
                  </w:r>
                </w:p>
              </w:tc>
              <w:tc>
                <w:tcPr>
                  <w:tcW w:w="1100" w:type="pct"/>
                  <w:tcBorders>
                    <w:tl2br w:val="nil"/>
                    <w:tr2bl w:val="nil"/>
                  </w:tcBorders>
                  <w:vAlign w:val="center"/>
                </w:tcPr>
                <w:p w14:paraId="751565E2">
                  <w:pPr>
                    <w:spacing w:line="240" w:lineRule="exact"/>
                    <w:jc w:val="center"/>
                    <w:rPr>
                      <w:rFonts w:ascii="Times New Roman" w:hAnsi="Times New Roman" w:cs="Times New Roman"/>
                      <w:szCs w:val="21"/>
                    </w:rPr>
                  </w:pPr>
                  <w:r>
                    <w:rPr>
                      <w:rFonts w:ascii="Times New Roman" w:hAnsi="Times New Roman" w:cs="Times New Roman"/>
                      <w:szCs w:val="21"/>
                    </w:rPr>
                    <w:t>厂界四周</w:t>
                  </w:r>
                </w:p>
              </w:tc>
              <w:tc>
                <w:tcPr>
                  <w:tcW w:w="440" w:type="pct"/>
                  <w:tcBorders>
                    <w:tl2br w:val="nil"/>
                    <w:tr2bl w:val="nil"/>
                  </w:tcBorders>
                  <w:vAlign w:val="center"/>
                </w:tcPr>
                <w:p w14:paraId="64E9B3F5">
                  <w:pPr>
                    <w:spacing w:line="240" w:lineRule="exact"/>
                    <w:jc w:val="center"/>
                    <w:rPr>
                      <w:rFonts w:ascii="Times New Roman" w:hAnsi="Times New Roman" w:cs="Times New Roman"/>
                      <w:szCs w:val="21"/>
                    </w:rPr>
                  </w:pPr>
                  <w:r>
                    <w:rPr>
                      <w:rFonts w:ascii="Times New Roman" w:hAnsi="Times New Roman" w:cs="Times New Roman"/>
                      <w:szCs w:val="21"/>
                    </w:rPr>
                    <w:t>4个</w:t>
                  </w:r>
                </w:p>
              </w:tc>
              <w:tc>
                <w:tcPr>
                  <w:tcW w:w="514" w:type="pct"/>
                  <w:tcBorders>
                    <w:tl2br w:val="nil"/>
                    <w:tr2bl w:val="nil"/>
                  </w:tcBorders>
                  <w:vAlign w:val="center"/>
                </w:tcPr>
                <w:p w14:paraId="4D595F74">
                  <w:pPr>
                    <w:spacing w:line="240" w:lineRule="exact"/>
                    <w:jc w:val="center"/>
                    <w:rPr>
                      <w:rFonts w:ascii="Times New Roman" w:hAnsi="Times New Roman" w:cs="Times New Roman"/>
                      <w:szCs w:val="21"/>
                    </w:rPr>
                  </w:pPr>
                  <w:r>
                    <w:rPr>
                      <w:rFonts w:ascii="Times New Roman" w:hAnsi="Times New Roman" w:cs="Times New Roman"/>
                      <w:szCs w:val="21"/>
                    </w:rPr>
                    <w:t>每季度1次</w:t>
                  </w:r>
                </w:p>
              </w:tc>
              <w:tc>
                <w:tcPr>
                  <w:tcW w:w="1690" w:type="pct"/>
                  <w:tcBorders>
                    <w:tl2br w:val="nil"/>
                    <w:tr2bl w:val="nil"/>
                  </w:tcBorders>
                  <w:vAlign w:val="center"/>
                </w:tcPr>
                <w:p w14:paraId="7F453E85">
                  <w:pPr>
                    <w:spacing w:line="240" w:lineRule="exact"/>
                    <w:jc w:val="center"/>
                    <w:rPr>
                      <w:rFonts w:ascii="Times New Roman" w:hAnsi="Times New Roman" w:cs="Times New Roman"/>
                      <w:szCs w:val="21"/>
                    </w:rPr>
                  </w:pPr>
                  <w:r>
                    <w:rPr>
                      <w:rFonts w:ascii="Times New Roman" w:hAnsi="Times New Roman" w:cs="Times New Roman"/>
                      <w:szCs w:val="21"/>
                    </w:rPr>
                    <w:t>《工业企业厂界环境噪声排放标准》（GB12348-2008）</w:t>
                  </w:r>
                </w:p>
                <w:p w14:paraId="35F7EA39">
                  <w:pPr>
                    <w:spacing w:line="240" w:lineRule="exact"/>
                    <w:jc w:val="center"/>
                    <w:rPr>
                      <w:rFonts w:ascii="Times New Roman" w:hAnsi="Times New Roman" w:cs="Times New Roman"/>
                      <w:szCs w:val="21"/>
                    </w:rPr>
                  </w:pPr>
                  <w:r>
                    <w:rPr>
                      <w:rFonts w:ascii="Times New Roman" w:hAnsi="Times New Roman" w:cs="Times New Roman"/>
                      <w:szCs w:val="21"/>
                    </w:rPr>
                    <w:t>3类标准</w:t>
                  </w:r>
                </w:p>
              </w:tc>
            </w:tr>
            <w:tr w14:paraId="5AD67F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620" w:type="pct"/>
                  <w:vMerge w:val="continue"/>
                  <w:tcBorders>
                    <w:tl2br w:val="nil"/>
                    <w:tr2bl w:val="nil"/>
                  </w:tcBorders>
                  <w:vAlign w:val="center"/>
                </w:tcPr>
                <w:p w14:paraId="0BA71543">
                  <w:pPr>
                    <w:spacing w:line="240" w:lineRule="exact"/>
                    <w:jc w:val="center"/>
                    <w:rPr>
                      <w:rFonts w:ascii="Times New Roman" w:hAnsi="Times New Roman" w:cs="Times New Roman"/>
                      <w:szCs w:val="21"/>
                    </w:rPr>
                  </w:pPr>
                </w:p>
              </w:tc>
              <w:tc>
                <w:tcPr>
                  <w:tcW w:w="634" w:type="pct"/>
                  <w:tcBorders>
                    <w:tl2br w:val="nil"/>
                    <w:tr2bl w:val="nil"/>
                  </w:tcBorders>
                  <w:vAlign w:val="center"/>
                </w:tcPr>
                <w:p w14:paraId="161A6A18">
                  <w:pPr>
                    <w:spacing w:line="240" w:lineRule="exact"/>
                    <w:jc w:val="center"/>
                    <w:rPr>
                      <w:rFonts w:ascii="Times New Roman" w:hAnsi="Times New Roman" w:cs="Times New Roman"/>
                      <w:szCs w:val="21"/>
                    </w:rPr>
                  </w:pPr>
                  <w:r>
                    <w:rPr>
                      <w:rFonts w:hint="eastAsia" w:ascii="Times New Roman" w:hAnsi="Times New Roman" w:cs="Times New Roman"/>
                      <w:szCs w:val="21"/>
                    </w:rPr>
                    <w:t>声环境</w:t>
                  </w:r>
                </w:p>
              </w:tc>
              <w:tc>
                <w:tcPr>
                  <w:tcW w:w="1100" w:type="pct"/>
                  <w:tcBorders>
                    <w:tl2br w:val="nil"/>
                    <w:tr2bl w:val="nil"/>
                  </w:tcBorders>
                  <w:vAlign w:val="center"/>
                </w:tcPr>
                <w:p w14:paraId="482A300B">
                  <w:pPr>
                    <w:spacing w:line="240" w:lineRule="exact"/>
                    <w:jc w:val="center"/>
                    <w:rPr>
                      <w:rFonts w:ascii="Times New Roman" w:hAnsi="Times New Roman" w:cs="Times New Roman"/>
                      <w:szCs w:val="21"/>
                    </w:rPr>
                  </w:pPr>
                  <w:r>
                    <w:rPr>
                      <w:rFonts w:hint="eastAsia" w:ascii="Times New Roman" w:hAnsi="Times New Roman" w:cs="Times New Roman"/>
                      <w:szCs w:val="21"/>
                    </w:rPr>
                    <w:t>巨家村</w:t>
                  </w:r>
                </w:p>
              </w:tc>
              <w:tc>
                <w:tcPr>
                  <w:tcW w:w="440" w:type="pct"/>
                  <w:tcBorders>
                    <w:tl2br w:val="nil"/>
                    <w:tr2bl w:val="nil"/>
                  </w:tcBorders>
                  <w:vAlign w:val="center"/>
                </w:tcPr>
                <w:p w14:paraId="7398DC92">
                  <w:pPr>
                    <w:spacing w:line="240" w:lineRule="exact"/>
                    <w:jc w:val="center"/>
                    <w:rPr>
                      <w:rFonts w:ascii="Times New Roman" w:hAnsi="Times New Roman" w:cs="Times New Roman"/>
                      <w:szCs w:val="21"/>
                    </w:rPr>
                  </w:pPr>
                  <w:r>
                    <w:rPr>
                      <w:rFonts w:hint="eastAsia" w:ascii="Times New Roman" w:hAnsi="Times New Roman" w:cs="Times New Roman"/>
                      <w:szCs w:val="21"/>
                    </w:rPr>
                    <w:t>1个</w:t>
                  </w:r>
                </w:p>
              </w:tc>
              <w:tc>
                <w:tcPr>
                  <w:tcW w:w="514" w:type="pct"/>
                  <w:tcBorders>
                    <w:tl2br w:val="nil"/>
                    <w:tr2bl w:val="nil"/>
                  </w:tcBorders>
                  <w:vAlign w:val="center"/>
                </w:tcPr>
                <w:p w14:paraId="793BCACC">
                  <w:pPr>
                    <w:spacing w:line="240" w:lineRule="exact"/>
                    <w:jc w:val="center"/>
                    <w:rPr>
                      <w:rFonts w:ascii="Times New Roman" w:hAnsi="Times New Roman" w:cs="Times New Roman"/>
                      <w:szCs w:val="21"/>
                    </w:rPr>
                  </w:pPr>
                  <w:r>
                    <w:rPr>
                      <w:rFonts w:ascii="Times New Roman" w:hAnsi="Times New Roman" w:cs="Times New Roman"/>
                      <w:szCs w:val="21"/>
                    </w:rPr>
                    <w:t>每季度1次</w:t>
                  </w:r>
                </w:p>
              </w:tc>
              <w:tc>
                <w:tcPr>
                  <w:tcW w:w="1690" w:type="pct"/>
                  <w:tcBorders>
                    <w:tl2br w:val="nil"/>
                    <w:tr2bl w:val="nil"/>
                  </w:tcBorders>
                  <w:vAlign w:val="center"/>
                </w:tcPr>
                <w:p w14:paraId="43B429F2">
                  <w:pPr>
                    <w:spacing w:line="24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《声环境质量标准》（GB3096-2008）</w:t>
                  </w:r>
                </w:p>
                <w:p w14:paraId="19DAD329">
                  <w:pPr>
                    <w:spacing w:line="240" w:lineRule="exact"/>
                    <w:jc w:val="center"/>
                    <w:rPr>
                      <w:rFonts w:ascii="Times New Roman" w:hAnsi="Times New Roman" w:cs="Times New Roman"/>
                      <w:szCs w:val="21"/>
                    </w:rPr>
                  </w:pPr>
                  <w:r>
                    <w:rPr>
                      <w:rFonts w:ascii="Times New Roman" w:hAnsi="Times New Roman" w:cs="Times New Roman"/>
                      <w:szCs w:val="21"/>
                    </w:rPr>
                    <w:t>中</w:t>
                  </w:r>
                  <w:r>
                    <w:rPr>
                      <w:rFonts w:hint="eastAsia" w:ascii="Times New Roman" w:hAnsi="Times New Roman" w:cs="Times New Roman"/>
                      <w:szCs w:val="21"/>
                    </w:rPr>
                    <w:t>2</w:t>
                  </w:r>
                  <w:r>
                    <w:rPr>
                      <w:rFonts w:ascii="Times New Roman" w:hAnsi="Times New Roman" w:cs="Times New Roman"/>
                      <w:szCs w:val="21"/>
                    </w:rPr>
                    <w:t>类标准</w:t>
                  </w:r>
                </w:p>
              </w:tc>
            </w:tr>
          </w:tbl>
          <w:p w14:paraId="3119E915">
            <w:pPr>
              <w:adjustRightInd w:val="0"/>
              <w:snapToGrid w:val="0"/>
              <w:spacing w:line="360" w:lineRule="auto"/>
              <w:ind w:firstLine="482" w:firstLineChars="200"/>
              <w:rPr>
                <w:rFonts w:ascii="Times New Roman" w:hAnsi="Times New Roman" w:eastAsia="宋体" w:cs="Times New Roman"/>
                <w:b/>
                <w:sz w:val="24"/>
              </w:rPr>
            </w:pPr>
            <w:r>
              <w:rPr>
                <w:rFonts w:ascii="Times New Roman" w:hAnsi="Times New Roman" w:eastAsia="宋体" w:cs="Times New Roman"/>
                <w:b/>
                <w:kern w:val="0"/>
                <w:sz w:val="24"/>
              </w:rPr>
              <w:t>四、</w:t>
            </w:r>
            <w:r>
              <w:rPr>
                <w:rFonts w:ascii="Times New Roman" w:hAnsi="Times New Roman" w:eastAsia="宋体" w:cs="Times New Roman"/>
                <w:b/>
                <w:sz w:val="24"/>
              </w:rPr>
              <w:t>固体废物</w:t>
            </w:r>
          </w:p>
          <w:p w14:paraId="3C671439">
            <w:pPr>
              <w:pStyle w:val="13"/>
              <w:adjustRightInd w:val="0"/>
              <w:snapToGrid w:val="0"/>
              <w:spacing w:after="0" w:line="360" w:lineRule="auto"/>
              <w:ind w:left="0" w:leftChars="0" w:firstLine="482" w:firstLineChars="200"/>
              <w:rPr>
                <w:rFonts w:ascii="Times New Roman" w:hAnsi="Times New Roman" w:eastAsia="宋体" w:cs="Times New Roman"/>
                <w:b/>
                <w:bCs/>
                <w:sz w:val="24"/>
              </w:rPr>
            </w:pPr>
            <w:r>
              <w:rPr>
                <w:rFonts w:ascii="Times New Roman" w:hAnsi="Times New Roman" w:eastAsia="宋体" w:cs="Times New Roman"/>
                <w:b/>
                <w:bCs/>
                <w:sz w:val="24"/>
              </w:rPr>
              <w:t>1、源强计算</w:t>
            </w:r>
          </w:p>
          <w:p w14:paraId="0B74B17A">
            <w:pPr>
              <w:pStyle w:val="13"/>
              <w:adjustRightInd w:val="0"/>
              <w:snapToGrid w:val="0"/>
              <w:spacing w:after="0" w:line="360" w:lineRule="auto"/>
              <w:ind w:left="0" w:leftChars="0" w:firstLine="480" w:firstLineChars="200"/>
              <w:rPr>
                <w:rFonts w:ascii="Times New Roman" w:hAnsi="Times New Roman" w:eastAsia="宋体" w:cs="Times New Roman"/>
                <w:sz w:val="24"/>
              </w:rPr>
            </w:pPr>
            <w:r>
              <w:rPr>
                <w:rFonts w:ascii="Times New Roman" w:hAnsi="Times New Roman" w:eastAsia="宋体" w:cs="Times New Roman"/>
                <w:sz w:val="24"/>
              </w:rPr>
              <w:t>（1）生活垃圾</w:t>
            </w:r>
          </w:p>
          <w:p w14:paraId="5199151A">
            <w:pPr>
              <w:pStyle w:val="18"/>
              <w:adjustRightInd w:val="0"/>
              <w:snapToGrid w:val="0"/>
              <w:rPr>
                <w:rFonts w:ascii="Times New Roman" w:hAnsi="Times New Roman" w:eastAsia="宋体" w:cs="Times New Roman"/>
              </w:rPr>
            </w:pPr>
            <w:r>
              <w:rPr>
                <w:rFonts w:ascii="Times New Roman" w:hAnsi="Times New Roman" w:eastAsia="宋体" w:cs="Times New Roman"/>
              </w:rPr>
              <w:t>本项目</w:t>
            </w:r>
            <w:r>
              <w:rPr>
                <w:rFonts w:hint="eastAsia" w:ascii="Times New Roman" w:hAnsi="Times New Roman" w:eastAsia="宋体" w:cs="Times New Roman"/>
              </w:rPr>
              <w:t>为扩建项目，不新增人员</w:t>
            </w:r>
            <w:r>
              <w:rPr>
                <w:rFonts w:ascii="Times New Roman" w:hAnsi="Times New Roman" w:eastAsia="宋体" w:cs="Times New Roman"/>
              </w:rPr>
              <w:t>，</w:t>
            </w:r>
            <w:r>
              <w:rPr>
                <w:rFonts w:hint="eastAsia" w:ascii="Times New Roman" w:hAnsi="Times New Roman" w:eastAsia="宋体" w:cs="Times New Roman"/>
              </w:rPr>
              <w:t>不新增</w:t>
            </w:r>
            <w:r>
              <w:rPr>
                <w:rFonts w:ascii="Times New Roman" w:hAnsi="Times New Roman" w:eastAsia="宋体" w:cs="Times New Roman"/>
              </w:rPr>
              <w:t>生活垃圾</w:t>
            </w:r>
            <w:r>
              <w:rPr>
                <w:rFonts w:hint="eastAsia" w:ascii="Times New Roman" w:hAnsi="Times New Roman" w:eastAsia="宋体" w:cs="Times New Roman"/>
              </w:rPr>
              <w:t>。现有项目</w:t>
            </w:r>
            <w:r>
              <w:rPr>
                <w:rFonts w:ascii="Times New Roman" w:hAnsi="Times New Roman" w:eastAsia="宋体" w:cs="Times New Roman"/>
              </w:rPr>
              <w:t>生活垃圾产生量约为</w:t>
            </w:r>
            <w:r>
              <w:rPr>
                <w:rFonts w:hint="eastAsia" w:ascii="Times New Roman" w:hAnsi="Times New Roman" w:eastAsia="宋体" w:cs="Times New Roman"/>
              </w:rPr>
              <w:t>4</w:t>
            </w:r>
            <w:r>
              <w:rPr>
                <w:rFonts w:ascii="Times New Roman" w:hAnsi="Times New Roman" w:eastAsia="宋体" w:cs="Times New Roman"/>
              </w:rPr>
              <w:t>.5t/a，厂区设置垃圾桶、垃圾箱，定期交环卫部门处置。</w:t>
            </w:r>
          </w:p>
          <w:p w14:paraId="77989369">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（2）一般工业固体废物</w:t>
            </w:r>
          </w:p>
          <w:p w14:paraId="7C375EC1">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①废砂</w:t>
            </w:r>
          </w:p>
          <w:p w14:paraId="23B90646">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本项目喷砂过程中会产生废砂。根据企业提供原辅料用量，废砂产生量约为</w:t>
            </w:r>
            <w:r>
              <w:rPr>
                <w:rFonts w:hint="eastAsia" w:ascii="Times New Roman" w:hAnsi="Times New Roman" w:cs="Times New Roman"/>
                <w:sz w:val="24"/>
              </w:rPr>
              <w:t>15</w:t>
            </w:r>
            <w:r>
              <w:rPr>
                <w:rFonts w:ascii="Times New Roman" w:hAnsi="Times New Roman" w:cs="Times New Roman"/>
                <w:sz w:val="24"/>
              </w:rPr>
              <w:t>t/a，收集外售。</w:t>
            </w:r>
          </w:p>
          <w:p w14:paraId="74375948">
            <w:pPr>
              <w:widowControl/>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②</w:t>
            </w:r>
            <w:r>
              <w:rPr>
                <w:rFonts w:hint="eastAsia" w:ascii="Times New Roman" w:hAnsi="Times New Roman" w:eastAsia="宋体" w:cs="Times New Roman"/>
                <w:sz w:val="24"/>
              </w:rPr>
              <w:t>除尘灰</w:t>
            </w:r>
          </w:p>
          <w:p w14:paraId="07D5B4D5">
            <w:pPr>
              <w:widowControl/>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本项目喷砂工序产生的粉尘由布袋除尘器进行处理，根据计算，除尘设备收集的喷砂工序除尘灰量为2.0805</w:t>
            </w:r>
            <w:r>
              <w:rPr>
                <w:rFonts w:ascii="Times New Roman" w:hAnsi="Times New Roman" w:eastAsia="宋体" w:cs="Times New Roman"/>
                <w:sz w:val="24"/>
              </w:rPr>
              <w:t>t/a</w:t>
            </w:r>
            <w:r>
              <w:rPr>
                <w:rFonts w:hint="eastAsia" w:ascii="Times New Roman" w:hAnsi="Times New Roman" w:eastAsia="宋体" w:cs="Times New Roman"/>
                <w:sz w:val="24"/>
              </w:rPr>
              <w:t>，属于一般固废，</w:t>
            </w:r>
            <w:r>
              <w:rPr>
                <w:rFonts w:ascii="Times New Roman" w:hAnsi="Times New Roman" w:cs="Times New Roman"/>
                <w:sz w:val="24"/>
              </w:rPr>
              <w:t>收集</w:t>
            </w:r>
            <w:r>
              <w:rPr>
                <w:rFonts w:hint="eastAsia" w:ascii="Times New Roman" w:hAnsi="Times New Roman" w:cs="Times New Roman"/>
                <w:sz w:val="24"/>
              </w:rPr>
              <w:t>后定期外售</w:t>
            </w:r>
            <w:r>
              <w:rPr>
                <w:rFonts w:ascii="Times New Roman" w:hAnsi="Times New Roman" w:cs="Times New Roman"/>
                <w:sz w:val="24"/>
              </w:rPr>
              <w:t>。</w:t>
            </w:r>
          </w:p>
          <w:p w14:paraId="63BBDD50">
            <w:pPr>
              <w:pStyle w:val="13"/>
              <w:adjustRightInd w:val="0"/>
              <w:snapToGrid w:val="0"/>
              <w:spacing w:after="0" w:line="360" w:lineRule="auto"/>
              <w:ind w:left="0" w:leftChars="0" w:firstLine="480" w:firstLineChars="200"/>
              <w:rPr>
                <w:rFonts w:ascii="Times New Roman" w:hAnsi="Times New Roman" w:eastAsia="宋体" w:cs="Times New Roman"/>
                <w:sz w:val="24"/>
              </w:rPr>
            </w:pPr>
            <w:r>
              <w:rPr>
                <w:rFonts w:ascii="Times New Roman" w:hAnsi="Times New Roman" w:eastAsia="宋体" w:cs="Times New Roman"/>
                <w:sz w:val="24"/>
              </w:rPr>
              <w:t>（3）危险废物</w:t>
            </w:r>
          </w:p>
          <w:p w14:paraId="1BAC0D49">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①废活性炭</w:t>
            </w:r>
          </w:p>
          <w:p w14:paraId="3A019178">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w:t>
            </w:r>
            <w:r>
              <w:rPr>
                <w:rFonts w:hint="eastAsia" w:ascii="Times New Roman" w:hAnsi="Times New Roman" w:cs="Times New Roman"/>
                <w:sz w:val="24"/>
              </w:rPr>
              <w:t>调漆、喷漆、烘干</w:t>
            </w:r>
            <w:r>
              <w:rPr>
                <w:rFonts w:ascii="Times New Roman" w:hAnsi="Times New Roman" w:cs="Times New Roman"/>
                <w:sz w:val="24"/>
              </w:rPr>
              <w:t>有机废气采用</w:t>
            </w:r>
            <w:r>
              <w:rPr>
                <w:rFonts w:hint="eastAsia" w:ascii="Times New Roman" w:hAnsi="Times New Roman" w:cs="Times New Roman"/>
                <w:sz w:val="24"/>
              </w:rPr>
              <w:t>二级</w:t>
            </w:r>
            <w:r>
              <w:rPr>
                <w:rFonts w:ascii="Times New Roman" w:hAnsi="Times New Roman" w:cs="Times New Roman"/>
                <w:sz w:val="24"/>
              </w:rPr>
              <w:t>活性炭吸附</w:t>
            </w:r>
            <w:r>
              <w:rPr>
                <w:rFonts w:hint="eastAsia" w:ascii="Times New Roman" w:hAnsi="Times New Roman" w:cs="Times New Roman"/>
                <w:sz w:val="24"/>
              </w:rPr>
              <w:t>装置</w:t>
            </w:r>
            <w:r>
              <w:rPr>
                <w:rFonts w:ascii="Times New Roman" w:hAnsi="Times New Roman" w:cs="Times New Roman"/>
                <w:sz w:val="24"/>
              </w:rPr>
              <w:t>的工艺进行处理，吸附处理有机废气的量约为0.</w:t>
            </w:r>
            <w:r>
              <w:rPr>
                <w:rFonts w:hint="eastAsia" w:ascii="Times New Roman" w:hAnsi="Times New Roman" w:cs="Times New Roman"/>
                <w:sz w:val="24"/>
              </w:rPr>
              <w:t>829</w:t>
            </w:r>
            <w:r>
              <w:rPr>
                <w:rFonts w:ascii="Times New Roman" w:hAnsi="Times New Roman" w:cs="Times New Roman"/>
                <w:sz w:val="24"/>
              </w:rPr>
              <w:t>t/a，活性炭的吸附能力约为4:1（即吸收1t有机废气需要4t活性炭），因此本项目</w:t>
            </w:r>
            <w:r>
              <w:rPr>
                <w:rFonts w:hint="eastAsia" w:ascii="Times New Roman" w:hAnsi="Times New Roman" w:cs="Times New Roman"/>
                <w:sz w:val="24"/>
              </w:rPr>
              <w:t>喷涂</w:t>
            </w:r>
            <w:r>
              <w:rPr>
                <w:rFonts w:ascii="Times New Roman" w:hAnsi="Times New Roman" w:cs="Times New Roman"/>
                <w:sz w:val="24"/>
              </w:rPr>
              <w:t>有机废气处置产生的废活性炭的产生量为</w:t>
            </w:r>
            <w:r>
              <w:rPr>
                <w:rFonts w:hint="eastAsia" w:ascii="Times New Roman" w:hAnsi="Times New Roman" w:cs="Times New Roman"/>
                <w:sz w:val="24"/>
              </w:rPr>
              <w:t>3.316</w:t>
            </w:r>
            <w:r>
              <w:rPr>
                <w:rFonts w:ascii="Times New Roman" w:hAnsi="Times New Roman" w:cs="Times New Roman"/>
                <w:sz w:val="24"/>
              </w:rPr>
              <w:t>t/a。根据</w:t>
            </w:r>
            <w:r>
              <w:rPr>
                <w:rFonts w:hint="eastAsia" w:ascii="Times New Roman" w:hAnsi="Times New Roman" w:eastAsia="宋体" w:cs="Times New Roman"/>
                <w:sz w:val="24"/>
              </w:rPr>
              <w:t>《国家危险废物名录（</w:t>
            </w:r>
            <w:r>
              <w:rPr>
                <w:rFonts w:ascii="Times New Roman" w:hAnsi="Times New Roman" w:eastAsia="宋体" w:cs="Times New Roman"/>
                <w:sz w:val="24"/>
              </w:rPr>
              <w:t>202</w:t>
            </w:r>
            <w:r>
              <w:rPr>
                <w:rFonts w:hint="eastAsia" w:ascii="Times New Roman" w:hAnsi="Times New Roman" w:eastAsia="宋体" w:cs="Times New Roman"/>
                <w:sz w:val="24"/>
              </w:rPr>
              <w:t>5年版）》</w:t>
            </w:r>
            <w:r>
              <w:rPr>
                <w:rFonts w:ascii="Times New Roman" w:hAnsi="Times New Roman" w:cs="Times New Roman"/>
                <w:sz w:val="24"/>
              </w:rPr>
              <w:t>，废气治理设施产生的废活性炭属于</w:t>
            </w:r>
            <w:r>
              <w:rPr>
                <w:rFonts w:hint="eastAsia" w:ascii="Times New Roman" w:hAnsi="Times New Roman" w:cs="Times New Roman"/>
                <w:sz w:val="24"/>
              </w:rPr>
              <w:t>“</w:t>
            </w:r>
            <w:r>
              <w:rPr>
                <w:rFonts w:ascii="Times New Roman" w:hAnsi="Times New Roman" w:cs="Times New Roman"/>
                <w:sz w:val="24"/>
              </w:rPr>
              <w:t>HW49-900-041-49其他废物</w:t>
            </w:r>
            <w:r>
              <w:rPr>
                <w:rFonts w:hint="eastAsia" w:ascii="Times New Roman" w:hAnsi="Times New Roman" w:cs="Times New Roman"/>
                <w:sz w:val="24"/>
              </w:rPr>
              <w:t>－</w:t>
            </w:r>
            <w:r>
              <w:rPr>
                <w:rFonts w:ascii="Times New Roman" w:hAnsi="Times New Roman" w:cs="Times New Roman"/>
                <w:sz w:val="24"/>
              </w:rPr>
              <w:t>沾染毒性、感染性危险废物的废气包装物、容器、过滤吸附介质</w:t>
            </w:r>
            <w:r>
              <w:rPr>
                <w:rFonts w:hint="eastAsia" w:ascii="Times New Roman" w:hAnsi="Times New Roman" w:cs="Times New Roman"/>
                <w:sz w:val="24"/>
              </w:rPr>
              <w:t>”</w:t>
            </w:r>
            <w:r>
              <w:rPr>
                <w:rFonts w:ascii="Times New Roman" w:hAnsi="Times New Roman" w:cs="Times New Roman"/>
                <w:sz w:val="24"/>
              </w:rPr>
              <w:t>；活性炭需要定期进行更换，更换下的废活性炭暂存于</w:t>
            </w:r>
            <w:r>
              <w:rPr>
                <w:rFonts w:hint="eastAsia" w:ascii="Times New Roman" w:hAnsi="Times New Roman" w:cs="Times New Roman"/>
                <w:sz w:val="24"/>
              </w:rPr>
              <w:t>车间内的</w:t>
            </w:r>
            <w:r>
              <w:rPr>
                <w:rFonts w:ascii="Times New Roman" w:hAnsi="Times New Roman" w:cs="Times New Roman"/>
                <w:sz w:val="24"/>
              </w:rPr>
              <w:t>危废贮存库，委托有资质的单位处置。</w:t>
            </w:r>
          </w:p>
          <w:p w14:paraId="4BBF6225">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②废过滤棉</w:t>
            </w:r>
          </w:p>
          <w:p w14:paraId="17D14772">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本项目喷漆及烘干固化废气采用高效过滤棉</w:t>
            </w:r>
            <w:r>
              <w:rPr>
                <w:rFonts w:ascii="Times New Roman" w:hAnsi="Times New Roman" w:cs="Times New Roman"/>
                <w:sz w:val="24"/>
              </w:rPr>
              <w:t>+</w:t>
            </w:r>
            <w:r>
              <w:rPr>
                <w:rFonts w:hint="eastAsia" w:ascii="Times New Roman" w:hAnsi="Times New Roman" w:cs="Times New Roman"/>
                <w:sz w:val="24"/>
              </w:rPr>
              <w:t>二级</w:t>
            </w:r>
            <w:r>
              <w:rPr>
                <w:rFonts w:ascii="Times New Roman" w:hAnsi="Times New Roman" w:cs="Times New Roman"/>
                <w:sz w:val="24"/>
              </w:rPr>
              <w:t>活性炭吸附</w:t>
            </w:r>
            <w:r>
              <w:rPr>
                <w:rFonts w:hint="eastAsia" w:ascii="Times New Roman" w:hAnsi="Times New Roman" w:cs="Times New Roman"/>
                <w:sz w:val="24"/>
              </w:rPr>
              <w:t>装置处理，项目采用的过滤棉规格为</w:t>
            </w:r>
            <w:r>
              <w:rPr>
                <w:rFonts w:ascii="Times New Roman" w:hAnsi="Times New Roman" w:cs="Times New Roman"/>
                <w:sz w:val="24"/>
              </w:rPr>
              <w:t>17m</w:t>
            </w:r>
            <w:r>
              <w:rPr>
                <w:rFonts w:ascii="Times New Roman" w:hAnsi="Times New Roman" w:cs="Times New Roman"/>
                <w:sz w:val="24"/>
                <w:vertAlign w:val="superscript"/>
              </w:rPr>
              <w:t>2</w:t>
            </w:r>
            <w:r>
              <w:rPr>
                <w:rFonts w:ascii="Times New Roman" w:hAnsi="Times New Roman" w:cs="Times New Roman"/>
                <w:sz w:val="24"/>
              </w:rPr>
              <w:t>/</w:t>
            </w:r>
            <w:r>
              <w:rPr>
                <w:rFonts w:hint="eastAsia" w:ascii="Times New Roman" w:hAnsi="Times New Roman" w:cs="Times New Roman"/>
                <w:sz w:val="24"/>
              </w:rPr>
              <w:t>块，重量约为</w:t>
            </w:r>
            <w:r>
              <w:rPr>
                <w:rFonts w:ascii="Times New Roman" w:hAnsi="Times New Roman" w:cs="Times New Roman"/>
                <w:sz w:val="24"/>
              </w:rPr>
              <w:t>640g/m</w:t>
            </w:r>
            <w:r>
              <w:rPr>
                <w:rFonts w:ascii="Times New Roman" w:hAnsi="Times New Roman" w:cs="Times New Roman"/>
                <w:sz w:val="24"/>
                <w:vertAlign w:val="superscript"/>
              </w:rPr>
              <w:t>2</w:t>
            </w:r>
            <w:r>
              <w:rPr>
                <w:rFonts w:hint="eastAsia" w:ascii="Times New Roman" w:hAnsi="Times New Roman" w:cs="Times New Roman"/>
                <w:sz w:val="24"/>
              </w:rPr>
              <w:t>，过滤棉吸附能力为</w:t>
            </w:r>
            <w:r>
              <w:rPr>
                <w:rFonts w:ascii="Times New Roman" w:hAnsi="Times New Roman" w:cs="Times New Roman"/>
                <w:sz w:val="24"/>
              </w:rPr>
              <w:t>1kg/m</w:t>
            </w:r>
            <w:r>
              <w:rPr>
                <w:rFonts w:ascii="Times New Roman" w:hAnsi="Times New Roman" w:cs="Times New Roman"/>
                <w:sz w:val="24"/>
                <w:vertAlign w:val="superscript"/>
              </w:rPr>
              <w:t>2</w:t>
            </w:r>
            <w:r>
              <w:rPr>
                <w:rFonts w:hint="eastAsia" w:ascii="Times New Roman" w:hAnsi="Times New Roman" w:cs="Times New Roman"/>
                <w:sz w:val="24"/>
                <w:vertAlign w:val="baseline"/>
                <w:lang w:val="en-US" w:eastAsia="zh-CN"/>
              </w:rPr>
              <w:t>~</w:t>
            </w:r>
            <w:r>
              <w:rPr>
                <w:rFonts w:ascii="Times New Roman" w:hAnsi="Times New Roman" w:cs="Times New Roman"/>
                <w:sz w:val="24"/>
              </w:rPr>
              <w:t>2kg/m</w:t>
            </w:r>
            <w:r>
              <w:rPr>
                <w:rFonts w:ascii="Times New Roman" w:hAnsi="Times New Roman" w:cs="Times New Roman"/>
                <w:sz w:val="24"/>
                <w:vertAlign w:val="superscript"/>
              </w:rPr>
              <w:t>2</w:t>
            </w:r>
            <w:r>
              <w:rPr>
                <w:rFonts w:hint="eastAsia" w:ascii="Times New Roman" w:hAnsi="Times New Roman" w:cs="Times New Roman"/>
                <w:sz w:val="24"/>
              </w:rPr>
              <w:t>过滤棉，按</w:t>
            </w:r>
            <w:r>
              <w:rPr>
                <w:rFonts w:ascii="Times New Roman" w:hAnsi="Times New Roman" w:cs="Times New Roman"/>
                <w:sz w:val="24"/>
              </w:rPr>
              <w:t>1.5kg/m</w:t>
            </w:r>
            <w:r>
              <w:rPr>
                <w:rFonts w:ascii="Times New Roman" w:hAnsi="Times New Roman" w:cs="Times New Roman"/>
                <w:sz w:val="24"/>
                <w:vertAlign w:val="superscript"/>
              </w:rPr>
              <w:t>2</w:t>
            </w:r>
            <w:r>
              <w:rPr>
                <w:rFonts w:ascii="Times New Roman" w:hAnsi="Times New Roman" w:cs="Times New Roman"/>
                <w:sz w:val="24"/>
              </w:rPr>
              <w:t>-</w:t>
            </w:r>
            <w:r>
              <w:rPr>
                <w:rFonts w:hint="eastAsia" w:ascii="Times New Roman" w:hAnsi="Times New Roman" w:cs="Times New Roman"/>
                <w:sz w:val="24"/>
              </w:rPr>
              <w:t>过滤棉计，则本项目废过滤棉产生量约为1.6</w:t>
            </w:r>
            <w:r>
              <w:rPr>
                <w:rFonts w:ascii="Times New Roman" w:hAnsi="Times New Roman" w:cs="Times New Roman"/>
                <w:sz w:val="24"/>
              </w:rPr>
              <w:t>t/a</w:t>
            </w:r>
            <w:r>
              <w:rPr>
                <w:rFonts w:hint="eastAsia" w:ascii="Times New Roman" w:hAnsi="Times New Roman" w:cs="Times New Roman"/>
                <w:sz w:val="24"/>
              </w:rPr>
              <w:t>。根据</w:t>
            </w:r>
            <w:r>
              <w:rPr>
                <w:rFonts w:hint="eastAsia" w:ascii="Times New Roman" w:hAnsi="Times New Roman" w:eastAsia="宋体" w:cs="Times New Roman"/>
                <w:sz w:val="24"/>
              </w:rPr>
              <w:t>《国家危险废物名录（</w:t>
            </w:r>
            <w:r>
              <w:rPr>
                <w:rFonts w:ascii="Times New Roman" w:hAnsi="Times New Roman" w:eastAsia="宋体" w:cs="Times New Roman"/>
                <w:sz w:val="24"/>
              </w:rPr>
              <w:t>202</w:t>
            </w:r>
            <w:r>
              <w:rPr>
                <w:rFonts w:hint="eastAsia" w:ascii="Times New Roman" w:hAnsi="Times New Roman" w:eastAsia="宋体" w:cs="Times New Roman"/>
                <w:sz w:val="24"/>
              </w:rPr>
              <w:t>5年版）》</w:t>
            </w:r>
            <w:r>
              <w:rPr>
                <w:rFonts w:hint="eastAsia" w:ascii="Times New Roman" w:hAnsi="Times New Roman" w:cs="Times New Roman"/>
                <w:sz w:val="24"/>
              </w:rPr>
              <w:t>，废过滤棉属于危险废物，废物类别为</w:t>
            </w:r>
            <w:r>
              <w:rPr>
                <w:rFonts w:ascii="Times New Roman" w:hAnsi="Times New Roman" w:cs="Times New Roman"/>
                <w:sz w:val="24"/>
              </w:rPr>
              <w:t>HW49</w:t>
            </w:r>
            <w:r>
              <w:rPr>
                <w:rFonts w:hint="eastAsia" w:ascii="Times New Roman" w:hAnsi="Times New Roman" w:cs="Times New Roman"/>
                <w:sz w:val="24"/>
              </w:rPr>
              <w:t>，废物代码为</w:t>
            </w:r>
            <w:r>
              <w:rPr>
                <w:rFonts w:ascii="Times New Roman" w:hAnsi="Times New Roman" w:cs="Times New Roman"/>
                <w:sz w:val="24"/>
              </w:rPr>
              <w:t>900-041-49</w:t>
            </w:r>
            <w:r>
              <w:rPr>
                <w:rFonts w:hint="eastAsia" w:ascii="Times New Roman" w:hAnsi="Times New Roman" w:cs="Times New Roman"/>
                <w:sz w:val="24"/>
              </w:rPr>
              <w:t>，经危废暂存间暂存后，交由有资质的单位进行处置。</w:t>
            </w:r>
          </w:p>
          <w:p w14:paraId="77B0D636">
            <w:pPr>
              <w:widowControl/>
              <w:adjustRightInd w:val="0"/>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sz w:val="24"/>
              </w:rPr>
              <w:t>③漆渣</w:t>
            </w:r>
          </w:p>
          <w:p w14:paraId="3AA0F035">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color w:val="auto"/>
                <w:sz w:val="24"/>
              </w:rPr>
              <w:t>本项目喷</w:t>
            </w:r>
            <w:r>
              <w:rPr>
                <w:rFonts w:hint="eastAsia" w:ascii="Times New Roman" w:hAnsi="Times New Roman" w:eastAsia="宋体" w:cs="Times New Roman"/>
                <w:color w:val="auto"/>
                <w:sz w:val="24"/>
              </w:rPr>
              <w:t>漆</w:t>
            </w:r>
            <w:r>
              <w:rPr>
                <w:rFonts w:ascii="Times New Roman" w:hAnsi="Times New Roman" w:eastAsia="宋体" w:cs="Times New Roman"/>
                <w:color w:val="auto"/>
                <w:sz w:val="24"/>
              </w:rPr>
              <w:t>过程中</w:t>
            </w:r>
            <w:r>
              <w:rPr>
                <w:rFonts w:hint="eastAsia" w:ascii="Times New Roman" w:hAnsi="Times New Roman" w:eastAsia="宋体" w:cs="Times New Roman"/>
                <w:color w:val="auto"/>
                <w:sz w:val="24"/>
                <w:lang w:val="en-US" w:eastAsia="zh-CN"/>
              </w:rPr>
              <w:t>设备与环境损耗</w:t>
            </w:r>
            <w:r>
              <w:rPr>
                <w:rFonts w:ascii="Times New Roman" w:hAnsi="Times New Roman" w:eastAsia="宋体" w:cs="Times New Roman"/>
                <w:color w:val="auto"/>
                <w:sz w:val="24"/>
              </w:rPr>
              <w:t>产生</w:t>
            </w:r>
            <w:r>
              <w:rPr>
                <w:rFonts w:hint="eastAsia" w:ascii="Times New Roman" w:hAnsi="Times New Roman" w:eastAsia="宋体" w:cs="Times New Roman"/>
                <w:color w:val="auto"/>
                <w:sz w:val="24"/>
              </w:rPr>
              <w:t>漆渣</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喷漆时部分漆雾会变成漆渣</w:t>
            </w:r>
            <w:r>
              <w:rPr>
                <w:rFonts w:ascii="Times New Roman" w:hAnsi="Times New Roman" w:eastAsia="宋体" w:cs="Times New Roman"/>
                <w:color w:val="auto"/>
                <w:sz w:val="24"/>
              </w:rPr>
              <w:t>。</w:t>
            </w:r>
            <w:r>
              <w:rPr>
                <w:rFonts w:ascii="Times New Roman" w:hAnsi="Times New Roman" w:eastAsia="宋体" w:cs="Times New Roman"/>
                <w:color w:val="FF0000"/>
                <w:sz w:val="24"/>
              </w:rPr>
              <w:t>根据企业提供</w:t>
            </w:r>
            <w:r>
              <w:rPr>
                <w:rFonts w:hint="eastAsia" w:ascii="Times New Roman" w:hAnsi="Times New Roman" w:eastAsia="宋体" w:cs="Times New Roman"/>
                <w:color w:val="FF0000"/>
                <w:sz w:val="24"/>
              </w:rPr>
              <w:t>水性漆</w:t>
            </w:r>
            <w:r>
              <w:rPr>
                <w:rFonts w:ascii="Times New Roman" w:hAnsi="Times New Roman" w:eastAsia="宋体" w:cs="Times New Roman"/>
                <w:color w:val="FF0000"/>
                <w:sz w:val="24"/>
              </w:rPr>
              <w:t>用量</w:t>
            </w:r>
            <w:r>
              <w:rPr>
                <w:rFonts w:hint="eastAsia" w:ascii="Times New Roman" w:hAnsi="Times New Roman" w:eastAsia="宋体" w:cs="Times New Roman"/>
                <w:color w:val="FF0000"/>
                <w:sz w:val="24"/>
              </w:rPr>
              <w:t>以及</w:t>
            </w:r>
            <w:r>
              <w:rPr>
                <w:rFonts w:hint="eastAsia" w:ascii="Times New Roman" w:hAnsi="Times New Roman" w:eastAsia="宋体" w:cs="Times New Roman"/>
                <w:color w:val="auto"/>
                <w:sz w:val="24"/>
                <w:lang w:val="en-US" w:eastAsia="zh-CN"/>
              </w:rPr>
              <w:t>设备与环境损耗20%，</w:t>
            </w:r>
            <w:r>
              <w:rPr>
                <w:rFonts w:hint="eastAsia" w:ascii="Times New Roman" w:hAnsi="Times New Roman" w:eastAsia="宋体" w:cs="Times New Roman"/>
                <w:color w:val="FF0000"/>
                <w:sz w:val="24"/>
              </w:rPr>
              <w:t>漆雾废气</w:t>
            </w:r>
            <w:r>
              <w:rPr>
                <w:rFonts w:ascii="Times New Roman" w:hAnsi="Times New Roman" w:eastAsia="宋体" w:cs="Times New Roman"/>
                <w:color w:val="FF0000"/>
                <w:sz w:val="24"/>
              </w:rPr>
              <w:t>收集效率</w:t>
            </w:r>
            <w:r>
              <w:rPr>
                <w:rFonts w:hint="eastAsia" w:ascii="Times New Roman" w:hAnsi="Times New Roman" w:eastAsia="宋体" w:cs="Times New Roman"/>
                <w:color w:val="FF0000"/>
                <w:sz w:val="24"/>
              </w:rPr>
              <w:t>（</w:t>
            </w:r>
            <w:r>
              <w:rPr>
                <w:rFonts w:ascii="Times New Roman" w:hAnsi="Times New Roman" w:eastAsia="宋体" w:cs="Times New Roman"/>
                <w:color w:val="FF0000"/>
                <w:sz w:val="24"/>
              </w:rPr>
              <w:t>9</w:t>
            </w:r>
            <w:r>
              <w:rPr>
                <w:rFonts w:hint="eastAsia" w:ascii="Times New Roman" w:hAnsi="Times New Roman" w:eastAsia="宋体" w:cs="Times New Roman"/>
                <w:color w:val="FF0000"/>
                <w:sz w:val="24"/>
              </w:rPr>
              <w:t>5</w:t>
            </w:r>
            <w:r>
              <w:rPr>
                <w:rFonts w:ascii="Times New Roman" w:hAnsi="Times New Roman" w:eastAsia="宋体" w:cs="Times New Roman"/>
                <w:color w:val="FF0000"/>
                <w:sz w:val="24"/>
              </w:rPr>
              <w:t>%</w:t>
            </w:r>
            <w:r>
              <w:rPr>
                <w:rFonts w:hint="eastAsia" w:ascii="Times New Roman" w:hAnsi="Times New Roman" w:eastAsia="宋体" w:cs="Times New Roman"/>
                <w:color w:val="FF0000"/>
                <w:sz w:val="24"/>
              </w:rPr>
              <w:t>）计算</w:t>
            </w:r>
            <w:r>
              <w:rPr>
                <w:rFonts w:ascii="Times New Roman" w:hAnsi="Times New Roman" w:eastAsia="宋体" w:cs="Times New Roman"/>
                <w:color w:val="FF0000"/>
                <w:sz w:val="24"/>
              </w:rPr>
              <w:t>，</w:t>
            </w:r>
            <w:r>
              <w:rPr>
                <w:rFonts w:hint="eastAsia" w:ascii="Times New Roman" w:hAnsi="Times New Roman" w:eastAsia="宋体" w:cs="Times New Roman"/>
                <w:color w:val="FF0000"/>
                <w:sz w:val="24"/>
              </w:rPr>
              <w:t>漆渣产生率是漆雾</w:t>
            </w:r>
            <w:r>
              <w:rPr>
                <w:rFonts w:hint="eastAsia" w:ascii="Times New Roman" w:hAnsi="Times New Roman" w:eastAsia="宋体" w:cs="Times New Roman"/>
                <w:sz w:val="24"/>
              </w:rPr>
              <w:t>的5%，</w:t>
            </w:r>
            <w:r>
              <w:rPr>
                <w:rFonts w:hint="eastAsia" w:ascii="Times New Roman" w:hAnsi="Times New Roman" w:eastAsia="宋体" w:cs="Times New Roman"/>
                <w:sz w:val="24"/>
                <w:lang w:val="en-US" w:eastAsia="zh-CN"/>
              </w:rPr>
              <w:t>故漆渣</w:t>
            </w:r>
            <w:r>
              <w:rPr>
                <w:rFonts w:hint="eastAsia" w:ascii="Times New Roman" w:hAnsi="Times New Roman" w:eastAsia="宋体" w:cs="Times New Roman"/>
                <w:sz w:val="24"/>
              </w:rPr>
              <w:t>产生量为</w:t>
            </w:r>
            <w:r>
              <w:rPr>
                <w:rFonts w:hint="eastAsia" w:ascii="Times New Roman" w:hAnsi="Times New Roman" w:eastAsia="宋体" w:cs="Times New Roman"/>
                <w:sz w:val="24"/>
                <w:lang w:val="en-US" w:eastAsia="zh-CN"/>
              </w:rPr>
              <w:t>1.222</w:t>
            </w:r>
            <w:r>
              <w:rPr>
                <w:rFonts w:hint="eastAsia" w:ascii="Times New Roman" w:hAnsi="Times New Roman" w:eastAsia="宋体" w:cs="Times New Roman"/>
                <w:sz w:val="24"/>
              </w:rPr>
              <w:t>t/a</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根据《国家危险废物名录（2025年版）》，</w:t>
            </w:r>
            <w:r>
              <w:rPr>
                <w:rFonts w:hint="eastAsia" w:ascii="Times New Roman" w:hAnsi="Times New Roman" w:eastAsia="宋体" w:cs="Times New Roman"/>
                <w:sz w:val="24"/>
              </w:rPr>
              <w:commentReference w:id="52"/>
            </w:r>
            <w:r>
              <w:rPr>
                <w:rFonts w:hint="eastAsia" w:ascii="Times New Roman" w:hAnsi="Times New Roman" w:eastAsia="宋体" w:cs="Times New Roman"/>
                <w:sz w:val="24"/>
                <w:lang w:eastAsia="zh-CN"/>
              </w:rPr>
              <w:t>本项目</w:t>
            </w:r>
            <w:r>
              <w:rPr>
                <w:rFonts w:hint="eastAsia" w:ascii="Times New Roman" w:hAnsi="Times New Roman" w:eastAsia="宋体" w:cs="Times New Roman"/>
                <w:sz w:val="24"/>
              </w:rPr>
              <w:t>水性漆</w:t>
            </w:r>
            <w:r>
              <w:rPr>
                <w:rFonts w:hint="eastAsia" w:ascii="Times New Roman" w:hAnsi="Times New Roman" w:eastAsia="宋体" w:cs="Times New Roman"/>
                <w:sz w:val="24"/>
                <w:lang w:eastAsia="zh-CN"/>
              </w:rPr>
              <w:t>漆渣</w:t>
            </w:r>
            <w:r>
              <w:rPr>
                <w:rFonts w:hint="eastAsia" w:ascii="Times New Roman" w:hAnsi="Times New Roman" w:eastAsia="宋体" w:cs="Times New Roman"/>
                <w:sz w:val="24"/>
              </w:rPr>
              <w:t>属于危险废物</w:t>
            </w:r>
            <w:r>
              <w:rPr>
                <w:rFonts w:hint="eastAsia" w:ascii="Times New Roman" w:hAnsi="Times New Roman" w:cs="Times New Roman"/>
                <w:sz w:val="24"/>
              </w:rPr>
              <w:t>，废物类别为</w:t>
            </w:r>
            <w:r>
              <w:rPr>
                <w:rFonts w:ascii="Times New Roman" w:hAnsi="Times New Roman" w:cs="Times New Roman"/>
                <w:sz w:val="24"/>
              </w:rPr>
              <w:t>HW49</w:t>
            </w:r>
            <w:r>
              <w:rPr>
                <w:rFonts w:hint="eastAsia" w:ascii="Times New Roman" w:hAnsi="Times New Roman" w:cs="Times New Roman"/>
                <w:sz w:val="24"/>
              </w:rPr>
              <w:t>，废物代码为</w:t>
            </w:r>
            <w:r>
              <w:rPr>
                <w:rFonts w:ascii="Times New Roman" w:hAnsi="Times New Roman" w:cs="Times New Roman"/>
                <w:sz w:val="24"/>
              </w:rPr>
              <w:t>900-041-49</w:t>
            </w:r>
            <w:r>
              <w:rPr>
                <w:rFonts w:hint="eastAsia" w:ascii="Times New Roman" w:hAnsi="Times New Roman" w:cs="Times New Roman"/>
                <w:sz w:val="24"/>
              </w:rPr>
              <w:t>，经危废暂存间暂存后，交由有资质的单位进行处置。</w:t>
            </w:r>
          </w:p>
          <w:p w14:paraId="4B701099">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ascii="Times New Roman" w:hAnsi="Times New Roman" w:cs="Times New Roman"/>
                <w:sz w:val="24"/>
              </w:rPr>
              <w:t>④</w:t>
            </w:r>
            <w:r>
              <w:rPr>
                <w:rFonts w:hint="eastAsia" w:ascii="Times New Roman" w:hAnsi="Times New Roman" w:eastAsia="宋体" w:cs="Times New Roman"/>
                <w:color w:val="auto"/>
                <w:sz w:val="24"/>
                <w:lang w:val="en-US" w:eastAsia="zh-CN"/>
              </w:rPr>
              <w:t>废水性漆桶</w:t>
            </w:r>
          </w:p>
          <w:p w14:paraId="5F15C04F">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eastAsia="宋体" w:cs="Times New Roman"/>
                <w:sz w:val="24"/>
              </w:rPr>
              <w:t>本项目原料水性漆为桶装，使用过程中会产生废包装桶，产生量345个，桶重量约</w:t>
            </w:r>
            <w:r>
              <w:rPr>
                <w:rFonts w:ascii="Times New Roman" w:hAnsi="Times New Roman" w:eastAsia="宋体" w:cs="Times New Roman"/>
                <w:sz w:val="24"/>
              </w:rPr>
              <w:t>2.5kg/</w:t>
            </w:r>
            <w:r>
              <w:rPr>
                <w:rFonts w:hint="eastAsia" w:ascii="Times New Roman" w:hAnsi="Times New Roman" w:eastAsia="宋体" w:cs="Times New Roman"/>
                <w:sz w:val="24"/>
              </w:rPr>
              <w:t>个，则水性漆废包装桶产生量为0.86</w:t>
            </w:r>
            <w:r>
              <w:rPr>
                <w:rFonts w:ascii="Times New Roman" w:hAnsi="Times New Roman" w:eastAsia="宋体" w:cs="Times New Roman"/>
                <w:sz w:val="24"/>
              </w:rPr>
              <w:t>t/a</w:t>
            </w:r>
            <w:r>
              <w:rPr>
                <w:rFonts w:hint="eastAsia" w:ascii="Times New Roman" w:hAnsi="Times New Roman" w:eastAsia="宋体" w:cs="Times New Roman"/>
                <w:sz w:val="24"/>
              </w:rPr>
              <w:t>。根据《国家危险废物名录（</w:t>
            </w:r>
            <w:r>
              <w:rPr>
                <w:rFonts w:ascii="Times New Roman" w:hAnsi="Times New Roman" w:eastAsia="宋体" w:cs="Times New Roman"/>
                <w:sz w:val="24"/>
              </w:rPr>
              <w:t>202</w:t>
            </w:r>
            <w:r>
              <w:rPr>
                <w:rFonts w:hint="eastAsia" w:ascii="Times New Roman" w:hAnsi="Times New Roman" w:eastAsia="宋体" w:cs="Times New Roman"/>
                <w:sz w:val="24"/>
              </w:rPr>
              <w:t>5年版）》，</w:t>
            </w:r>
            <w:r>
              <w:rPr>
                <w:rFonts w:hint="eastAsia" w:ascii="Times New Roman" w:hAnsi="Times New Roman" w:eastAsia="宋体" w:cs="Times New Roman"/>
                <w:sz w:val="24"/>
              </w:rPr>
              <w:commentReference w:id="53"/>
            </w:r>
            <w:r>
              <w:rPr>
                <w:rFonts w:hint="eastAsia" w:ascii="Times New Roman" w:hAnsi="Times New Roman" w:eastAsia="宋体" w:cs="Times New Roman"/>
                <w:sz w:val="24"/>
                <w:lang w:eastAsia="zh-CN"/>
              </w:rPr>
              <w:t>本项目</w:t>
            </w:r>
            <w:r>
              <w:rPr>
                <w:rFonts w:hint="eastAsia" w:ascii="Times New Roman" w:hAnsi="Times New Roman" w:eastAsia="宋体" w:cs="Times New Roman"/>
                <w:sz w:val="24"/>
              </w:rPr>
              <w:t>水性漆包装桶属于危险废物</w:t>
            </w:r>
            <w:r>
              <w:rPr>
                <w:rFonts w:hint="eastAsia" w:ascii="Times New Roman" w:hAnsi="Times New Roman" w:cs="Times New Roman"/>
                <w:sz w:val="24"/>
              </w:rPr>
              <w:t>，废物类别为</w:t>
            </w:r>
            <w:r>
              <w:rPr>
                <w:rFonts w:ascii="Times New Roman" w:hAnsi="Times New Roman" w:cs="Times New Roman"/>
                <w:sz w:val="24"/>
              </w:rPr>
              <w:t>HW49</w:t>
            </w:r>
            <w:r>
              <w:rPr>
                <w:rFonts w:hint="eastAsia" w:ascii="Times New Roman" w:hAnsi="Times New Roman" w:cs="Times New Roman"/>
                <w:sz w:val="24"/>
              </w:rPr>
              <w:t>，废物代码为</w:t>
            </w:r>
            <w:r>
              <w:rPr>
                <w:rFonts w:ascii="Times New Roman" w:hAnsi="Times New Roman" w:cs="Times New Roman"/>
                <w:sz w:val="24"/>
              </w:rPr>
              <w:t>900-041-49</w:t>
            </w:r>
            <w:r>
              <w:rPr>
                <w:rFonts w:hint="eastAsia" w:ascii="Times New Roman" w:hAnsi="Times New Roman" w:cs="Times New Roman"/>
                <w:sz w:val="24"/>
              </w:rPr>
              <w:t>，经危废暂存间暂存后，交由有资质的单位进行处置。</w:t>
            </w:r>
          </w:p>
          <w:p w14:paraId="42088D63">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eastAsia="宋体" w:cs="Times New Roman"/>
                <w:sz w:val="24"/>
                <w:lang w:eastAsia="zh-CN"/>
              </w:rPr>
              <w:t>⑤</w:t>
            </w:r>
            <w:r>
              <w:rPr>
                <w:rFonts w:ascii="Times New Roman" w:hAnsi="Times New Roman" w:cs="Times New Roman"/>
                <w:sz w:val="24"/>
              </w:rPr>
              <w:t>废机油</w:t>
            </w:r>
            <w:r>
              <w:rPr>
                <w:rFonts w:hint="eastAsia" w:ascii="Times New Roman" w:hAnsi="Times New Roman" w:cs="Times New Roman"/>
                <w:sz w:val="24"/>
              </w:rPr>
              <w:t>、废油桶、</w:t>
            </w:r>
            <w:r>
              <w:rPr>
                <w:rFonts w:ascii="Times New Roman" w:hAnsi="Times New Roman" w:cs="Times New Roman"/>
                <w:sz w:val="24"/>
              </w:rPr>
              <w:t>废含油抹布手套</w:t>
            </w:r>
          </w:p>
          <w:p w14:paraId="3BF8BCB8">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本项目生产设备需要</w:t>
            </w:r>
            <w:r>
              <w:rPr>
                <w:rFonts w:hint="eastAsia" w:ascii="Times New Roman" w:hAnsi="Times New Roman" w:cs="Times New Roman"/>
                <w:sz w:val="24"/>
              </w:rPr>
              <w:t>机</w:t>
            </w:r>
            <w:r>
              <w:rPr>
                <w:rFonts w:ascii="Times New Roman" w:hAnsi="Times New Roman" w:cs="Times New Roman"/>
                <w:sz w:val="24"/>
              </w:rPr>
              <w:t>油对机械设备进行维护保养，</w:t>
            </w:r>
            <w:r>
              <w:rPr>
                <w:rFonts w:hint="eastAsia" w:ascii="Times New Roman" w:hAnsi="Times New Roman" w:cs="Times New Roman"/>
                <w:sz w:val="24"/>
              </w:rPr>
              <w:t>现有项目机油用量可满足需求，故本项目不新增废机油、</w:t>
            </w:r>
            <w:r>
              <w:rPr>
                <w:rFonts w:ascii="Times New Roman" w:hAnsi="Times New Roman" w:cs="Times New Roman"/>
                <w:sz w:val="24"/>
              </w:rPr>
              <w:t>废油桶</w:t>
            </w:r>
            <w:r>
              <w:rPr>
                <w:rFonts w:hint="eastAsia" w:ascii="Times New Roman" w:hAnsi="Times New Roman" w:cs="Times New Roman"/>
                <w:sz w:val="24"/>
              </w:rPr>
              <w:t>、</w:t>
            </w:r>
            <w:r>
              <w:rPr>
                <w:rFonts w:ascii="Times New Roman" w:hAnsi="Times New Roman" w:cs="Times New Roman"/>
                <w:sz w:val="24"/>
              </w:rPr>
              <w:t>废含油抹布手套</w:t>
            </w:r>
            <w:r>
              <w:rPr>
                <w:rFonts w:hint="eastAsia" w:ascii="Times New Roman" w:hAnsi="Times New Roman" w:cs="Times New Roman"/>
                <w:sz w:val="24"/>
              </w:rPr>
              <w:t>产生量。</w:t>
            </w:r>
          </w:p>
          <w:p w14:paraId="088AB046">
            <w:pPr>
              <w:adjustRightInd w:val="0"/>
              <w:snapToGrid w:val="0"/>
              <w:spacing w:line="360" w:lineRule="auto"/>
              <w:ind w:firstLine="480" w:firstLineChars="200"/>
              <w:rPr>
                <w:rFonts w:ascii="Times New Roman" w:hAnsi="Times New Roman" w:cs="Times New Roman"/>
                <w:szCs w:val="21"/>
              </w:rPr>
            </w:pPr>
            <w:r>
              <w:rPr>
                <w:rFonts w:ascii="Times New Roman" w:hAnsi="Times New Roman" w:cs="Times New Roman"/>
                <w:sz w:val="24"/>
              </w:rPr>
              <w:t>综上所述，本项目固废产生情况见下表。</w:t>
            </w:r>
          </w:p>
          <w:p w14:paraId="2EE3AA70">
            <w:pPr>
              <w:widowControl/>
              <w:adjustRightInd w:val="0"/>
              <w:snapToGrid w:val="0"/>
              <w:jc w:val="center"/>
              <w:rPr>
                <w:rFonts w:ascii="Times New Roman" w:hAnsi="Times New Roman" w:cs="Times New Roman"/>
                <w:b/>
                <w:bCs/>
                <w:szCs w:val="21"/>
              </w:rPr>
            </w:pPr>
            <w:r>
              <w:rPr>
                <w:rFonts w:ascii="Times New Roman" w:hAnsi="Times New Roman" w:cs="Times New Roman"/>
                <w:b/>
                <w:bCs/>
                <w:szCs w:val="21"/>
              </w:rPr>
              <w:t>表4-1</w:t>
            </w:r>
            <w:r>
              <w:rPr>
                <w:rFonts w:hint="eastAsia" w:ascii="Times New Roman" w:hAnsi="Times New Roman" w:cs="Times New Roman"/>
                <w:b/>
                <w:bCs/>
                <w:szCs w:val="21"/>
              </w:rPr>
              <w:t xml:space="preserve">2    </w:t>
            </w:r>
            <w:r>
              <w:rPr>
                <w:rFonts w:ascii="Times New Roman" w:hAnsi="Times New Roman" w:cs="Times New Roman"/>
                <w:b/>
                <w:bCs/>
                <w:szCs w:val="21"/>
              </w:rPr>
              <w:t>项目产生固废统计表</w:t>
            </w:r>
          </w:p>
          <w:tbl>
            <w:tblPr>
              <w:tblStyle w:val="26"/>
              <w:tblW w:w="824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8"/>
              <w:gridCol w:w="506"/>
              <w:gridCol w:w="1826"/>
              <w:gridCol w:w="536"/>
              <w:gridCol w:w="475"/>
              <w:gridCol w:w="474"/>
              <w:gridCol w:w="846"/>
              <w:gridCol w:w="721"/>
              <w:gridCol w:w="520"/>
              <w:gridCol w:w="846"/>
              <w:gridCol w:w="636"/>
            </w:tblGrid>
            <w:tr w14:paraId="26634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6" w:type="dxa"/>
                  <w:tcBorders>
                    <w:tl2br w:val="nil"/>
                    <w:tr2bl w:val="nil"/>
                  </w:tcBorders>
                  <w:vAlign w:val="center"/>
                </w:tcPr>
                <w:p w14:paraId="5263E672">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序</w:t>
                  </w:r>
                </w:p>
                <w:p w14:paraId="5677D5EE">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号</w:t>
                  </w:r>
                </w:p>
              </w:tc>
              <w:tc>
                <w:tcPr>
                  <w:tcW w:w="428" w:type="dxa"/>
                  <w:tcBorders>
                    <w:tl2br w:val="nil"/>
                    <w:tr2bl w:val="nil"/>
                  </w:tcBorders>
                  <w:vAlign w:val="center"/>
                </w:tcPr>
                <w:p w14:paraId="7EDBD883">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产生环节</w:t>
                  </w:r>
                </w:p>
              </w:tc>
              <w:tc>
                <w:tcPr>
                  <w:tcW w:w="506" w:type="dxa"/>
                  <w:tcBorders>
                    <w:tl2br w:val="nil"/>
                    <w:tr2bl w:val="nil"/>
                  </w:tcBorders>
                  <w:vAlign w:val="center"/>
                </w:tcPr>
                <w:p w14:paraId="6B30FE12">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名称</w:t>
                  </w:r>
                </w:p>
              </w:tc>
              <w:tc>
                <w:tcPr>
                  <w:tcW w:w="1826" w:type="dxa"/>
                  <w:tcBorders>
                    <w:tl2br w:val="nil"/>
                    <w:tr2bl w:val="nil"/>
                  </w:tcBorders>
                  <w:vAlign w:val="center"/>
                </w:tcPr>
                <w:p w14:paraId="394353CD">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属性</w:t>
                  </w:r>
                </w:p>
              </w:tc>
              <w:tc>
                <w:tcPr>
                  <w:tcW w:w="536" w:type="dxa"/>
                  <w:tcBorders>
                    <w:tl2br w:val="nil"/>
                    <w:tr2bl w:val="nil"/>
                  </w:tcBorders>
                  <w:vAlign w:val="center"/>
                </w:tcPr>
                <w:p w14:paraId="432FC9F1">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主要有毒有害物质名称</w:t>
                  </w:r>
                </w:p>
              </w:tc>
              <w:tc>
                <w:tcPr>
                  <w:tcW w:w="475" w:type="dxa"/>
                  <w:tcBorders>
                    <w:tl2br w:val="nil"/>
                    <w:tr2bl w:val="nil"/>
                  </w:tcBorders>
                  <w:vAlign w:val="center"/>
                </w:tcPr>
                <w:p w14:paraId="4DA207FC">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物理性状</w:t>
                  </w:r>
                </w:p>
              </w:tc>
              <w:tc>
                <w:tcPr>
                  <w:tcW w:w="474" w:type="dxa"/>
                  <w:tcBorders>
                    <w:tl2br w:val="nil"/>
                    <w:tr2bl w:val="nil"/>
                  </w:tcBorders>
                  <w:vAlign w:val="center"/>
                </w:tcPr>
                <w:p w14:paraId="56FDDD5C">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环境危险特性</w:t>
                  </w:r>
                </w:p>
              </w:tc>
              <w:tc>
                <w:tcPr>
                  <w:tcW w:w="846" w:type="dxa"/>
                  <w:tcBorders>
                    <w:tl2br w:val="nil"/>
                    <w:tr2bl w:val="nil"/>
                  </w:tcBorders>
                  <w:vAlign w:val="center"/>
                </w:tcPr>
                <w:p w14:paraId="0A2B0FFE">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产生量</w:t>
                  </w:r>
                </w:p>
                <w:p w14:paraId="0409B2D2">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（t/a）</w:t>
                  </w:r>
                </w:p>
              </w:tc>
              <w:tc>
                <w:tcPr>
                  <w:tcW w:w="721" w:type="dxa"/>
                  <w:tcBorders>
                    <w:tl2br w:val="nil"/>
                    <w:tr2bl w:val="nil"/>
                  </w:tcBorders>
                  <w:vAlign w:val="center"/>
                </w:tcPr>
                <w:p w14:paraId="5FF5D104">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临时贮存方式</w:t>
                  </w:r>
                </w:p>
              </w:tc>
              <w:tc>
                <w:tcPr>
                  <w:tcW w:w="520" w:type="dxa"/>
                  <w:tcBorders>
                    <w:tl2br w:val="nil"/>
                    <w:tr2bl w:val="nil"/>
                  </w:tcBorders>
                  <w:vAlign w:val="center"/>
                </w:tcPr>
                <w:p w14:paraId="69E5D8E1">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利用处置方式和去向</w:t>
                  </w:r>
                </w:p>
              </w:tc>
              <w:tc>
                <w:tcPr>
                  <w:tcW w:w="846" w:type="dxa"/>
                  <w:tcBorders>
                    <w:tl2br w:val="nil"/>
                    <w:tr2bl w:val="nil"/>
                  </w:tcBorders>
                  <w:vAlign w:val="center"/>
                </w:tcPr>
                <w:p w14:paraId="47C76007">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处置量/利用量（t/a）</w:t>
                  </w:r>
                </w:p>
              </w:tc>
              <w:tc>
                <w:tcPr>
                  <w:tcW w:w="636" w:type="dxa"/>
                  <w:tcBorders>
                    <w:tl2br w:val="nil"/>
                    <w:tr2bl w:val="nil"/>
                  </w:tcBorders>
                  <w:vAlign w:val="center"/>
                </w:tcPr>
                <w:p w14:paraId="21574078">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环境管理要求</w:t>
                  </w:r>
                </w:p>
              </w:tc>
            </w:tr>
            <w:tr w14:paraId="5DCE2E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6" w:type="dxa"/>
                  <w:tcBorders>
                    <w:tl2br w:val="nil"/>
                    <w:tr2bl w:val="nil"/>
                  </w:tcBorders>
                  <w:vAlign w:val="center"/>
                </w:tcPr>
                <w:p w14:paraId="1D37099D">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1</w:t>
                  </w:r>
                </w:p>
              </w:tc>
              <w:tc>
                <w:tcPr>
                  <w:tcW w:w="428" w:type="dxa"/>
                  <w:vMerge w:val="restart"/>
                  <w:tcBorders>
                    <w:tl2br w:val="nil"/>
                    <w:tr2bl w:val="nil"/>
                  </w:tcBorders>
                  <w:vAlign w:val="center"/>
                </w:tcPr>
                <w:p w14:paraId="03933FD3">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喷砂</w:t>
                  </w:r>
                </w:p>
              </w:tc>
              <w:tc>
                <w:tcPr>
                  <w:tcW w:w="506" w:type="dxa"/>
                  <w:tcBorders>
                    <w:tl2br w:val="nil"/>
                    <w:tr2bl w:val="nil"/>
                  </w:tcBorders>
                  <w:vAlign w:val="center"/>
                </w:tcPr>
                <w:p w14:paraId="43C2706A">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废砂</w:t>
                  </w:r>
                </w:p>
              </w:tc>
              <w:tc>
                <w:tcPr>
                  <w:tcW w:w="1826" w:type="dxa"/>
                  <w:tcBorders>
                    <w:tl2br w:val="nil"/>
                    <w:tr2bl w:val="nil"/>
                  </w:tcBorders>
                  <w:vAlign w:val="center"/>
                </w:tcPr>
                <w:p w14:paraId="614583EA">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一般固废</w:t>
                  </w:r>
                </w:p>
              </w:tc>
              <w:tc>
                <w:tcPr>
                  <w:tcW w:w="536" w:type="dxa"/>
                  <w:tcBorders>
                    <w:tl2br w:val="nil"/>
                    <w:tr2bl w:val="nil"/>
                  </w:tcBorders>
                  <w:vAlign w:val="center"/>
                </w:tcPr>
                <w:p w14:paraId="78C27320">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w:t>
                  </w:r>
                </w:p>
              </w:tc>
              <w:tc>
                <w:tcPr>
                  <w:tcW w:w="475" w:type="dxa"/>
                  <w:tcBorders>
                    <w:tl2br w:val="nil"/>
                    <w:tr2bl w:val="nil"/>
                  </w:tcBorders>
                  <w:vAlign w:val="center"/>
                </w:tcPr>
                <w:p w14:paraId="13FAD9E8">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固体</w:t>
                  </w:r>
                </w:p>
              </w:tc>
              <w:tc>
                <w:tcPr>
                  <w:tcW w:w="474" w:type="dxa"/>
                  <w:tcBorders>
                    <w:tl2br w:val="nil"/>
                    <w:tr2bl w:val="nil"/>
                  </w:tcBorders>
                  <w:vAlign w:val="center"/>
                </w:tcPr>
                <w:p w14:paraId="750B88BB">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w:t>
                  </w:r>
                </w:p>
              </w:tc>
              <w:tc>
                <w:tcPr>
                  <w:tcW w:w="846" w:type="dxa"/>
                  <w:tcBorders>
                    <w:tl2br w:val="nil"/>
                    <w:tr2bl w:val="nil"/>
                  </w:tcBorders>
                  <w:vAlign w:val="center"/>
                </w:tcPr>
                <w:p w14:paraId="3B3D42E6">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15</w:t>
                  </w:r>
                </w:p>
              </w:tc>
              <w:tc>
                <w:tcPr>
                  <w:tcW w:w="721" w:type="dxa"/>
                  <w:vMerge w:val="restart"/>
                  <w:tcBorders>
                    <w:tl2br w:val="nil"/>
                    <w:tr2bl w:val="nil"/>
                  </w:tcBorders>
                  <w:vAlign w:val="center"/>
                </w:tcPr>
                <w:p w14:paraId="7090179F">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一般固废暂存间</w:t>
                  </w:r>
                </w:p>
              </w:tc>
              <w:tc>
                <w:tcPr>
                  <w:tcW w:w="520" w:type="dxa"/>
                  <w:vMerge w:val="restart"/>
                  <w:tcBorders>
                    <w:tl2br w:val="nil"/>
                    <w:tr2bl w:val="nil"/>
                  </w:tcBorders>
                  <w:vAlign w:val="center"/>
                </w:tcPr>
                <w:p w14:paraId="1E19396A">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外售综合利用</w:t>
                  </w:r>
                </w:p>
              </w:tc>
              <w:tc>
                <w:tcPr>
                  <w:tcW w:w="846" w:type="dxa"/>
                  <w:tcBorders>
                    <w:tl2br w:val="nil"/>
                    <w:tr2bl w:val="nil"/>
                  </w:tcBorders>
                  <w:vAlign w:val="center"/>
                </w:tcPr>
                <w:p w14:paraId="366B23F0">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15</w:t>
                  </w:r>
                </w:p>
              </w:tc>
              <w:tc>
                <w:tcPr>
                  <w:tcW w:w="636" w:type="dxa"/>
                  <w:vMerge w:val="restart"/>
                  <w:tcBorders>
                    <w:tl2br w:val="nil"/>
                    <w:tr2bl w:val="nil"/>
                  </w:tcBorders>
                  <w:vAlign w:val="center"/>
                </w:tcPr>
                <w:p w14:paraId="4734A5A0">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减量化、资源化、无害化</w:t>
                  </w:r>
                </w:p>
              </w:tc>
            </w:tr>
            <w:tr w14:paraId="29B929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6" w:type="dxa"/>
                  <w:tcBorders>
                    <w:tl2br w:val="nil"/>
                    <w:tr2bl w:val="nil"/>
                  </w:tcBorders>
                  <w:vAlign w:val="center"/>
                </w:tcPr>
                <w:p w14:paraId="56EDEEFC">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2</w:t>
                  </w:r>
                </w:p>
              </w:tc>
              <w:tc>
                <w:tcPr>
                  <w:tcW w:w="428" w:type="dxa"/>
                  <w:vMerge w:val="continue"/>
                  <w:tcBorders>
                    <w:tl2br w:val="nil"/>
                    <w:tr2bl w:val="nil"/>
                  </w:tcBorders>
                  <w:vAlign w:val="center"/>
                </w:tcPr>
                <w:p w14:paraId="0B39F837">
                  <w:pPr>
                    <w:pStyle w:val="11"/>
                    <w:adjustRightInd w:val="0"/>
                    <w:snapToGrid w:val="0"/>
                    <w:spacing w:before="0" w:line="240" w:lineRule="auto"/>
                    <w:ind w:firstLine="0"/>
                    <w:jc w:val="center"/>
                    <w:rPr>
                      <w:rFonts w:ascii="Times New Roman" w:hAnsi="Times New Roman" w:cs="Times New Roman"/>
                      <w:sz w:val="21"/>
                      <w:szCs w:val="21"/>
                    </w:rPr>
                  </w:pPr>
                </w:p>
              </w:tc>
              <w:tc>
                <w:tcPr>
                  <w:tcW w:w="506" w:type="dxa"/>
                  <w:tcBorders>
                    <w:tl2br w:val="nil"/>
                    <w:tr2bl w:val="nil"/>
                  </w:tcBorders>
                  <w:vAlign w:val="center"/>
                </w:tcPr>
                <w:p w14:paraId="421096B9">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eastAsia="宋体" w:cs="Times New Roman"/>
                      <w:sz w:val="21"/>
                      <w:szCs w:val="21"/>
                    </w:rPr>
                    <w:t>除尘灰</w:t>
                  </w:r>
                </w:p>
              </w:tc>
              <w:tc>
                <w:tcPr>
                  <w:tcW w:w="1826" w:type="dxa"/>
                  <w:tcBorders>
                    <w:tl2br w:val="nil"/>
                    <w:tr2bl w:val="nil"/>
                  </w:tcBorders>
                  <w:vAlign w:val="center"/>
                </w:tcPr>
                <w:p w14:paraId="591B47F4">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一般固废</w:t>
                  </w:r>
                </w:p>
              </w:tc>
              <w:tc>
                <w:tcPr>
                  <w:tcW w:w="536" w:type="dxa"/>
                  <w:tcBorders>
                    <w:tl2br w:val="nil"/>
                    <w:tr2bl w:val="nil"/>
                  </w:tcBorders>
                  <w:vAlign w:val="center"/>
                </w:tcPr>
                <w:p w14:paraId="09DEF12A">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475" w:type="dxa"/>
                  <w:tcBorders>
                    <w:tl2br w:val="nil"/>
                    <w:tr2bl w:val="nil"/>
                  </w:tcBorders>
                  <w:vAlign w:val="center"/>
                </w:tcPr>
                <w:p w14:paraId="3B8D337B">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固体</w:t>
                  </w:r>
                </w:p>
              </w:tc>
              <w:tc>
                <w:tcPr>
                  <w:tcW w:w="474" w:type="dxa"/>
                  <w:tcBorders>
                    <w:tl2br w:val="nil"/>
                    <w:tr2bl w:val="nil"/>
                  </w:tcBorders>
                  <w:vAlign w:val="center"/>
                </w:tcPr>
                <w:p w14:paraId="28D8ED8D">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w:t>
                  </w:r>
                </w:p>
              </w:tc>
              <w:tc>
                <w:tcPr>
                  <w:tcW w:w="846" w:type="dxa"/>
                  <w:tcBorders>
                    <w:tl2br w:val="nil"/>
                    <w:tr2bl w:val="nil"/>
                  </w:tcBorders>
                  <w:vAlign w:val="center"/>
                </w:tcPr>
                <w:p w14:paraId="2A5298A5">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eastAsia="宋体" w:cs="Times New Roman"/>
                      <w:sz w:val="21"/>
                      <w:szCs w:val="21"/>
                    </w:rPr>
                    <w:t>2.0805</w:t>
                  </w:r>
                </w:p>
              </w:tc>
              <w:tc>
                <w:tcPr>
                  <w:tcW w:w="721" w:type="dxa"/>
                  <w:vMerge w:val="continue"/>
                  <w:tcBorders>
                    <w:tl2br w:val="nil"/>
                    <w:tr2bl w:val="nil"/>
                  </w:tcBorders>
                  <w:vAlign w:val="center"/>
                </w:tcPr>
                <w:p w14:paraId="0C966930">
                  <w:pPr>
                    <w:pStyle w:val="11"/>
                    <w:adjustRightInd w:val="0"/>
                    <w:snapToGrid w:val="0"/>
                    <w:spacing w:before="0" w:line="240" w:lineRule="auto"/>
                    <w:ind w:firstLine="0"/>
                    <w:jc w:val="center"/>
                    <w:rPr>
                      <w:rFonts w:ascii="Times New Roman" w:hAnsi="Times New Roman" w:cs="Times New Roman"/>
                      <w:sz w:val="21"/>
                      <w:szCs w:val="21"/>
                    </w:rPr>
                  </w:pPr>
                </w:p>
              </w:tc>
              <w:tc>
                <w:tcPr>
                  <w:tcW w:w="520" w:type="dxa"/>
                  <w:vMerge w:val="continue"/>
                  <w:tcBorders>
                    <w:tl2br w:val="nil"/>
                    <w:tr2bl w:val="nil"/>
                  </w:tcBorders>
                  <w:vAlign w:val="center"/>
                </w:tcPr>
                <w:p w14:paraId="437460D9">
                  <w:pPr>
                    <w:pStyle w:val="11"/>
                    <w:adjustRightInd w:val="0"/>
                    <w:snapToGrid w:val="0"/>
                    <w:spacing w:before="0" w:line="240" w:lineRule="auto"/>
                    <w:ind w:firstLine="0"/>
                    <w:jc w:val="center"/>
                    <w:rPr>
                      <w:rFonts w:ascii="Times New Roman" w:hAnsi="Times New Roman" w:cs="Times New Roman"/>
                      <w:sz w:val="21"/>
                      <w:szCs w:val="21"/>
                    </w:rPr>
                  </w:pPr>
                </w:p>
              </w:tc>
              <w:tc>
                <w:tcPr>
                  <w:tcW w:w="846" w:type="dxa"/>
                  <w:tcBorders>
                    <w:tl2br w:val="nil"/>
                    <w:tr2bl w:val="nil"/>
                  </w:tcBorders>
                  <w:vAlign w:val="center"/>
                </w:tcPr>
                <w:p w14:paraId="5CE939D9">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eastAsia="宋体" w:cs="Times New Roman"/>
                      <w:sz w:val="21"/>
                      <w:szCs w:val="21"/>
                    </w:rPr>
                    <w:t>2.0805</w:t>
                  </w:r>
                </w:p>
              </w:tc>
              <w:tc>
                <w:tcPr>
                  <w:tcW w:w="636" w:type="dxa"/>
                  <w:vMerge w:val="continue"/>
                  <w:tcBorders>
                    <w:tl2br w:val="nil"/>
                    <w:tr2bl w:val="nil"/>
                  </w:tcBorders>
                  <w:vAlign w:val="center"/>
                </w:tcPr>
                <w:p w14:paraId="4CBF6F36">
                  <w:pPr>
                    <w:pStyle w:val="11"/>
                    <w:adjustRightInd w:val="0"/>
                    <w:snapToGrid w:val="0"/>
                    <w:spacing w:before="0" w:line="240" w:lineRule="auto"/>
                    <w:ind w:firstLine="0"/>
                    <w:jc w:val="center"/>
                    <w:rPr>
                      <w:rFonts w:ascii="Times New Roman" w:hAnsi="Times New Roman" w:cs="Times New Roman"/>
                      <w:sz w:val="21"/>
                      <w:szCs w:val="21"/>
                    </w:rPr>
                  </w:pPr>
                </w:p>
              </w:tc>
            </w:tr>
            <w:tr w14:paraId="5A4948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6" w:type="dxa"/>
                  <w:tcBorders>
                    <w:tl2br w:val="nil"/>
                    <w:tr2bl w:val="nil"/>
                  </w:tcBorders>
                  <w:vAlign w:val="center"/>
                </w:tcPr>
                <w:p w14:paraId="234B5132">
                  <w:pPr>
                    <w:pStyle w:val="11"/>
                    <w:adjustRightInd w:val="0"/>
                    <w:snapToGrid w:val="0"/>
                    <w:spacing w:before="0" w:line="240" w:lineRule="auto"/>
                    <w:ind w:firstLine="0" w:firstLineChars="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rPr>
                    <w:t>3</w:t>
                  </w:r>
                </w:p>
              </w:tc>
              <w:tc>
                <w:tcPr>
                  <w:tcW w:w="428" w:type="dxa"/>
                  <w:vMerge w:val="restart"/>
                  <w:tcBorders>
                    <w:tl2br w:val="nil"/>
                    <w:tr2bl w:val="nil"/>
                  </w:tcBorders>
                  <w:vAlign w:val="center"/>
                </w:tcPr>
                <w:p w14:paraId="236C3C2F">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废气处理</w:t>
                  </w:r>
                </w:p>
              </w:tc>
              <w:tc>
                <w:tcPr>
                  <w:tcW w:w="506" w:type="dxa"/>
                  <w:tcBorders>
                    <w:tl2br w:val="nil"/>
                    <w:tr2bl w:val="nil"/>
                  </w:tcBorders>
                  <w:vAlign w:val="center"/>
                </w:tcPr>
                <w:p w14:paraId="0F1F9F57">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废活性炭</w:t>
                  </w:r>
                </w:p>
              </w:tc>
              <w:tc>
                <w:tcPr>
                  <w:tcW w:w="1826" w:type="dxa"/>
                  <w:tcBorders>
                    <w:tl2br w:val="nil"/>
                    <w:tr2bl w:val="nil"/>
                  </w:tcBorders>
                  <w:vAlign w:val="center"/>
                </w:tcPr>
                <w:p w14:paraId="2816FE6F">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危险废物HW49-900-</w:t>
                  </w:r>
                </w:p>
                <w:p w14:paraId="393E58B7">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041-49</w:t>
                  </w:r>
                </w:p>
              </w:tc>
              <w:tc>
                <w:tcPr>
                  <w:tcW w:w="536" w:type="dxa"/>
                  <w:tcBorders>
                    <w:tl2br w:val="nil"/>
                    <w:tr2bl w:val="nil"/>
                  </w:tcBorders>
                  <w:vAlign w:val="center"/>
                </w:tcPr>
                <w:p w14:paraId="32E7F526">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有机物</w:t>
                  </w:r>
                </w:p>
              </w:tc>
              <w:tc>
                <w:tcPr>
                  <w:tcW w:w="475" w:type="dxa"/>
                  <w:tcBorders>
                    <w:tl2br w:val="nil"/>
                    <w:tr2bl w:val="nil"/>
                  </w:tcBorders>
                  <w:vAlign w:val="center"/>
                </w:tcPr>
                <w:p w14:paraId="3ECB0095">
                  <w:pPr>
                    <w:adjustRightInd w:val="0"/>
                    <w:snapToGrid w:val="0"/>
                    <w:jc w:val="center"/>
                    <w:rPr>
                      <w:rFonts w:ascii="Times New Roman" w:hAnsi="Times New Roman" w:cs="Times New Roman"/>
                      <w:szCs w:val="21"/>
                    </w:rPr>
                  </w:pPr>
                  <w:r>
                    <w:rPr>
                      <w:rFonts w:ascii="Times New Roman" w:hAnsi="Times New Roman" w:cs="Times New Roman"/>
                      <w:szCs w:val="21"/>
                    </w:rPr>
                    <w:t>固态</w:t>
                  </w:r>
                </w:p>
              </w:tc>
              <w:tc>
                <w:tcPr>
                  <w:tcW w:w="474" w:type="dxa"/>
                  <w:tcBorders>
                    <w:tl2br w:val="nil"/>
                    <w:tr2bl w:val="nil"/>
                  </w:tcBorders>
                  <w:vAlign w:val="center"/>
                </w:tcPr>
                <w:p w14:paraId="5EBCC824">
                  <w:pPr>
                    <w:adjustRightInd w:val="0"/>
                    <w:snapToGrid w:val="0"/>
                    <w:jc w:val="center"/>
                    <w:rPr>
                      <w:rFonts w:ascii="Times New Roman" w:hAnsi="Times New Roman" w:cs="Times New Roman"/>
                      <w:szCs w:val="21"/>
                    </w:rPr>
                  </w:pPr>
                  <w:r>
                    <w:rPr>
                      <w:rFonts w:ascii="Times New Roman" w:hAnsi="Times New Roman" w:cs="Times New Roman"/>
                      <w:szCs w:val="21"/>
                    </w:rPr>
                    <w:t>有毒性</w:t>
                  </w:r>
                </w:p>
              </w:tc>
              <w:tc>
                <w:tcPr>
                  <w:tcW w:w="846" w:type="dxa"/>
                  <w:tcBorders>
                    <w:tl2br w:val="nil"/>
                    <w:tr2bl w:val="nil"/>
                  </w:tcBorders>
                  <w:vAlign w:val="center"/>
                </w:tcPr>
                <w:p w14:paraId="264E432E">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3.316</w:t>
                  </w:r>
                </w:p>
              </w:tc>
              <w:tc>
                <w:tcPr>
                  <w:tcW w:w="721" w:type="dxa"/>
                  <w:vMerge w:val="restart"/>
                  <w:tcBorders>
                    <w:tl2br w:val="nil"/>
                    <w:tr2bl w:val="nil"/>
                  </w:tcBorders>
                  <w:vAlign w:val="center"/>
                </w:tcPr>
                <w:p w14:paraId="765F0319">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专用容器收集，危废</w:t>
                  </w:r>
                  <w:r>
                    <w:rPr>
                      <w:rFonts w:hint="eastAsia" w:ascii="Times New Roman" w:hAnsi="Times New Roman" w:cs="Times New Roman"/>
                      <w:sz w:val="21"/>
                      <w:szCs w:val="21"/>
                    </w:rPr>
                    <w:t>贮存库</w:t>
                  </w:r>
                  <w:r>
                    <w:rPr>
                      <w:rFonts w:ascii="Times New Roman" w:hAnsi="Times New Roman" w:cs="Times New Roman"/>
                      <w:sz w:val="21"/>
                      <w:szCs w:val="21"/>
                    </w:rPr>
                    <w:t>暂存</w:t>
                  </w:r>
                </w:p>
              </w:tc>
              <w:tc>
                <w:tcPr>
                  <w:tcW w:w="520" w:type="dxa"/>
                  <w:vMerge w:val="restart"/>
                  <w:tcBorders>
                    <w:tl2br w:val="nil"/>
                    <w:tr2bl w:val="nil"/>
                  </w:tcBorders>
                  <w:vAlign w:val="center"/>
                </w:tcPr>
                <w:p w14:paraId="364ACF9B">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委托有资质的单位处理</w:t>
                  </w:r>
                </w:p>
              </w:tc>
              <w:tc>
                <w:tcPr>
                  <w:tcW w:w="846" w:type="dxa"/>
                  <w:tcBorders>
                    <w:tl2br w:val="nil"/>
                    <w:tr2bl w:val="nil"/>
                  </w:tcBorders>
                  <w:vAlign w:val="center"/>
                </w:tcPr>
                <w:p w14:paraId="1C38646F">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3.316</w:t>
                  </w:r>
                </w:p>
              </w:tc>
              <w:tc>
                <w:tcPr>
                  <w:tcW w:w="636" w:type="dxa"/>
                  <w:vMerge w:val="continue"/>
                  <w:tcBorders>
                    <w:tl2br w:val="nil"/>
                    <w:tr2bl w:val="nil"/>
                  </w:tcBorders>
                  <w:vAlign w:val="center"/>
                </w:tcPr>
                <w:p w14:paraId="6790CEDE">
                  <w:pPr>
                    <w:pStyle w:val="11"/>
                    <w:adjustRightInd w:val="0"/>
                    <w:snapToGrid w:val="0"/>
                    <w:spacing w:before="0" w:line="240" w:lineRule="auto"/>
                    <w:ind w:firstLine="0"/>
                    <w:jc w:val="center"/>
                    <w:rPr>
                      <w:rFonts w:ascii="Times New Roman" w:hAnsi="Times New Roman" w:cs="Times New Roman"/>
                      <w:sz w:val="21"/>
                      <w:szCs w:val="21"/>
                    </w:rPr>
                  </w:pPr>
                </w:p>
              </w:tc>
            </w:tr>
            <w:tr w14:paraId="2E5314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6" w:type="dxa"/>
                  <w:tcBorders>
                    <w:tl2br w:val="nil"/>
                    <w:tr2bl w:val="nil"/>
                  </w:tcBorders>
                  <w:vAlign w:val="center"/>
                </w:tcPr>
                <w:p w14:paraId="7AA9AE7B">
                  <w:pPr>
                    <w:pStyle w:val="11"/>
                    <w:adjustRightInd w:val="0"/>
                    <w:snapToGrid w:val="0"/>
                    <w:spacing w:before="0" w:line="240" w:lineRule="auto"/>
                    <w:ind w:firstLine="0" w:firstLineChars="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rPr>
                    <w:t>4</w:t>
                  </w:r>
                </w:p>
              </w:tc>
              <w:tc>
                <w:tcPr>
                  <w:tcW w:w="428" w:type="dxa"/>
                  <w:vMerge w:val="continue"/>
                  <w:tcBorders>
                    <w:tl2br w:val="nil"/>
                    <w:tr2bl w:val="nil"/>
                  </w:tcBorders>
                  <w:vAlign w:val="center"/>
                </w:tcPr>
                <w:p w14:paraId="24C33233">
                  <w:pPr>
                    <w:pStyle w:val="11"/>
                    <w:adjustRightInd w:val="0"/>
                    <w:snapToGrid w:val="0"/>
                    <w:spacing w:before="0" w:line="240" w:lineRule="auto"/>
                    <w:ind w:firstLine="0"/>
                    <w:jc w:val="center"/>
                    <w:rPr>
                      <w:rFonts w:ascii="Times New Roman" w:hAnsi="Times New Roman" w:cs="Times New Roman"/>
                      <w:sz w:val="21"/>
                      <w:szCs w:val="21"/>
                    </w:rPr>
                  </w:pPr>
                </w:p>
              </w:tc>
              <w:tc>
                <w:tcPr>
                  <w:tcW w:w="506" w:type="dxa"/>
                  <w:tcBorders>
                    <w:tl2br w:val="nil"/>
                    <w:tr2bl w:val="nil"/>
                  </w:tcBorders>
                  <w:vAlign w:val="center"/>
                </w:tcPr>
                <w:p w14:paraId="0FE9B7CA">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废过滤棉</w:t>
                  </w:r>
                </w:p>
              </w:tc>
              <w:tc>
                <w:tcPr>
                  <w:tcW w:w="1826" w:type="dxa"/>
                  <w:tcBorders>
                    <w:tl2br w:val="nil"/>
                    <w:tr2bl w:val="nil"/>
                  </w:tcBorders>
                  <w:vAlign w:val="center"/>
                </w:tcPr>
                <w:p w14:paraId="74466798">
                  <w:pPr>
                    <w:pStyle w:val="11"/>
                    <w:adjustRightInd w:val="0"/>
                    <w:snapToGrid w:val="0"/>
                    <w:spacing w:before="0" w:line="240" w:lineRule="auto"/>
                    <w:ind w:firstLine="0"/>
                    <w:jc w:val="center"/>
                    <w:rPr>
                      <w:rFonts w:ascii="Times New Roman" w:hAnsi="Times New Roman" w:cs="Times New Roman"/>
                      <w:sz w:val="21"/>
                      <w:szCs w:val="21"/>
                    </w:rPr>
                  </w:pPr>
                  <w:r>
                    <w:rPr>
                      <w:rFonts w:ascii="Times New Roman" w:hAnsi="Times New Roman" w:cs="Times New Roman"/>
                      <w:sz w:val="21"/>
                      <w:szCs w:val="21"/>
                    </w:rPr>
                    <w:t>危险废物HW</w:t>
                  </w:r>
                  <w:r>
                    <w:rPr>
                      <w:rFonts w:hint="eastAsia" w:ascii="Times New Roman" w:hAnsi="Times New Roman" w:cs="Times New Roman"/>
                      <w:sz w:val="21"/>
                      <w:szCs w:val="21"/>
                    </w:rPr>
                    <w:t>49-</w:t>
                  </w:r>
                  <w:r>
                    <w:rPr>
                      <w:rFonts w:ascii="Times New Roman" w:hAnsi="Times New Roman" w:cs="Times New Roman"/>
                      <w:sz w:val="21"/>
                      <w:szCs w:val="21"/>
                    </w:rPr>
                    <w:t>900-041-49</w:t>
                  </w:r>
                </w:p>
              </w:tc>
              <w:tc>
                <w:tcPr>
                  <w:tcW w:w="536" w:type="dxa"/>
                  <w:tcBorders>
                    <w:tl2br w:val="nil"/>
                    <w:tr2bl w:val="nil"/>
                  </w:tcBorders>
                  <w:vAlign w:val="center"/>
                </w:tcPr>
                <w:p w14:paraId="2C0CE5F1">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重金属</w:t>
                  </w:r>
                </w:p>
              </w:tc>
              <w:tc>
                <w:tcPr>
                  <w:tcW w:w="475" w:type="dxa"/>
                  <w:tcBorders>
                    <w:tl2br w:val="nil"/>
                    <w:tr2bl w:val="nil"/>
                  </w:tcBorders>
                  <w:vAlign w:val="center"/>
                </w:tcPr>
                <w:p w14:paraId="213880A4">
                  <w:pPr>
                    <w:adjustRightInd w:val="0"/>
                    <w:snapToGrid w:val="0"/>
                    <w:jc w:val="center"/>
                    <w:rPr>
                      <w:rFonts w:ascii="Times New Roman" w:hAnsi="Times New Roman" w:cs="Times New Roman"/>
                      <w:szCs w:val="21"/>
                    </w:rPr>
                  </w:pPr>
                  <w:r>
                    <w:rPr>
                      <w:rFonts w:hint="eastAsia" w:ascii="Times New Roman" w:hAnsi="Times New Roman" w:cs="Times New Roman"/>
                      <w:szCs w:val="21"/>
                    </w:rPr>
                    <w:t>固态</w:t>
                  </w:r>
                </w:p>
              </w:tc>
              <w:tc>
                <w:tcPr>
                  <w:tcW w:w="474" w:type="dxa"/>
                  <w:tcBorders>
                    <w:tl2br w:val="nil"/>
                    <w:tr2bl w:val="nil"/>
                  </w:tcBorders>
                  <w:vAlign w:val="center"/>
                </w:tcPr>
                <w:p w14:paraId="777E7203">
                  <w:pPr>
                    <w:adjustRightInd w:val="0"/>
                    <w:snapToGrid w:val="0"/>
                    <w:jc w:val="center"/>
                    <w:rPr>
                      <w:rFonts w:ascii="Times New Roman" w:hAnsi="Times New Roman" w:cs="Times New Roman"/>
                      <w:szCs w:val="21"/>
                    </w:rPr>
                  </w:pPr>
                  <w:r>
                    <w:rPr>
                      <w:rFonts w:hint="eastAsia" w:ascii="Times New Roman" w:hAnsi="Times New Roman" w:cs="Times New Roman"/>
                      <w:szCs w:val="21"/>
                    </w:rPr>
                    <w:t>有毒性</w:t>
                  </w:r>
                </w:p>
              </w:tc>
              <w:tc>
                <w:tcPr>
                  <w:tcW w:w="846" w:type="dxa"/>
                  <w:tcBorders>
                    <w:tl2br w:val="nil"/>
                    <w:tr2bl w:val="nil"/>
                  </w:tcBorders>
                  <w:vAlign w:val="center"/>
                </w:tcPr>
                <w:p w14:paraId="1A859DD0">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1.6</w:t>
                  </w:r>
                </w:p>
              </w:tc>
              <w:tc>
                <w:tcPr>
                  <w:tcW w:w="721" w:type="dxa"/>
                  <w:vMerge w:val="continue"/>
                  <w:tcBorders>
                    <w:tl2br w:val="nil"/>
                    <w:tr2bl w:val="nil"/>
                  </w:tcBorders>
                  <w:vAlign w:val="center"/>
                </w:tcPr>
                <w:p w14:paraId="25F64F2A">
                  <w:pPr>
                    <w:pStyle w:val="11"/>
                    <w:adjustRightInd w:val="0"/>
                    <w:snapToGrid w:val="0"/>
                    <w:spacing w:before="0" w:line="240" w:lineRule="auto"/>
                    <w:ind w:firstLine="0"/>
                    <w:jc w:val="center"/>
                    <w:rPr>
                      <w:rFonts w:ascii="Times New Roman" w:hAnsi="Times New Roman" w:cs="Times New Roman"/>
                      <w:sz w:val="21"/>
                      <w:szCs w:val="21"/>
                    </w:rPr>
                  </w:pPr>
                </w:p>
              </w:tc>
              <w:tc>
                <w:tcPr>
                  <w:tcW w:w="520" w:type="dxa"/>
                  <w:vMerge w:val="continue"/>
                  <w:tcBorders>
                    <w:tl2br w:val="nil"/>
                    <w:tr2bl w:val="nil"/>
                  </w:tcBorders>
                  <w:vAlign w:val="center"/>
                </w:tcPr>
                <w:p w14:paraId="35ED325A">
                  <w:pPr>
                    <w:pStyle w:val="11"/>
                    <w:adjustRightInd w:val="0"/>
                    <w:snapToGrid w:val="0"/>
                    <w:spacing w:before="0" w:line="240" w:lineRule="auto"/>
                    <w:ind w:firstLine="0"/>
                    <w:jc w:val="center"/>
                    <w:rPr>
                      <w:rFonts w:ascii="Times New Roman" w:hAnsi="Times New Roman" w:cs="Times New Roman"/>
                      <w:sz w:val="21"/>
                      <w:szCs w:val="21"/>
                    </w:rPr>
                  </w:pPr>
                </w:p>
              </w:tc>
              <w:tc>
                <w:tcPr>
                  <w:tcW w:w="846" w:type="dxa"/>
                  <w:tcBorders>
                    <w:tl2br w:val="nil"/>
                    <w:tr2bl w:val="nil"/>
                  </w:tcBorders>
                  <w:vAlign w:val="center"/>
                </w:tcPr>
                <w:p w14:paraId="2EDB76D1">
                  <w:pPr>
                    <w:pStyle w:val="11"/>
                    <w:adjustRightInd w:val="0"/>
                    <w:snapToGrid w:val="0"/>
                    <w:spacing w:before="0"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1.6</w:t>
                  </w:r>
                </w:p>
              </w:tc>
              <w:tc>
                <w:tcPr>
                  <w:tcW w:w="636" w:type="dxa"/>
                  <w:vMerge w:val="continue"/>
                  <w:tcBorders>
                    <w:tl2br w:val="nil"/>
                    <w:tr2bl w:val="nil"/>
                  </w:tcBorders>
                  <w:vAlign w:val="center"/>
                </w:tcPr>
                <w:p w14:paraId="6D2E9755">
                  <w:pPr>
                    <w:pStyle w:val="11"/>
                    <w:adjustRightInd w:val="0"/>
                    <w:snapToGrid w:val="0"/>
                    <w:spacing w:before="0" w:line="240" w:lineRule="auto"/>
                    <w:ind w:firstLine="0"/>
                    <w:jc w:val="center"/>
                    <w:rPr>
                      <w:rFonts w:ascii="Times New Roman" w:hAnsi="Times New Roman" w:cs="Times New Roman"/>
                      <w:sz w:val="21"/>
                      <w:szCs w:val="21"/>
                    </w:rPr>
                  </w:pPr>
                </w:p>
              </w:tc>
            </w:tr>
            <w:tr w14:paraId="14679D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6" w:type="dxa"/>
                  <w:tcBorders>
                    <w:tl2br w:val="nil"/>
                    <w:tr2bl w:val="nil"/>
                  </w:tcBorders>
                  <w:vAlign w:val="center"/>
                </w:tcPr>
                <w:p w14:paraId="49A1B9FE">
                  <w:pPr>
                    <w:pStyle w:val="11"/>
                    <w:adjustRightInd w:val="0"/>
                    <w:snapToGrid w:val="0"/>
                    <w:spacing w:before="0" w:line="240" w:lineRule="auto"/>
                    <w:ind w:firstLine="0" w:firstLineChars="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rPr>
                    <w:t>5</w:t>
                  </w:r>
                </w:p>
              </w:tc>
              <w:tc>
                <w:tcPr>
                  <w:tcW w:w="428" w:type="dxa"/>
                  <w:vMerge w:val="restart"/>
                  <w:tcBorders>
                    <w:tl2br w:val="nil"/>
                    <w:tr2bl w:val="nil"/>
                  </w:tcBorders>
                  <w:vAlign w:val="center"/>
                </w:tcPr>
                <w:p w14:paraId="30F6DEEA">
                  <w:pPr>
                    <w:pStyle w:val="11"/>
                    <w:adjustRightInd w:val="0"/>
                    <w:snapToGrid w:val="0"/>
                    <w:spacing w:before="0" w:line="240" w:lineRule="auto"/>
                    <w:ind w:firstLine="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喷漆</w:t>
                  </w:r>
                </w:p>
              </w:tc>
              <w:tc>
                <w:tcPr>
                  <w:tcW w:w="506" w:type="dxa"/>
                  <w:tcBorders>
                    <w:tl2br w:val="nil"/>
                    <w:tr2bl w:val="nil"/>
                  </w:tcBorders>
                  <w:vAlign w:val="center"/>
                </w:tcPr>
                <w:p w14:paraId="1BFEA09C">
                  <w:pPr>
                    <w:pStyle w:val="11"/>
                    <w:adjustRightInd w:val="0"/>
                    <w:snapToGrid w:val="0"/>
                    <w:spacing w:before="0" w:line="240" w:lineRule="auto"/>
                    <w:ind w:firstLine="0" w:firstLineChars="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rPr>
                    <w:t>漆渣</w:t>
                  </w:r>
                </w:p>
              </w:tc>
              <w:tc>
                <w:tcPr>
                  <w:tcW w:w="1826" w:type="dxa"/>
                  <w:tcBorders>
                    <w:tl2br w:val="nil"/>
                    <w:tr2bl w:val="nil"/>
                  </w:tcBorders>
                  <w:vAlign w:val="center"/>
                </w:tcPr>
                <w:p w14:paraId="3B5EF49A">
                  <w:pPr>
                    <w:adjustRightInd w:val="0"/>
                    <w:snapToGrid w:val="0"/>
                    <w:spacing w:before="0" w:line="240" w:lineRule="auto"/>
                    <w:ind w:firstLine="0" w:firstLineChars="0"/>
                    <w:jc w:val="center"/>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rPr>
                    <w:t>危险废物HW</w:t>
                  </w:r>
                  <w:r>
                    <w:rPr>
                      <w:rFonts w:hint="eastAsia" w:ascii="Times New Roman" w:hAnsi="Times New Roman" w:cs="Times New Roman"/>
                      <w:sz w:val="21"/>
                      <w:szCs w:val="21"/>
                    </w:rPr>
                    <w:t>49-</w:t>
                  </w:r>
                  <w:r>
                    <w:rPr>
                      <w:rFonts w:ascii="Times New Roman" w:hAnsi="Times New Roman" w:cs="Times New Roman"/>
                      <w:sz w:val="21"/>
                      <w:szCs w:val="21"/>
                    </w:rPr>
                    <w:t>900-041-49</w:t>
                  </w:r>
                </w:p>
              </w:tc>
              <w:tc>
                <w:tcPr>
                  <w:tcW w:w="536" w:type="dxa"/>
                  <w:tcBorders>
                    <w:tl2br w:val="nil"/>
                    <w:tr2bl w:val="nil"/>
                  </w:tcBorders>
                  <w:vAlign w:val="center"/>
                </w:tcPr>
                <w:p w14:paraId="44647E41">
                  <w:pPr>
                    <w:adjustRightInd w:val="0"/>
                    <w:snapToGrid w:val="0"/>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szCs w:val="21"/>
                    </w:rPr>
                    <w:t>/</w:t>
                  </w:r>
                </w:p>
              </w:tc>
              <w:tc>
                <w:tcPr>
                  <w:tcW w:w="475" w:type="dxa"/>
                  <w:tcBorders>
                    <w:tl2br w:val="nil"/>
                    <w:tr2bl w:val="nil"/>
                  </w:tcBorders>
                  <w:vAlign w:val="center"/>
                </w:tcPr>
                <w:p w14:paraId="6B44B661">
                  <w:pPr>
                    <w:adjustRightInd w:val="0"/>
                    <w:snapToGrid w:val="0"/>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szCs w:val="21"/>
                    </w:rPr>
                    <w:t>固体</w:t>
                  </w:r>
                </w:p>
              </w:tc>
              <w:tc>
                <w:tcPr>
                  <w:tcW w:w="474" w:type="dxa"/>
                  <w:tcBorders>
                    <w:tl2br w:val="nil"/>
                    <w:tr2bl w:val="nil"/>
                  </w:tcBorders>
                  <w:vAlign w:val="center"/>
                </w:tcPr>
                <w:p w14:paraId="3A1E74B6">
                  <w:pPr>
                    <w:adjustRightInd w:val="0"/>
                    <w:snapToGrid w:val="0"/>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szCs w:val="21"/>
                    </w:rPr>
                    <w:t>/</w:t>
                  </w:r>
                </w:p>
              </w:tc>
              <w:tc>
                <w:tcPr>
                  <w:tcW w:w="846" w:type="dxa"/>
                  <w:tcBorders>
                    <w:tl2br w:val="nil"/>
                    <w:tr2bl w:val="nil"/>
                  </w:tcBorders>
                  <w:vAlign w:val="center"/>
                </w:tcPr>
                <w:p w14:paraId="7E34497C">
                  <w:pPr>
                    <w:pStyle w:val="11"/>
                    <w:adjustRightInd w:val="0"/>
                    <w:snapToGrid w:val="0"/>
                    <w:spacing w:before="0"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1.222</w:t>
                  </w:r>
                </w:p>
              </w:tc>
              <w:tc>
                <w:tcPr>
                  <w:tcW w:w="721" w:type="dxa"/>
                  <w:vMerge w:val="continue"/>
                  <w:tcBorders>
                    <w:tl2br w:val="nil"/>
                    <w:tr2bl w:val="nil"/>
                  </w:tcBorders>
                  <w:vAlign w:val="center"/>
                </w:tcPr>
                <w:p w14:paraId="4C71B461">
                  <w:pPr>
                    <w:pStyle w:val="11"/>
                    <w:adjustRightInd w:val="0"/>
                    <w:snapToGrid w:val="0"/>
                    <w:spacing w:before="0" w:line="240" w:lineRule="auto"/>
                    <w:ind w:firstLine="0"/>
                    <w:jc w:val="center"/>
                    <w:rPr>
                      <w:rFonts w:ascii="Times New Roman" w:hAnsi="Times New Roman" w:cs="Times New Roman"/>
                      <w:sz w:val="21"/>
                      <w:szCs w:val="21"/>
                    </w:rPr>
                  </w:pPr>
                </w:p>
              </w:tc>
              <w:tc>
                <w:tcPr>
                  <w:tcW w:w="520" w:type="dxa"/>
                  <w:vMerge w:val="continue"/>
                  <w:tcBorders>
                    <w:tl2br w:val="nil"/>
                    <w:tr2bl w:val="nil"/>
                  </w:tcBorders>
                  <w:vAlign w:val="center"/>
                </w:tcPr>
                <w:p w14:paraId="6C29CEF3">
                  <w:pPr>
                    <w:pStyle w:val="11"/>
                    <w:adjustRightInd w:val="0"/>
                    <w:snapToGrid w:val="0"/>
                    <w:spacing w:before="0" w:line="240" w:lineRule="auto"/>
                    <w:ind w:firstLine="0"/>
                    <w:jc w:val="center"/>
                    <w:rPr>
                      <w:rFonts w:ascii="Times New Roman" w:hAnsi="Times New Roman" w:cs="Times New Roman"/>
                      <w:sz w:val="21"/>
                      <w:szCs w:val="21"/>
                    </w:rPr>
                  </w:pPr>
                </w:p>
              </w:tc>
              <w:tc>
                <w:tcPr>
                  <w:tcW w:w="846" w:type="dxa"/>
                  <w:tcBorders>
                    <w:tl2br w:val="nil"/>
                    <w:tr2bl w:val="nil"/>
                  </w:tcBorders>
                  <w:vAlign w:val="center"/>
                </w:tcPr>
                <w:p w14:paraId="0B888661">
                  <w:pPr>
                    <w:pStyle w:val="11"/>
                    <w:adjustRightInd w:val="0"/>
                    <w:snapToGrid w:val="0"/>
                    <w:spacing w:before="0"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1.222</w:t>
                  </w:r>
                </w:p>
              </w:tc>
              <w:tc>
                <w:tcPr>
                  <w:tcW w:w="636" w:type="dxa"/>
                  <w:vMerge w:val="continue"/>
                  <w:tcBorders>
                    <w:tl2br w:val="nil"/>
                    <w:tr2bl w:val="nil"/>
                  </w:tcBorders>
                  <w:vAlign w:val="center"/>
                </w:tcPr>
                <w:p w14:paraId="755DA37C">
                  <w:pPr>
                    <w:pStyle w:val="11"/>
                    <w:adjustRightInd w:val="0"/>
                    <w:snapToGrid w:val="0"/>
                    <w:spacing w:before="0" w:line="240" w:lineRule="auto"/>
                    <w:ind w:firstLine="0"/>
                    <w:jc w:val="center"/>
                    <w:rPr>
                      <w:rFonts w:ascii="Times New Roman" w:hAnsi="Times New Roman" w:cs="Times New Roman"/>
                      <w:sz w:val="21"/>
                      <w:szCs w:val="21"/>
                    </w:rPr>
                  </w:pPr>
                </w:p>
              </w:tc>
            </w:tr>
            <w:tr w14:paraId="06C728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6" w:type="dxa"/>
                  <w:tcBorders>
                    <w:tl2br w:val="nil"/>
                    <w:tr2bl w:val="nil"/>
                  </w:tcBorders>
                  <w:vAlign w:val="center"/>
                </w:tcPr>
                <w:p w14:paraId="36BDE958">
                  <w:pPr>
                    <w:pStyle w:val="11"/>
                    <w:adjustRightInd w:val="0"/>
                    <w:snapToGrid w:val="0"/>
                    <w:spacing w:before="0" w:line="240" w:lineRule="auto"/>
                    <w:ind w:firstLine="0" w:firstLineChars="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rPr>
                    <w:t>6</w:t>
                  </w:r>
                </w:p>
              </w:tc>
              <w:tc>
                <w:tcPr>
                  <w:tcW w:w="428" w:type="dxa"/>
                  <w:vMerge w:val="continue"/>
                  <w:tcBorders>
                    <w:tl2br w:val="nil"/>
                    <w:tr2bl w:val="nil"/>
                  </w:tcBorders>
                  <w:vAlign w:val="center"/>
                </w:tcPr>
                <w:p w14:paraId="2AAC8AB9">
                  <w:pPr>
                    <w:pStyle w:val="11"/>
                    <w:adjustRightInd w:val="0"/>
                    <w:snapToGrid w:val="0"/>
                    <w:spacing w:before="0" w:line="240" w:lineRule="auto"/>
                    <w:ind w:firstLine="0"/>
                    <w:jc w:val="center"/>
                    <w:rPr>
                      <w:rFonts w:ascii="Times New Roman" w:hAnsi="Times New Roman" w:cs="Times New Roman"/>
                      <w:sz w:val="21"/>
                      <w:szCs w:val="21"/>
                    </w:rPr>
                  </w:pPr>
                </w:p>
              </w:tc>
              <w:tc>
                <w:tcPr>
                  <w:tcW w:w="506" w:type="dxa"/>
                  <w:tcBorders>
                    <w:tl2br w:val="nil"/>
                    <w:tr2bl w:val="nil"/>
                  </w:tcBorders>
                  <w:vAlign w:val="center"/>
                </w:tcPr>
                <w:p w14:paraId="39762E87">
                  <w:pPr>
                    <w:pStyle w:val="11"/>
                    <w:adjustRightInd w:val="0"/>
                    <w:snapToGrid w:val="0"/>
                    <w:spacing w:before="0" w:line="240" w:lineRule="auto"/>
                    <w:ind w:firstLine="0" w:firstLineChars="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rPr>
                    <w:t>废水性漆桶</w:t>
                  </w:r>
                </w:p>
              </w:tc>
              <w:tc>
                <w:tcPr>
                  <w:tcW w:w="1826" w:type="dxa"/>
                  <w:tcBorders>
                    <w:tl2br w:val="nil"/>
                    <w:tr2bl w:val="nil"/>
                  </w:tcBorders>
                  <w:vAlign w:val="center"/>
                </w:tcPr>
                <w:p w14:paraId="764577B7">
                  <w:pPr>
                    <w:adjustRightInd w:val="0"/>
                    <w:snapToGrid w:val="0"/>
                    <w:spacing w:before="0" w:line="240" w:lineRule="auto"/>
                    <w:ind w:firstLine="0" w:firstLineChars="0"/>
                    <w:jc w:val="center"/>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rPr>
                    <w:t>危险废物HW</w:t>
                  </w:r>
                  <w:r>
                    <w:rPr>
                      <w:rFonts w:hint="eastAsia" w:ascii="Times New Roman" w:hAnsi="Times New Roman" w:cs="Times New Roman"/>
                      <w:sz w:val="21"/>
                      <w:szCs w:val="21"/>
                    </w:rPr>
                    <w:t>49-</w:t>
                  </w:r>
                  <w:r>
                    <w:rPr>
                      <w:rFonts w:ascii="Times New Roman" w:hAnsi="Times New Roman" w:cs="Times New Roman"/>
                      <w:sz w:val="21"/>
                      <w:szCs w:val="21"/>
                    </w:rPr>
                    <w:t>900-041-49</w:t>
                  </w:r>
                </w:p>
              </w:tc>
              <w:tc>
                <w:tcPr>
                  <w:tcW w:w="536" w:type="dxa"/>
                  <w:tcBorders>
                    <w:tl2br w:val="nil"/>
                    <w:tr2bl w:val="nil"/>
                  </w:tcBorders>
                  <w:vAlign w:val="center"/>
                </w:tcPr>
                <w:p w14:paraId="70CCC7E3">
                  <w:pPr>
                    <w:adjustRightInd w:val="0"/>
                    <w:snapToGrid w:val="0"/>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szCs w:val="21"/>
                    </w:rPr>
                    <w:t>/</w:t>
                  </w:r>
                </w:p>
              </w:tc>
              <w:tc>
                <w:tcPr>
                  <w:tcW w:w="475" w:type="dxa"/>
                  <w:tcBorders>
                    <w:tl2br w:val="nil"/>
                    <w:tr2bl w:val="nil"/>
                  </w:tcBorders>
                  <w:vAlign w:val="center"/>
                </w:tcPr>
                <w:p w14:paraId="6BA5A7BA">
                  <w:pPr>
                    <w:adjustRightInd w:val="0"/>
                    <w:snapToGrid w:val="0"/>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szCs w:val="21"/>
                    </w:rPr>
                    <w:t>固体</w:t>
                  </w:r>
                </w:p>
              </w:tc>
              <w:tc>
                <w:tcPr>
                  <w:tcW w:w="474" w:type="dxa"/>
                  <w:tcBorders>
                    <w:tl2br w:val="nil"/>
                    <w:tr2bl w:val="nil"/>
                  </w:tcBorders>
                  <w:vAlign w:val="center"/>
                </w:tcPr>
                <w:p w14:paraId="2310B089">
                  <w:pPr>
                    <w:adjustRightInd w:val="0"/>
                    <w:snapToGrid w:val="0"/>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szCs w:val="21"/>
                    </w:rPr>
                    <w:t>/</w:t>
                  </w:r>
                </w:p>
              </w:tc>
              <w:tc>
                <w:tcPr>
                  <w:tcW w:w="846" w:type="dxa"/>
                  <w:tcBorders>
                    <w:tl2br w:val="nil"/>
                    <w:tr2bl w:val="nil"/>
                  </w:tcBorders>
                  <w:vAlign w:val="center"/>
                </w:tcPr>
                <w:p w14:paraId="6EE9723B">
                  <w:pPr>
                    <w:pStyle w:val="11"/>
                    <w:adjustRightInd w:val="0"/>
                    <w:snapToGrid w:val="0"/>
                    <w:spacing w:before="0" w:line="240" w:lineRule="auto"/>
                    <w:ind w:firstLine="0" w:firstLineChars="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rPr>
                    <w:t>0.86</w:t>
                  </w:r>
                </w:p>
              </w:tc>
              <w:tc>
                <w:tcPr>
                  <w:tcW w:w="721" w:type="dxa"/>
                  <w:vMerge w:val="continue"/>
                  <w:tcBorders>
                    <w:tl2br w:val="nil"/>
                    <w:tr2bl w:val="nil"/>
                  </w:tcBorders>
                  <w:vAlign w:val="center"/>
                </w:tcPr>
                <w:p w14:paraId="49B75542">
                  <w:pPr>
                    <w:pStyle w:val="11"/>
                    <w:adjustRightInd w:val="0"/>
                    <w:snapToGrid w:val="0"/>
                    <w:spacing w:before="0" w:line="240" w:lineRule="auto"/>
                    <w:ind w:firstLine="0"/>
                    <w:jc w:val="center"/>
                    <w:rPr>
                      <w:rFonts w:ascii="Times New Roman" w:hAnsi="Times New Roman" w:cs="Times New Roman"/>
                      <w:sz w:val="21"/>
                      <w:szCs w:val="21"/>
                    </w:rPr>
                  </w:pPr>
                </w:p>
              </w:tc>
              <w:tc>
                <w:tcPr>
                  <w:tcW w:w="520" w:type="dxa"/>
                  <w:vMerge w:val="continue"/>
                  <w:tcBorders>
                    <w:tl2br w:val="nil"/>
                    <w:tr2bl w:val="nil"/>
                  </w:tcBorders>
                  <w:vAlign w:val="center"/>
                </w:tcPr>
                <w:p w14:paraId="7A5E1E29">
                  <w:pPr>
                    <w:pStyle w:val="11"/>
                    <w:adjustRightInd w:val="0"/>
                    <w:snapToGrid w:val="0"/>
                    <w:spacing w:before="0" w:line="240" w:lineRule="auto"/>
                    <w:ind w:firstLine="0"/>
                    <w:jc w:val="center"/>
                    <w:rPr>
                      <w:rFonts w:ascii="Times New Roman" w:hAnsi="Times New Roman" w:cs="Times New Roman"/>
                      <w:sz w:val="21"/>
                      <w:szCs w:val="21"/>
                    </w:rPr>
                  </w:pPr>
                </w:p>
              </w:tc>
              <w:tc>
                <w:tcPr>
                  <w:tcW w:w="846" w:type="dxa"/>
                  <w:tcBorders>
                    <w:tl2br w:val="nil"/>
                    <w:tr2bl w:val="nil"/>
                  </w:tcBorders>
                  <w:vAlign w:val="center"/>
                </w:tcPr>
                <w:p w14:paraId="1089F114">
                  <w:pPr>
                    <w:pStyle w:val="11"/>
                    <w:adjustRightInd w:val="0"/>
                    <w:snapToGrid w:val="0"/>
                    <w:spacing w:before="0" w:line="240" w:lineRule="auto"/>
                    <w:ind w:firstLine="0" w:firstLineChars="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rPr>
                    <w:t>0.86</w:t>
                  </w:r>
                </w:p>
              </w:tc>
              <w:tc>
                <w:tcPr>
                  <w:tcW w:w="636" w:type="dxa"/>
                  <w:vMerge w:val="continue"/>
                  <w:tcBorders>
                    <w:tl2br w:val="nil"/>
                    <w:tr2bl w:val="nil"/>
                  </w:tcBorders>
                  <w:vAlign w:val="center"/>
                </w:tcPr>
                <w:p w14:paraId="064D9871">
                  <w:pPr>
                    <w:pStyle w:val="11"/>
                    <w:adjustRightInd w:val="0"/>
                    <w:snapToGrid w:val="0"/>
                    <w:spacing w:before="0" w:line="240" w:lineRule="auto"/>
                    <w:ind w:firstLine="0"/>
                    <w:jc w:val="center"/>
                    <w:rPr>
                      <w:rFonts w:ascii="Times New Roman" w:hAnsi="Times New Roman" w:cs="Times New Roman"/>
                      <w:sz w:val="21"/>
                      <w:szCs w:val="21"/>
                    </w:rPr>
                  </w:pPr>
                </w:p>
              </w:tc>
            </w:tr>
          </w:tbl>
          <w:p w14:paraId="0B70E7FC">
            <w:pPr>
              <w:numPr>
                <w:ilvl w:val="0"/>
                <w:numId w:val="5"/>
              </w:numPr>
              <w:adjustRightInd w:val="0"/>
              <w:snapToGrid w:val="0"/>
              <w:spacing w:line="360" w:lineRule="auto"/>
              <w:ind w:firstLine="482" w:firstLineChars="200"/>
              <w:rPr>
                <w:rFonts w:ascii="Times New Roman" w:hAnsi="Times New Roman" w:eastAsia="宋体" w:cs="Times New Roman"/>
                <w:b/>
                <w:sz w:val="24"/>
              </w:rPr>
            </w:pPr>
            <w:r>
              <w:rPr>
                <w:rFonts w:ascii="Times New Roman" w:hAnsi="Times New Roman" w:eastAsia="宋体" w:cs="Times New Roman"/>
                <w:b/>
                <w:sz w:val="24"/>
              </w:rPr>
              <w:t>一般固废暂存间的建设以及管理要求</w:t>
            </w:r>
          </w:p>
          <w:p w14:paraId="3582CF9A">
            <w:pPr>
              <w:pStyle w:val="2"/>
              <w:adjustRightInd w:val="0"/>
              <w:snapToGrid w:val="0"/>
              <w:spacing w:line="360" w:lineRule="auto"/>
              <w:ind w:left="0" w:leftChars="0"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本项目依托在建工程内的</w:t>
            </w:r>
            <w:r>
              <w:rPr>
                <w:rFonts w:ascii="Times New Roman" w:hAnsi="Times New Roman" w:eastAsia="宋体" w:cs="Times New Roman"/>
                <w:sz w:val="24"/>
              </w:rPr>
              <w:t>一般固废暂存间</w:t>
            </w:r>
            <w:r>
              <w:rPr>
                <w:rFonts w:hint="eastAsia" w:ascii="Times New Roman" w:hAnsi="Times New Roman" w:eastAsia="宋体" w:cs="Times New Roman"/>
                <w:sz w:val="24"/>
              </w:rPr>
              <w:t>，</w:t>
            </w:r>
            <w:r>
              <w:rPr>
                <w:rFonts w:ascii="Times New Roman" w:hAnsi="Times New Roman" w:eastAsia="宋体" w:cs="Times New Roman"/>
                <w:sz w:val="24"/>
              </w:rPr>
              <w:t>位于</w:t>
            </w:r>
            <w:r>
              <w:rPr>
                <w:rFonts w:hint="eastAsia" w:ascii="Times New Roman" w:hAnsi="Times New Roman" w:eastAsia="宋体" w:cs="Times New Roman"/>
                <w:sz w:val="24"/>
              </w:rPr>
              <w:t>车间东</w:t>
            </w:r>
            <w:r>
              <w:rPr>
                <w:rFonts w:ascii="Times New Roman" w:hAnsi="Times New Roman" w:eastAsia="宋体" w:cs="Times New Roman"/>
                <w:sz w:val="24"/>
              </w:rPr>
              <w:t>侧，占地面积</w:t>
            </w:r>
            <w:r>
              <w:rPr>
                <w:rFonts w:hint="eastAsia" w:ascii="Times New Roman" w:hAnsi="Times New Roman" w:eastAsia="宋体" w:cs="Times New Roman"/>
                <w:sz w:val="24"/>
              </w:rPr>
              <w:t>3</w:t>
            </w:r>
            <w:r>
              <w:rPr>
                <w:rFonts w:ascii="Times New Roman" w:hAnsi="Times New Roman" w:eastAsia="宋体" w:cs="Times New Roman"/>
                <w:sz w:val="24"/>
              </w:rPr>
              <w:t>0m</w:t>
            </w:r>
            <w:r>
              <w:rPr>
                <w:rFonts w:ascii="Times New Roman" w:hAnsi="Times New Roman" w:eastAsia="宋体" w:cs="Times New Roman"/>
                <w:sz w:val="24"/>
                <w:vertAlign w:val="superscript"/>
              </w:rPr>
              <w:t>2</w:t>
            </w:r>
            <w:r>
              <w:rPr>
                <w:rFonts w:ascii="Times New Roman" w:hAnsi="Times New Roman" w:eastAsia="宋体" w:cs="Times New Roman"/>
                <w:sz w:val="24"/>
              </w:rPr>
              <w:t>，其贮存过程应满足防渗漏、防雨淋、防扬尘等环境保护要求，建设必要的固废分类收集和临时贮存设施，具体要求如下：</w:t>
            </w:r>
          </w:p>
          <w:p w14:paraId="730E4A04">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①一般工业固体废物应分类收集、储存，不能混存；</w:t>
            </w:r>
          </w:p>
          <w:p w14:paraId="718C6F64">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②一般工业固体废物临时储存地点必须建有天棚，不允许露天堆放，以防雨水冲刷，雨水通过场地四周导流渠流向雨水排放管；临时堆放场地为水泥铺设地面，以防渗漏；暂存场所的选择应便于清理和转运；</w:t>
            </w:r>
          </w:p>
          <w:p w14:paraId="0D23615B">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③建立档案制度，将临时储存的一般工业固体废物的种类、数量和外运的一般工业固体废物的种类、数量详细记录在案，长期保存，供随时查阅。</w:t>
            </w:r>
          </w:p>
          <w:p w14:paraId="42F6EA25">
            <w:pPr>
              <w:numPr>
                <w:ilvl w:val="0"/>
                <w:numId w:val="5"/>
              </w:numPr>
              <w:adjustRightInd w:val="0"/>
              <w:snapToGrid w:val="0"/>
              <w:spacing w:line="360" w:lineRule="auto"/>
              <w:ind w:firstLine="482" w:firstLineChars="200"/>
              <w:rPr>
                <w:rFonts w:ascii="Times New Roman" w:hAnsi="Times New Roman" w:eastAsia="宋体" w:cs="Times New Roman"/>
                <w:b/>
                <w:sz w:val="24"/>
              </w:rPr>
            </w:pPr>
            <w:r>
              <w:rPr>
                <w:rFonts w:ascii="Times New Roman" w:hAnsi="Times New Roman" w:eastAsia="宋体" w:cs="Times New Roman"/>
                <w:b/>
                <w:sz w:val="24"/>
              </w:rPr>
              <w:t>危废间建设以及管理要求</w:t>
            </w:r>
          </w:p>
          <w:p w14:paraId="200B6828">
            <w:pPr>
              <w:widowControl/>
              <w:adjustRightInd w:val="0"/>
              <w:snapToGrid w:val="0"/>
              <w:spacing w:line="360" w:lineRule="auto"/>
              <w:ind w:firstLine="482"/>
              <w:rPr>
                <w:rFonts w:ascii="Times New Roman" w:hAnsi="Times New Roman" w:eastAsia="宋体" w:cs="Times New Roman"/>
                <w:sz w:val="24"/>
              </w:rPr>
            </w:pPr>
            <w:r>
              <w:rPr>
                <w:rFonts w:hint="eastAsia" w:ascii="Times New Roman" w:hAnsi="Times New Roman" w:eastAsia="宋体" w:cs="Times New Roman"/>
                <w:sz w:val="24"/>
              </w:rPr>
              <w:t>本项目依托在建工程内</w:t>
            </w:r>
            <w:r>
              <w:rPr>
                <w:rFonts w:ascii="Times New Roman" w:hAnsi="Times New Roman" w:eastAsia="宋体" w:cs="Times New Roman"/>
                <w:sz w:val="24"/>
              </w:rPr>
              <w:t>建设</w:t>
            </w:r>
            <w:r>
              <w:rPr>
                <w:rFonts w:hint="eastAsia" w:ascii="Times New Roman" w:hAnsi="Times New Roman" w:eastAsia="宋体" w:cs="Times New Roman"/>
                <w:sz w:val="24"/>
              </w:rPr>
              <w:t>的</w:t>
            </w:r>
            <w:r>
              <w:rPr>
                <w:rFonts w:ascii="Times New Roman" w:hAnsi="Times New Roman" w:eastAsia="宋体" w:cs="Times New Roman"/>
                <w:sz w:val="24"/>
              </w:rPr>
              <w:t>危险废物贮存库，位于厂区东侧，占地面积</w:t>
            </w:r>
            <w:r>
              <w:rPr>
                <w:rFonts w:hint="eastAsia" w:ascii="Times New Roman" w:hAnsi="Times New Roman" w:eastAsia="宋体" w:cs="Times New Roman"/>
                <w:sz w:val="24"/>
              </w:rPr>
              <w:t>1</w:t>
            </w:r>
            <w:r>
              <w:rPr>
                <w:rFonts w:ascii="Times New Roman" w:hAnsi="Times New Roman" w:eastAsia="宋体" w:cs="Times New Roman"/>
                <w:sz w:val="24"/>
              </w:rPr>
              <w:t>0m</w:t>
            </w:r>
            <w:r>
              <w:rPr>
                <w:rFonts w:ascii="Times New Roman" w:hAnsi="Times New Roman" w:eastAsia="宋体" w:cs="Times New Roman"/>
                <w:sz w:val="24"/>
                <w:vertAlign w:val="superscript"/>
              </w:rPr>
              <w:t>2</w:t>
            </w:r>
            <w:r>
              <w:rPr>
                <w:rFonts w:ascii="Times New Roman" w:hAnsi="Times New Roman" w:eastAsia="宋体" w:cs="Times New Roman"/>
                <w:sz w:val="24"/>
              </w:rPr>
              <w:t>，</w:t>
            </w:r>
            <w:r>
              <w:rPr>
                <w:rFonts w:ascii="Times New Roman" w:hAnsi="Times New Roman" w:eastAsia="宋体" w:cs="Times New Roman"/>
                <w:sz w:val="24"/>
                <w:lang w:bidi="ar"/>
              </w:rPr>
              <w:t>专</w:t>
            </w:r>
            <w:r>
              <w:rPr>
                <w:rFonts w:ascii="Times New Roman" w:hAnsi="Times New Roman" w:eastAsia="宋体" w:cs="Times New Roman"/>
                <w:sz w:val="24"/>
              </w:rPr>
              <w:t>用容器分类收集后并委托有资质单位进行处置。危险废物贮存应按危险废物收集、贮存及运输过程，需执行《危险废物收集、贮存、运输过程的技术规范》（HJ2025-2012）及危险废物执行《危险废物贮存污染控制标准》（GB18597-2023）相关规定执行，按要求切实做到</w:t>
            </w:r>
            <w:r>
              <w:rPr>
                <w:rFonts w:ascii="Times New Roman" w:hAnsi="Times New Roman" w:cs="Times New Roman"/>
                <w:sz w:val="24"/>
              </w:rPr>
              <w:t>防风、防晒、防雨、防漏、防渗、防腐</w:t>
            </w:r>
            <w:r>
              <w:rPr>
                <w:rFonts w:ascii="Times New Roman" w:hAnsi="Times New Roman" w:eastAsia="宋体" w:cs="Times New Roman"/>
                <w:sz w:val="24"/>
              </w:rPr>
              <w:t>的</w:t>
            </w:r>
            <w:r>
              <w:rPr>
                <w:rFonts w:hint="eastAsia" w:ascii="Times New Roman" w:hAnsi="Times New Roman" w:eastAsia="宋体" w:cs="Times New Roman"/>
                <w:sz w:val="24"/>
              </w:rPr>
              <w:t>“</w:t>
            </w:r>
            <w:r>
              <w:rPr>
                <w:rFonts w:ascii="Times New Roman" w:hAnsi="Times New Roman" w:eastAsia="宋体" w:cs="Times New Roman"/>
                <w:sz w:val="24"/>
              </w:rPr>
              <w:t>六防</w:t>
            </w:r>
            <w:r>
              <w:rPr>
                <w:rFonts w:hint="eastAsia" w:ascii="Times New Roman" w:hAnsi="Times New Roman" w:eastAsia="宋体" w:cs="Times New Roman"/>
                <w:sz w:val="24"/>
              </w:rPr>
              <w:t>”</w:t>
            </w:r>
            <w:r>
              <w:rPr>
                <w:rFonts w:ascii="Times New Roman" w:hAnsi="Times New Roman" w:eastAsia="宋体" w:cs="Times New Roman"/>
                <w:sz w:val="24"/>
              </w:rPr>
              <w:t>措施。本项目将产生的危险废物暂存于危废贮存库，《中华人民共和国固体废物污染环境防治法》规定：对于危险废物，企业应按照国家有关规定进行申报登记，执行联单制度；对危险废物的容器和包装物以及收集、储存、运输、处置危险废物的设施、场所必须设置危险废物识别标志。另据《危险废物贮存污染控制标准》（GB18597-2023）中的规定，危险废物要有专门的容器进行分类贮存，装载危险废物的容器及材质要满足相应的强度要求；必须定期对所贮存的危险废物包装容器及贮存设施进行检查，发现破损，应及时采取措施清理更换；危险废物贮存设施必须按GB15562.2、GB18597-2023的规定设置警示标志；管理及运输人员必须采取必要的安全防护措施。</w:t>
            </w:r>
          </w:p>
          <w:p w14:paraId="24417FAD">
            <w:pPr>
              <w:widowControl/>
              <w:adjustRightInd w:val="0"/>
              <w:snapToGrid w:val="0"/>
              <w:spacing w:line="360" w:lineRule="auto"/>
              <w:ind w:firstLine="482"/>
              <w:rPr>
                <w:rFonts w:ascii="Times New Roman" w:hAnsi="Times New Roman" w:eastAsia="宋体" w:cs="Times New Roman"/>
                <w:sz w:val="24"/>
              </w:rPr>
            </w:pPr>
            <w:r>
              <w:rPr>
                <w:rFonts w:ascii="Times New Roman" w:hAnsi="Times New Roman" w:eastAsia="宋体" w:cs="Times New Roman"/>
                <w:sz w:val="24"/>
              </w:rPr>
              <w:t>A</w:t>
            </w:r>
            <w:r>
              <w:rPr>
                <w:rFonts w:hint="eastAsia" w:ascii="Times New Roman" w:hAnsi="Times New Roman" w:eastAsia="宋体" w:cs="Times New Roman"/>
                <w:sz w:val="24"/>
                <w:lang w:val="en-US" w:eastAsia="zh-CN"/>
              </w:rPr>
              <w:t>.</w:t>
            </w:r>
            <w:r>
              <w:rPr>
                <w:rFonts w:ascii="Times New Roman" w:hAnsi="Times New Roman" w:eastAsia="宋体" w:cs="Times New Roman"/>
                <w:sz w:val="24"/>
              </w:rPr>
              <w:t>本项目危废存放间地面与裙角要用坚固、防渗的材料建筑，并必须与危险废物相容；内部有安全照明设施和观察窗口；内部场地要有耐腐蚀的硬化地面且表面无裂隙；不相容的危险废物必须分开存放并设有隔离间隔离；地面应进行防渗（推荐方法：混凝土地面用环氧树脂处理或铺设一层2mm高密度聚乙烯后再铺设厚瓷砖或防渗层至少1m厚黏土层，渗透系数≦1.0×10</w:t>
            </w:r>
            <w:r>
              <w:rPr>
                <w:rFonts w:ascii="Times New Roman" w:hAnsi="Times New Roman" w:eastAsia="宋体" w:cs="Times New Roman"/>
                <w:sz w:val="24"/>
                <w:vertAlign w:val="superscript"/>
              </w:rPr>
              <w:t>-7</w:t>
            </w:r>
            <w:r>
              <w:rPr>
                <w:rFonts w:ascii="Times New Roman" w:hAnsi="Times New Roman" w:eastAsia="宋体" w:cs="Times New Roman"/>
                <w:sz w:val="24"/>
              </w:rPr>
              <w:t>cm/s，或至少2mm厚其他人工材料，渗透系数≦1.0×10</w:t>
            </w:r>
            <w:r>
              <w:rPr>
                <w:rFonts w:ascii="Times New Roman" w:hAnsi="Times New Roman" w:eastAsia="宋体" w:cs="Times New Roman"/>
                <w:sz w:val="24"/>
                <w:vertAlign w:val="superscript"/>
              </w:rPr>
              <w:t>-10</w:t>
            </w:r>
            <w:r>
              <w:rPr>
                <w:rFonts w:ascii="Times New Roman" w:hAnsi="Times New Roman" w:eastAsia="宋体" w:cs="Times New Roman"/>
                <w:sz w:val="24"/>
              </w:rPr>
              <w:t>cm/s）；不相容的危险废物必须分开存放并设有隔离间隔离，设备维护产生的废润滑油均采用专用容器进行收集，放置危废贮存库，设立危险废物标识。</w:t>
            </w:r>
          </w:p>
          <w:p w14:paraId="1A4F3292">
            <w:pPr>
              <w:widowControl/>
              <w:adjustRightInd w:val="0"/>
              <w:snapToGrid w:val="0"/>
              <w:spacing w:line="360" w:lineRule="auto"/>
              <w:ind w:firstLine="482"/>
              <w:rPr>
                <w:rFonts w:ascii="Times New Roman" w:hAnsi="Times New Roman" w:eastAsia="宋体" w:cs="Times New Roman"/>
                <w:sz w:val="24"/>
              </w:rPr>
            </w:pPr>
            <w:r>
              <w:rPr>
                <w:rFonts w:ascii="Times New Roman" w:hAnsi="Times New Roman" w:eastAsia="宋体" w:cs="Times New Roman"/>
                <w:sz w:val="24"/>
              </w:rPr>
              <w:t>B</w:t>
            </w:r>
            <w:r>
              <w:rPr>
                <w:rFonts w:hint="eastAsia" w:ascii="Times New Roman" w:hAnsi="Times New Roman" w:eastAsia="宋体" w:cs="Times New Roman"/>
                <w:sz w:val="24"/>
                <w:lang w:val="en-US" w:eastAsia="zh-CN"/>
              </w:rPr>
              <w:t>.</w:t>
            </w:r>
            <w:r>
              <w:rPr>
                <w:rFonts w:ascii="Times New Roman" w:hAnsi="Times New Roman" w:eastAsia="宋体" w:cs="Times New Roman"/>
                <w:sz w:val="24"/>
              </w:rPr>
              <w:t>装载液体、半固体危险废物的容器内须留足够空间，容器顶部与液体表面之间保留100毫米以上的空间。</w:t>
            </w:r>
          </w:p>
          <w:p w14:paraId="1D66B573">
            <w:pPr>
              <w:widowControl/>
              <w:adjustRightInd w:val="0"/>
              <w:snapToGrid w:val="0"/>
              <w:spacing w:line="360" w:lineRule="auto"/>
              <w:ind w:firstLine="482"/>
              <w:rPr>
                <w:rFonts w:ascii="Times New Roman" w:hAnsi="Times New Roman" w:eastAsia="宋体" w:cs="Times New Roman"/>
                <w:sz w:val="24"/>
              </w:rPr>
            </w:pPr>
            <w:r>
              <w:rPr>
                <w:rFonts w:ascii="Times New Roman" w:hAnsi="Times New Roman" w:eastAsia="宋体" w:cs="Times New Roman"/>
                <w:sz w:val="24"/>
              </w:rPr>
              <w:t>C</w:t>
            </w:r>
            <w:r>
              <w:rPr>
                <w:rFonts w:hint="eastAsia" w:ascii="Times New Roman" w:hAnsi="Times New Roman" w:eastAsia="宋体" w:cs="Times New Roman"/>
                <w:sz w:val="24"/>
                <w:lang w:val="en-US" w:eastAsia="zh-CN"/>
              </w:rPr>
              <w:t>.</w:t>
            </w:r>
            <w:r>
              <w:rPr>
                <w:rFonts w:ascii="Times New Roman" w:hAnsi="Times New Roman" w:eastAsia="宋体" w:cs="Times New Roman"/>
                <w:sz w:val="24"/>
              </w:rPr>
              <w:t>盛装危险废物的容器上必须粘贴符合标准的标签。</w:t>
            </w:r>
          </w:p>
          <w:p w14:paraId="75647B3E">
            <w:pPr>
              <w:widowControl/>
              <w:adjustRightInd w:val="0"/>
              <w:snapToGrid w:val="0"/>
              <w:spacing w:line="360" w:lineRule="auto"/>
              <w:ind w:firstLine="482"/>
              <w:rPr>
                <w:rFonts w:ascii="Times New Roman" w:hAnsi="Times New Roman" w:eastAsia="宋体" w:cs="Times New Roman"/>
                <w:sz w:val="24"/>
              </w:rPr>
            </w:pPr>
            <w:r>
              <w:rPr>
                <w:rFonts w:ascii="Times New Roman" w:hAnsi="Times New Roman" w:eastAsia="宋体" w:cs="Times New Roman"/>
                <w:sz w:val="24"/>
              </w:rPr>
              <w:t>D</w:t>
            </w:r>
            <w:r>
              <w:rPr>
                <w:rFonts w:hint="eastAsia" w:ascii="Times New Roman" w:hAnsi="Times New Roman" w:eastAsia="宋体" w:cs="Times New Roman"/>
                <w:sz w:val="24"/>
                <w:lang w:val="en-US" w:eastAsia="zh-CN"/>
              </w:rPr>
              <w:t>.</w:t>
            </w:r>
            <w:r>
              <w:rPr>
                <w:rFonts w:ascii="Times New Roman" w:hAnsi="Times New Roman" w:eastAsia="宋体" w:cs="Times New Roman"/>
                <w:sz w:val="24"/>
              </w:rPr>
              <w:t>装载危险废物的容器必须完好无损，材质要满足相应的强度要求，容器材质与衬里要与危险废物相容（不相互反应）。</w:t>
            </w:r>
          </w:p>
          <w:p w14:paraId="5069C427">
            <w:pPr>
              <w:widowControl/>
              <w:adjustRightInd w:val="0"/>
              <w:snapToGrid w:val="0"/>
              <w:spacing w:line="360" w:lineRule="auto"/>
              <w:ind w:firstLine="482"/>
              <w:rPr>
                <w:rFonts w:ascii="Times New Roman" w:hAnsi="Times New Roman" w:eastAsia="宋体" w:cs="Times New Roman"/>
                <w:sz w:val="24"/>
              </w:rPr>
            </w:pPr>
            <w:r>
              <w:rPr>
                <w:rFonts w:ascii="Times New Roman" w:hAnsi="Times New Roman" w:eastAsia="宋体" w:cs="Times New Roman"/>
                <w:sz w:val="24"/>
              </w:rPr>
              <w:t>E</w:t>
            </w:r>
            <w:r>
              <w:rPr>
                <w:rFonts w:hint="eastAsia" w:ascii="Times New Roman" w:hAnsi="Times New Roman" w:eastAsia="宋体" w:cs="Times New Roman"/>
                <w:sz w:val="24"/>
                <w:lang w:val="en-US" w:eastAsia="zh-CN"/>
              </w:rPr>
              <w:t>.</w:t>
            </w:r>
            <w:r>
              <w:rPr>
                <w:rFonts w:ascii="Times New Roman" w:hAnsi="Times New Roman" w:eastAsia="宋体" w:cs="Times New Roman"/>
                <w:sz w:val="24"/>
              </w:rPr>
              <w:t>安排专人对危险废物暂存库进行定期检查，制定危险废物事故应急预案并配备相应的应急物资，按要求切实做到防渗漏、防雨淋、防流失的</w:t>
            </w:r>
            <w:r>
              <w:rPr>
                <w:rFonts w:hint="eastAsia" w:ascii="Times New Roman" w:hAnsi="Times New Roman" w:eastAsia="宋体" w:cs="Times New Roman"/>
                <w:sz w:val="24"/>
              </w:rPr>
              <w:t>“</w:t>
            </w:r>
            <w:r>
              <w:rPr>
                <w:rFonts w:ascii="Times New Roman" w:hAnsi="Times New Roman" w:eastAsia="宋体" w:cs="Times New Roman"/>
                <w:sz w:val="24"/>
              </w:rPr>
              <w:t>三防</w:t>
            </w:r>
            <w:r>
              <w:rPr>
                <w:rFonts w:hint="eastAsia" w:ascii="Times New Roman" w:hAnsi="Times New Roman" w:eastAsia="宋体" w:cs="Times New Roman"/>
                <w:sz w:val="24"/>
              </w:rPr>
              <w:t>”</w:t>
            </w:r>
            <w:r>
              <w:rPr>
                <w:rFonts w:ascii="Times New Roman" w:hAnsi="Times New Roman" w:eastAsia="宋体" w:cs="Times New Roman"/>
                <w:sz w:val="24"/>
              </w:rPr>
              <w:t>措施。切实落实防渗措施，做好地面硬化，防止危险废物对地下水的影响。除此之外，建设单位还应建立台账，明确标识，委托有资质单位按规范处置。</w:t>
            </w:r>
          </w:p>
          <w:p w14:paraId="48461B9F">
            <w:pPr>
              <w:widowControl/>
              <w:adjustRightInd w:val="0"/>
              <w:snapToGrid w:val="0"/>
              <w:spacing w:line="360" w:lineRule="auto"/>
              <w:ind w:firstLine="482"/>
              <w:rPr>
                <w:rFonts w:ascii="Times New Roman" w:hAnsi="Times New Roman" w:eastAsia="宋体" w:cs="Times New Roman"/>
                <w:sz w:val="24"/>
              </w:rPr>
            </w:pPr>
            <w:r>
              <w:rPr>
                <w:rFonts w:ascii="Times New Roman" w:hAnsi="Times New Roman" w:eastAsia="宋体" w:cs="Times New Roman"/>
                <w:sz w:val="24"/>
              </w:rPr>
              <w:t>F</w:t>
            </w:r>
            <w:r>
              <w:rPr>
                <w:rFonts w:hint="eastAsia" w:ascii="Times New Roman" w:hAnsi="Times New Roman" w:eastAsia="宋体" w:cs="Times New Roman"/>
                <w:sz w:val="24"/>
                <w:lang w:val="en-US" w:eastAsia="zh-CN"/>
              </w:rPr>
              <w:t>.</w:t>
            </w:r>
            <w:r>
              <w:rPr>
                <w:rFonts w:ascii="Times New Roman" w:hAnsi="Times New Roman" w:eastAsia="宋体" w:cs="Times New Roman"/>
                <w:sz w:val="24"/>
              </w:rPr>
              <w:t>危险废物贮存设施必须按GB15562.2的规定设置警示标志；管理及运输人员必须采取必要的安全防护措施。定期对所贮存的危险废物包装容器及贮存设施进行检查，发现破损，应及时采取措施清理更换。</w:t>
            </w:r>
          </w:p>
          <w:p w14:paraId="1019018A">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综上所述，本项目所产生的固体废物通过采取以上处理处置措施后，将不会对周围的环境产生影响，亦不会造成二次污染。同时，固体废物处理处置前在厂内的堆放、贮存场所应按照国家固体废物贮存有关要求设置，避免其对周围环境产生二次污染。通过以上措施，建设项目产生的固体废物均得到了妥善处置和利用，对外环境的影响可减至最低程度。</w:t>
            </w:r>
          </w:p>
          <w:p w14:paraId="13AE3D21">
            <w:pPr>
              <w:adjustRightInd w:val="0"/>
              <w:snapToGrid w:val="0"/>
              <w:spacing w:line="360" w:lineRule="auto"/>
              <w:ind w:firstLine="482" w:firstLineChars="200"/>
              <w:rPr>
                <w:rFonts w:ascii="Times New Roman" w:hAnsi="Times New Roman" w:cs="Times New Roman"/>
                <w:b/>
                <w:sz w:val="24"/>
              </w:rPr>
            </w:pPr>
            <w:r>
              <w:rPr>
                <w:rFonts w:ascii="Times New Roman" w:hAnsi="Times New Roman" w:cs="Times New Roman"/>
                <w:b/>
                <w:sz w:val="24"/>
              </w:rPr>
              <w:t>五、土壤</w:t>
            </w:r>
            <w:r>
              <w:rPr>
                <w:rFonts w:hint="eastAsia" w:ascii="Times New Roman" w:hAnsi="Times New Roman" w:cs="Times New Roman"/>
                <w:b/>
                <w:sz w:val="24"/>
              </w:rPr>
              <w:t>、地下水</w:t>
            </w:r>
            <w:r>
              <w:rPr>
                <w:rFonts w:ascii="Times New Roman" w:hAnsi="Times New Roman" w:cs="Times New Roman"/>
                <w:b/>
                <w:sz w:val="24"/>
              </w:rPr>
              <w:t>污染环境影响分析</w:t>
            </w:r>
          </w:p>
          <w:p w14:paraId="5DEB8353">
            <w:pPr>
              <w:adjustRightInd w:val="0"/>
              <w:snapToGrid w:val="0"/>
              <w:spacing w:line="360" w:lineRule="auto"/>
              <w:ind w:left="480"/>
              <w:rPr>
                <w:rFonts w:ascii="Times New Roman" w:hAnsi="Times New Roman" w:cs="Times New Roman"/>
                <w:b/>
                <w:bCs/>
                <w:color w:val="auto"/>
                <w:sz w:val="24"/>
              </w:rPr>
            </w:pPr>
            <w:r>
              <w:rPr>
                <w:rFonts w:ascii="Times New Roman" w:hAnsi="Times New Roman" w:cs="Times New Roman"/>
                <w:b/>
                <w:bCs/>
                <w:color w:val="auto"/>
                <w:sz w:val="24"/>
              </w:rPr>
              <w:t>1、污染源、污染物类型</w:t>
            </w:r>
            <w:r>
              <w:rPr>
                <w:rFonts w:hint="eastAsia" w:ascii="Times New Roman" w:hAnsi="Times New Roman" w:cs="Times New Roman"/>
                <w:b/>
                <w:bCs/>
                <w:color w:val="auto"/>
                <w:sz w:val="24"/>
              </w:rPr>
              <w:t>及污染途径分析</w:t>
            </w:r>
          </w:p>
          <w:p w14:paraId="0390A590">
            <w:pPr>
              <w:adjustRightInd w:val="0"/>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本项目生产工艺中涉及喷砂及喷漆工艺，项目所在地位于姜谭经济技术开发区，项目占地为工业用地，周边为企业，本项目最近敏感点为项目西南侧45</w:t>
            </w:r>
            <w:r>
              <w:rPr>
                <w:rFonts w:ascii="Times New Roman" w:hAnsi="Times New Roman" w:eastAsia="宋体" w:cs="Times New Roman"/>
                <w:color w:val="auto"/>
                <w:sz w:val="24"/>
              </w:rPr>
              <w:t>m</w:t>
            </w:r>
            <w:r>
              <w:rPr>
                <w:rFonts w:hint="eastAsia" w:ascii="Times New Roman" w:hAnsi="Times New Roman" w:eastAsia="宋体" w:cs="Times New Roman"/>
                <w:color w:val="auto"/>
                <w:sz w:val="24"/>
              </w:rPr>
              <w:t>的巨家村。企业生产设备均位于生产车间内，车间地面目前已全部硬化，并按照要求做好车间、危废暂存间等的分区防渗漏措施，不涉及地面漫流；无设埋地设施，对各槽做好有效的防腐防渗措施，能有效制止渗漏及发生地面漫流的情况因此，在正常生产工况下，不存在垂直入渗、地面漫流影响。</w:t>
            </w:r>
          </w:p>
          <w:p w14:paraId="5763B3E7">
            <w:pPr>
              <w:adjustRightInd w:val="0"/>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此外，本项目各废气经收集处理后排放，生产过程在封闭式厂房内进行，封闭流水线在密闭操作间内进行；喷漆在密闭喷漆房内进行，并保证微负压；烘干工作时为封闭作业；加强对无组织的收集措施，对废气采取完善的治理措施后长期稳定达标排放，减少大气沉降对土壤的污染，且企业厂区及附近企业地面已做好硬化等防渗漏措施，项目排放的废气中非甲烷总烃、颗粒物等的沉降对项目所在地和周边土壤及地下水影响较小，可基本忽略不计。因此，建设项目正常生产工况下，不存在垂直入渗、地面漫流环境污染途径，通过大气沉降途径对周边土壤、地下水影响较小。</w:t>
            </w:r>
          </w:p>
          <w:p w14:paraId="2252513E">
            <w:pPr>
              <w:adjustRightInd w:val="0"/>
              <w:snapToGrid w:val="0"/>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2、土壤及地下水环境保护措施</w:t>
            </w:r>
          </w:p>
          <w:p w14:paraId="071349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本项目位于标准化厂房内，采取以上措施后可有效阻隔与土壤及地下水的直接</w:t>
            </w:r>
            <w:r>
              <w:rPr>
                <w:rFonts w:hint="default" w:ascii="Times New Roman" w:hAnsi="Times New Roman" w:eastAsia="宋体" w:cs="Times New Roman"/>
                <w:color w:val="auto"/>
                <w:sz w:val="24"/>
                <w:szCs w:val="24"/>
                <w:lang w:val="en-US" w:eastAsia="zh-CN"/>
              </w:rPr>
              <w:t>接触</w:t>
            </w:r>
            <w:r>
              <w:rPr>
                <w:rFonts w:hint="default" w:ascii="Times New Roman" w:hAnsi="Times New Roman" w:eastAsia="宋体" w:cs="Times New Roman"/>
                <w:color w:val="auto"/>
                <w:sz w:val="24"/>
                <w:szCs w:val="24"/>
              </w:rPr>
              <w:t>，为了避免</w:t>
            </w:r>
            <w:r>
              <w:rPr>
                <w:rFonts w:hint="default" w:ascii="Times New Roman" w:hAnsi="Times New Roman" w:eastAsia="宋体" w:cs="Times New Roman"/>
                <w:color w:val="auto"/>
                <w:sz w:val="24"/>
                <w:szCs w:val="24"/>
                <w:lang w:val="en-US" w:eastAsia="zh-CN"/>
              </w:rPr>
              <w:t>液态原料（</w:t>
            </w:r>
            <w:r>
              <w:rPr>
                <w:rFonts w:hint="eastAsia" w:ascii="Times New Roman" w:hAnsi="Times New Roman" w:eastAsia="宋体" w:cs="Times New Roman"/>
                <w:color w:val="auto"/>
                <w:sz w:val="24"/>
                <w:szCs w:val="24"/>
                <w:lang w:val="en-US" w:eastAsia="zh-CN"/>
              </w:rPr>
              <w:t>试剂</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和液态类危险废物泄漏后渗透至地下污染地下水，建设单位</w:t>
            </w:r>
            <w:r>
              <w:rPr>
                <w:rFonts w:hint="default" w:ascii="Times New Roman" w:hAnsi="Times New Roman" w:eastAsia="宋体" w:cs="Times New Roman"/>
                <w:color w:val="auto"/>
                <w:sz w:val="24"/>
                <w:szCs w:val="24"/>
                <w:lang w:val="en-US" w:eastAsia="zh-CN"/>
              </w:rPr>
              <w:t>应</w:t>
            </w:r>
            <w:r>
              <w:rPr>
                <w:rFonts w:hint="default" w:ascii="Times New Roman" w:hAnsi="Times New Roman" w:eastAsia="宋体" w:cs="Times New Roman"/>
                <w:color w:val="auto"/>
                <w:sz w:val="24"/>
                <w:szCs w:val="24"/>
              </w:rPr>
              <w:t>采取</w:t>
            </w:r>
            <w:r>
              <w:rPr>
                <w:rFonts w:hint="default" w:ascii="Times New Roman" w:hAnsi="Times New Roman" w:eastAsia="宋体" w:cs="Times New Roman"/>
                <w:color w:val="auto"/>
                <w:sz w:val="24"/>
                <w:szCs w:val="24"/>
                <w:lang w:val="en-US" w:eastAsia="zh-CN"/>
              </w:rPr>
              <w:t>以下</w:t>
            </w:r>
            <w:r>
              <w:rPr>
                <w:rFonts w:hint="default" w:ascii="Times New Roman" w:hAnsi="Times New Roman" w:eastAsia="宋体" w:cs="Times New Roman"/>
                <w:color w:val="auto"/>
                <w:sz w:val="24"/>
                <w:szCs w:val="24"/>
              </w:rPr>
              <w:t>措施</w:t>
            </w:r>
            <w:r>
              <w:rPr>
                <w:rFonts w:hint="default" w:ascii="Times New Roman" w:hAnsi="Times New Roman" w:eastAsia="宋体" w:cs="Times New Roman"/>
                <w:color w:val="auto"/>
                <w:sz w:val="24"/>
                <w:szCs w:val="24"/>
                <w:lang w:eastAsia="zh-CN"/>
              </w:rPr>
              <w:t>：</w:t>
            </w:r>
          </w:p>
          <w:p w14:paraId="3171F1CD">
            <w:pPr>
              <w:tabs>
                <w:tab w:val="left" w:pos="391"/>
              </w:tabs>
              <w:adjustRightInd w:val="0"/>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1</w:t>
            </w:r>
            <w:r>
              <w:rPr>
                <w:rFonts w:hint="eastAsia" w:ascii="Times New Roman" w:hAnsi="Times New Roman" w:eastAsia="宋体" w:cs="Times New Roman"/>
                <w:color w:val="auto"/>
                <w:sz w:val="24"/>
              </w:rPr>
              <w:t xml:space="preserve">）源头控制措施 </w:t>
            </w:r>
          </w:p>
          <w:p w14:paraId="6BACC314">
            <w:pPr>
              <w:adjustRightInd w:val="0"/>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①配套</w:t>
            </w:r>
            <w:r>
              <w:rPr>
                <w:rFonts w:hint="eastAsia" w:ascii="Times New Roman" w:hAnsi="Times New Roman" w:eastAsia="宋体" w:cs="Times New Roman"/>
                <w:color w:val="auto"/>
                <w:sz w:val="24"/>
                <w:lang w:val="en-US" w:eastAsia="zh-CN"/>
              </w:rPr>
              <w:t>环保</w:t>
            </w:r>
            <w:r>
              <w:rPr>
                <w:rFonts w:hint="eastAsia" w:ascii="Times New Roman" w:hAnsi="Times New Roman" w:eastAsia="宋体" w:cs="Times New Roman"/>
                <w:color w:val="auto"/>
                <w:sz w:val="24"/>
              </w:rPr>
              <w:t>处理设施并保持正常运转，防止产生的废气、生活污水、固废等对土壤及地下水造成污染和危害；</w:t>
            </w:r>
          </w:p>
          <w:p w14:paraId="16B38A62">
            <w:pPr>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rPr>
              <w:t>②定期巡查生产及环境保护设施设备的运行情况，及时发现并处理生产过程中材料、产品、废物的扬散、流失问题</w:t>
            </w:r>
            <w:r>
              <w:rPr>
                <w:rFonts w:hint="eastAsia" w:ascii="Times New Roman" w:hAnsi="Times New Roman" w:eastAsia="宋体" w:cs="Times New Roman"/>
                <w:color w:val="auto"/>
                <w:sz w:val="24"/>
                <w:lang w:eastAsia="zh-CN"/>
              </w:rPr>
              <w:t>；</w:t>
            </w:r>
          </w:p>
          <w:p w14:paraId="0EF9A3EB">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rPr>
              <w:t>并对产生的废物进行合理综合利用，尽可能从源头上减少污染物排放；</w:t>
            </w:r>
          </w:p>
          <w:p w14:paraId="3A6CE615">
            <w:pPr>
              <w:adjustRightInd w:val="0"/>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szCs w:val="24"/>
                <w:lang w:val="en-US" w:eastAsia="zh-CN"/>
              </w:rPr>
              <w:t>④</w:t>
            </w:r>
            <w:r>
              <w:rPr>
                <w:rFonts w:hint="default" w:ascii="Times New Roman" w:hAnsi="Times New Roman" w:eastAsia="宋体" w:cs="Times New Roman"/>
                <w:color w:val="auto"/>
                <w:sz w:val="24"/>
                <w:szCs w:val="24"/>
              </w:rPr>
              <w:t>严格按照国家相关规范要求，对工艺、管道、设备</w:t>
            </w:r>
            <w:r>
              <w:rPr>
                <w:rFonts w:hint="default" w:ascii="Times New Roman" w:hAnsi="Times New Roman" w:eastAsia="宋体" w:cs="Times New Roman"/>
                <w:color w:val="auto"/>
                <w:sz w:val="24"/>
                <w:szCs w:val="24"/>
                <w:lang w:val="en-US" w:eastAsia="zh-CN"/>
              </w:rPr>
              <w:t>等</w:t>
            </w:r>
            <w:r>
              <w:rPr>
                <w:rFonts w:hint="default" w:ascii="Times New Roman" w:hAnsi="Times New Roman" w:eastAsia="宋体" w:cs="Times New Roman"/>
                <w:color w:val="auto"/>
                <w:sz w:val="24"/>
                <w:szCs w:val="24"/>
              </w:rPr>
              <w:t>采取相应的措施，以防止和降低污染物的跑、冒、滴、漏</w:t>
            </w:r>
            <w:r>
              <w:rPr>
                <w:rFonts w:hint="default" w:ascii="Times New Roman" w:hAnsi="Times New Roman" w:eastAsia="宋体" w:cs="Times New Roman"/>
                <w:color w:val="auto"/>
                <w:sz w:val="24"/>
                <w:szCs w:val="24"/>
                <w:lang w:val="en-US" w:eastAsia="zh-CN"/>
              </w:rPr>
              <w:t>现象发生</w:t>
            </w:r>
            <w:r>
              <w:rPr>
                <w:rFonts w:hint="default" w:ascii="Times New Roman" w:hAnsi="Times New Roman" w:eastAsia="宋体" w:cs="Times New Roman"/>
                <w:color w:val="auto"/>
                <w:sz w:val="24"/>
                <w:szCs w:val="24"/>
              </w:rPr>
              <w:t>，将污染物泄漏的环境风险降到最低程度</w:t>
            </w:r>
            <w:r>
              <w:rPr>
                <w:rFonts w:hint="default" w:ascii="Times New Roman" w:hAnsi="Times New Roman" w:eastAsia="宋体" w:cs="Times New Roman"/>
                <w:color w:val="auto"/>
                <w:sz w:val="24"/>
                <w:szCs w:val="24"/>
                <w:lang w:eastAsia="zh-CN"/>
              </w:rPr>
              <w:t>。</w:t>
            </w:r>
          </w:p>
          <w:p w14:paraId="7295A5EB">
            <w:pPr>
              <w:adjustRightInd w:val="0"/>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2</w:t>
            </w:r>
            <w:r>
              <w:rPr>
                <w:rFonts w:hint="eastAsia" w:ascii="Times New Roman" w:hAnsi="Times New Roman" w:eastAsia="宋体" w:cs="Times New Roman"/>
                <w:color w:val="auto"/>
                <w:sz w:val="24"/>
              </w:rPr>
              <w:t>）防渗措施</w:t>
            </w:r>
          </w:p>
          <w:p w14:paraId="0B5C3130">
            <w:pPr>
              <w:adjustRightInd w:val="0"/>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结合项目情况，根据场地天然包气带防污性能、污染控制难易程度和污染物特性对车间进行分区防渗。</w:t>
            </w:r>
          </w:p>
          <w:p w14:paraId="5D0B6C22">
            <w:pPr>
              <w:tabs>
                <w:tab w:val="left" w:pos="328"/>
              </w:tabs>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kern w:val="0"/>
                <w:sz w:val="24"/>
                <w:szCs w:val="24"/>
                <w:lang w:val="en-US" w:eastAsia="zh-CN"/>
              </w:rPr>
              <w:t>本环评要求项目</w:t>
            </w:r>
            <w:r>
              <w:rPr>
                <w:rFonts w:hint="eastAsia" w:ascii="Times New Roman" w:hAnsi="Times New Roman" w:eastAsia="宋体" w:cs="Times New Roman"/>
                <w:color w:val="auto"/>
                <w:sz w:val="24"/>
              </w:rPr>
              <w:t>原料储存区、危废贮存库</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喷漆</w:t>
            </w:r>
            <w:r>
              <w:rPr>
                <w:rFonts w:hint="eastAsia" w:ascii="Times New Roman" w:hAnsi="Times New Roman" w:eastAsia="宋体" w:cs="Times New Roman"/>
                <w:color w:val="auto"/>
                <w:sz w:val="24"/>
              </w:rPr>
              <w:t>等单元</w:t>
            </w:r>
            <w:r>
              <w:rPr>
                <w:rFonts w:hint="default" w:ascii="Times New Roman" w:hAnsi="Times New Roman" w:eastAsia="宋体" w:cs="Times New Roman"/>
                <w:color w:val="auto"/>
                <w:sz w:val="24"/>
                <w:szCs w:val="24"/>
              </w:rPr>
              <w:t>防渗</w:t>
            </w:r>
            <w:r>
              <w:rPr>
                <w:rFonts w:hint="default" w:ascii="Times New Roman" w:hAnsi="Times New Roman" w:eastAsia="宋体" w:cs="Times New Roman"/>
                <w:color w:val="auto"/>
                <w:sz w:val="24"/>
                <w:szCs w:val="24"/>
                <w:lang w:val="en-US" w:eastAsia="zh-CN"/>
              </w:rPr>
              <w:t>应</w:t>
            </w:r>
            <w:r>
              <w:rPr>
                <w:rFonts w:hint="default" w:ascii="Times New Roman" w:hAnsi="Times New Roman" w:eastAsia="宋体" w:cs="Times New Roman"/>
                <w:color w:val="auto"/>
                <w:sz w:val="24"/>
                <w:szCs w:val="24"/>
              </w:rPr>
              <w:t>按照《危险废物贮存污染控制标准》（</w:t>
            </w:r>
            <w:r>
              <w:rPr>
                <w:rFonts w:hint="default" w:ascii="Times New Roman" w:hAnsi="Times New Roman" w:eastAsia="宋体" w:cs="Times New Roman"/>
                <w:color w:val="auto"/>
                <w:kern w:val="0"/>
                <w:sz w:val="24"/>
                <w:szCs w:val="24"/>
              </w:rPr>
              <w:t>GB18597-2023</w:t>
            </w:r>
            <w:r>
              <w:rPr>
                <w:rFonts w:hint="default" w:ascii="Times New Roman" w:hAnsi="Times New Roman" w:eastAsia="宋体" w:cs="Times New Roman"/>
                <w:color w:val="auto"/>
                <w:sz w:val="24"/>
                <w:szCs w:val="24"/>
              </w:rPr>
              <w:t>）相关要求设置</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rPr>
              <w:t>进行地面硬化、防腐、防渗处理</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bCs/>
                <w:color w:val="auto"/>
                <w:kern w:val="2"/>
                <w:sz w:val="24"/>
                <w:szCs w:val="24"/>
                <w:lang w:val="en-US" w:eastAsia="zh-CN" w:bidi="ar-SA"/>
              </w:rPr>
              <w:t>即使发生少量泄漏事故，也不会直接接触并污染</w:t>
            </w:r>
            <w:r>
              <w:rPr>
                <w:rFonts w:hint="eastAsia" w:ascii="Times New Roman" w:hAnsi="Times New Roman" w:eastAsia="宋体" w:cs="Times New Roman"/>
                <w:bCs/>
                <w:color w:val="auto"/>
                <w:kern w:val="2"/>
                <w:sz w:val="24"/>
                <w:szCs w:val="24"/>
                <w:lang w:val="en-US" w:eastAsia="zh-CN" w:bidi="ar-SA"/>
              </w:rPr>
              <w:t>土壤。</w:t>
            </w:r>
          </w:p>
          <w:p w14:paraId="785BD5FA">
            <w:pPr>
              <w:pStyle w:val="63"/>
              <w:ind w:firstLine="480"/>
              <w:rPr>
                <w:rFonts w:ascii="Times New Roman" w:hAnsi="Times New Roman" w:cs="Times New Roman"/>
                <w:bCs w:val="0"/>
                <w:color w:val="auto"/>
              </w:rPr>
            </w:pPr>
            <w:r>
              <w:rPr>
                <w:rFonts w:hint="eastAsia" w:ascii="Times New Roman" w:hAnsi="Times New Roman" w:cs="Times New Roman"/>
                <w:bCs w:val="0"/>
                <w:color w:val="auto"/>
              </w:rPr>
              <w:t>分区防渗</w:t>
            </w:r>
            <w:r>
              <w:rPr>
                <w:rFonts w:hint="eastAsia" w:ascii="Times New Roman" w:hAnsi="Times New Roman" w:cs="Times New Roman"/>
                <w:bCs w:val="0"/>
                <w:color w:val="auto"/>
                <w:lang w:val="en-US" w:eastAsia="zh-CN"/>
              </w:rPr>
              <w:t>要求</w:t>
            </w:r>
            <w:r>
              <w:rPr>
                <w:rFonts w:hint="eastAsia" w:ascii="Times New Roman" w:hAnsi="Times New Roman" w:cs="Times New Roman"/>
                <w:bCs w:val="0"/>
                <w:color w:val="auto"/>
              </w:rPr>
              <w:t>详见下表。</w:t>
            </w:r>
          </w:p>
          <w:p w14:paraId="0FB4999D">
            <w:pPr>
              <w:pStyle w:val="63"/>
              <w:spacing w:line="240" w:lineRule="auto"/>
              <w:ind w:firstLine="422"/>
              <w:jc w:val="center"/>
              <w:rPr>
                <w:rFonts w:ascii="Times New Roman" w:hAnsi="Times New Roman" w:cs="Times New Roman"/>
                <w:b/>
                <w:bCs w:val="0"/>
                <w:sz w:val="21"/>
                <w:szCs w:val="21"/>
              </w:rPr>
            </w:pPr>
            <w:r>
              <w:rPr>
                <w:rFonts w:ascii="Times New Roman" w:hAnsi="Times New Roman" w:cs="Times New Roman"/>
                <w:b/>
                <w:bCs w:val="0"/>
                <w:sz w:val="21"/>
                <w:szCs w:val="21"/>
              </w:rPr>
              <w:t>表4-1</w:t>
            </w:r>
            <w:r>
              <w:rPr>
                <w:rFonts w:hint="eastAsia" w:ascii="Times New Roman" w:hAnsi="Times New Roman" w:cs="Times New Roman"/>
                <w:b/>
                <w:bCs w:val="0"/>
                <w:sz w:val="21"/>
                <w:szCs w:val="21"/>
              </w:rPr>
              <w:t xml:space="preserve">3   </w:t>
            </w:r>
            <w:r>
              <w:rPr>
                <w:rFonts w:ascii="Times New Roman" w:hAnsi="Times New Roman" w:cs="Times New Roman"/>
                <w:b/>
                <w:bCs w:val="0"/>
                <w:sz w:val="21"/>
                <w:szCs w:val="21"/>
              </w:rPr>
              <w:t xml:space="preserve"> </w:t>
            </w:r>
            <w:r>
              <w:rPr>
                <w:rFonts w:hint="eastAsia" w:ascii="Times New Roman" w:hAnsi="Times New Roman" w:cs="Times New Roman"/>
                <w:b/>
                <w:bCs w:val="0"/>
                <w:sz w:val="21"/>
                <w:szCs w:val="21"/>
              </w:rPr>
              <w:t>分区防渗方案及防渗措施表</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1683"/>
              <w:gridCol w:w="5274"/>
            </w:tblGrid>
            <w:tr w14:paraId="7349C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tcBorders>
                    <w:tl2br w:val="nil"/>
                    <w:tr2bl w:val="nil"/>
                  </w:tcBorders>
                  <w:vAlign w:val="center"/>
                </w:tcPr>
                <w:p w14:paraId="73603341">
                  <w:pPr>
                    <w:spacing w:line="240" w:lineRule="exact"/>
                    <w:jc w:val="center"/>
                    <w:rPr>
                      <w:rFonts w:ascii="Times New Roman" w:hAnsi="Times New Roman" w:cs="Times New Roman"/>
                      <w:b/>
                      <w:bCs/>
                      <w:color w:val="auto"/>
                      <w:szCs w:val="21"/>
                    </w:rPr>
                  </w:pPr>
                  <w:r>
                    <w:rPr>
                      <w:rFonts w:hint="eastAsia" w:ascii="Times New Roman" w:hAnsi="Times New Roman" w:cs="Times New Roman"/>
                      <w:b/>
                      <w:bCs/>
                      <w:color w:val="auto"/>
                      <w:szCs w:val="21"/>
                    </w:rPr>
                    <w:t>防治分区</w:t>
                  </w:r>
                </w:p>
              </w:tc>
              <w:tc>
                <w:tcPr>
                  <w:tcW w:w="1008" w:type="pct"/>
                  <w:tcBorders>
                    <w:tl2br w:val="nil"/>
                    <w:tr2bl w:val="nil"/>
                  </w:tcBorders>
                  <w:vAlign w:val="center"/>
                </w:tcPr>
                <w:p w14:paraId="33102A5A">
                  <w:pPr>
                    <w:spacing w:line="240" w:lineRule="exact"/>
                    <w:jc w:val="center"/>
                    <w:rPr>
                      <w:rFonts w:ascii="Times New Roman" w:hAnsi="Times New Roman" w:cs="Times New Roman"/>
                      <w:b/>
                      <w:bCs/>
                      <w:color w:val="auto"/>
                      <w:szCs w:val="21"/>
                    </w:rPr>
                  </w:pPr>
                  <w:r>
                    <w:rPr>
                      <w:rFonts w:hint="eastAsia" w:ascii="Times New Roman" w:hAnsi="Times New Roman" w:cs="Times New Roman"/>
                      <w:b/>
                      <w:bCs/>
                      <w:color w:val="auto"/>
                      <w:szCs w:val="21"/>
                    </w:rPr>
                    <w:t>分区位置</w:t>
                  </w:r>
                </w:p>
              </w:tc>
              <w:tc>
                <w:tcPr>
                  <w:tcW w:w="3159" w:type="pct"/>
                  <w:tcBorders>
                    <w:tl2br w:val="nil"/>
                    <w:tr2bl w:val="nil"/>
                  </w:tcBorders>
                  <w:vAlign w:val="center"/>
                </w:tcPr>
                <w:p w14:paraId="7C6DFDCD">
                  <w:pPr>
                    <w:spacing w:line="240" w:lineRule="exact"/>
                    <w:jc w:val="center"/>
                    <w:rPr>
                      <w:rFonts w:ascii="Times New Roman" w:hAnsi="Times New Roman" w:cs="Times New Roman"/>
                      <w:b/>
                      <w:bCs/>
                      <w:color w:val="auto"/>
                      <w:szCs w:val="21"/>
                    </w:rPr>
                  </w:pPr>
                  <w:r>
                    <w:rPr>
                      <w:rFonts w:hint="eastAsia" w:ascii="Times New Roman" w:hAnsi="Times New Roman" w:cs="Times New Roman"/>
                      <w:b/>
                      <w:bCs/>
                      <w:color w:val="auto"/>
                      <w:szCs w:val="21"/>
                    </w:rPr>
                    <w:t>防渗要求</w:t>
                  </w:r>
                </w:p>
              </w:tc>
            </w:tr>
            <w:tr w14:paraId="4DB54D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vMerge w:val="restart"/>
                  <w:tcBorders>
                    <w:tl2br w:val="nil"/>
                    <w:tr2bl w:val="nil"/>
                  </w:tcBorders>
                  <w:vAlign w:val="center"/>
                </w:tcPr>
                <w:p w14:paraId="2F9EA519">
                  <w:pPr>
                    <w:spacing w:line="240" w:lineRule="exact"/>
                    <w:jc w:val="center"/>
                    <w:rPr>
                      <w:rFonts w:ascii="Times New Roman" w:hAnsi="Times New Roman" w:cs="Times New Roman"/>
                      <w:color w:val="auto"/>
                      <w:szCs w:val="21"/>
                    </w:rPr>
                  </w:pPr>
                  <w:r>
                    <w:rPr>
                      <w:rFonts w:hint="eastAsia" w:ascii="Times New Roman" w:hAnsi="Times New Roman" w:cs="Times New Roman"/>
                      <w:color w:val="auto"/>
                      <w:szCs w:val="21"/>
                    </w:rPr>
                    <w:t>重点防渗区</w:t>
                  </w:r>
                </w:p>
              </w:tc>
              <w:tc>
                <w:tcPr>
                  <w:tcW w:w="1008" w:type="pct"/>
                  <w:tcBorders>
                    <w:tl2br w:val="nil"/>
                    <w:tr2bl w:val="nil"/>
                  </w:tcBorders>
                  <w:vAlign w:val="center"/>
                </w:tcPr>
                <w:p w14:paraId="6FD81B16">
                  <w:pPr>
                    <w:spacing w:line="240" w:lineRule="exact"/>
                    <w:jc w:val="center"/>
                    <w:rPr>
                      <w:rFonts w:ascii="Times New Roman" w:hAnsi="Times New Roman" w:cs="Times New Roman"/>
                      <w:color w:val="auto"/>
                      <w:szCs w:val="21"/>
                    </w:rPr>
                  </w:pPr>
                  <w:r>
                    <w:rPr>
                      <w:rFonts w:ascii="Times New Roman" w:hAnsi="Times New Roman" w:cs="Times New Roman"/>
                      <w:color w:val="auto"/>
                      <w:szCs w:val="21"/>
                    </w:rPr>
                    <w:t>危废贮存库</w:t>
                  </w:r>
                </w:p>
              </w:tc>
              <w:tc>
                <w:tcPr>
                  <w:tcW w:w="3159" w:type="pct"/>
                  <w:tcBorders>
                    <w:tl2br w:val="nil"/>
                    <w:tr2bl w:val="nil"/>
                  </w:tcBorders>
                  <w:vAlign w:val="center"/>
                </w:tcPr>
                <w:p w14:paraId="57CE086D">
                  <w:pPr>
                    <w:widowControl/>
                    <w:jc w:val="left"/>
                    <w:rPr>
                      <w:rFonts w:ascii="Times New Roman" w:hAnsi="Times New Roman" w:cs="Times New Roman"/>
                      <w:color w:val="auto"/>
                      <w:szCs w:val="21"/>
                    </w:rPr>
                  </w:pPr>
                  <w:r>
                    <w:rPr>
                      <w:rFonts w:ascii="Times New Roman" w:hAnsi="Times New Roman" w:eastAsia="宋体" w:cs="Times New Roman"/>
                      <w:color w:val="auto"/>
                      <w:kern w:val="0"/>
                      <w:szCs w:val="21"/>
                      <w:lang w:bidi="ar"/>
                    </w:rPr>
                    <w:t>根据《危险废物贮存污染控制标准》（GB18597-2023）中相关要求：贮存设施地面与</w:t>
                  </w:r>
                  <w:r>
                    <w:rPr>
                      <w:rFonts w:hint="eastAsia" w:ascii="Times New Roman" w:hAnsi="Times New Roman" w:eastAsia="宋体" w:cs="Times New Roman"/>
                      <w:color w:val="auto"/>
                      <w:kern w:val="0"/>
                      <w:szCs w:val="21"/>
                      <w:lang w:bidi="ar"/>
                    </w:rPr>
                    <w:t>裙角</w:t>
                  </w:r>
                  <w:r>
                    <w:rPr>
                      <w:rFonts w:ascii="Times New Roman" w:hAnsi="Times New Roman" w:eastAsia="宋体" w:cs="Times New Roman"/>
                      <w:color w:val="auto"/>
                      <w:kern w:val="0"/>
                      <w:szCs w:val="21"/>
                      <w:lang w:bidi="ar"/>
                    </w:rPr>
                    <w:t>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ascii="Times New Roman" w:hAnsi="Times New Roman" w:eastAsia="宋体" w:cs="Times New Roman"/>
                      <w:color w:val="auto"/>
                      <w:kern w:val="0"/>
                      <w:szCs w:val="21"/>
                      <w:vertAlign w:val="superscript"/>
                      <w:lang w:bidi="ar"/>
                    </w:rPr>
                    <w:t>-7</w:t>
                  </w:r>
                  <w:r>
                    <w:rPr>
                      <w:rFonts w:ascii="Times New Roman" w:hAnsi="Times New Roman" w:eastAsia="宋体" w:cs="Times New Roman"/>
                      <w:color w:val="auto"/>
                      <w:kern w:val="0"/>
                      <w:szCs w:val="21"/>
                      <w:lang w:bidi="ar"/>
                    </w:rPr>
                    <w:t xml:space="preserve"> cm/s），或至少2mm厚高密度聚乙烯膜等人工防渗材料 </w:t>
                  </w:r>
                </w:p>
                <w:p w14:paraId="40AB479E">
                  <w:pPr>
                    <w:widowControl/>
                    <w:jc w:val="left"/>
                    <w:rPr>
                      <w:rFonts w:ascii="Times New Roman" w:hAnsi="Times New Roman" w:cs="Times New Roman"/>
                      <w:color w:val="auto"/>
                      <w:szCs w:val="21"/>
                    </w:rPr>
                  </w:pPr>
                  <w:r>
                    <w:rPr>
                      <w:rFonts w:ascii="Times New Roman" w:hAnsi="Times New Roman" w:eastAsia="宋体" w:cs="Times New Roman"/>
                      <w:color w:val="auto"/>
                      <w:kern w:val="0"/>
                      <w:szCs w:val="21"/>
                      <w:lang w:bidi="ar"/>
                    </w:rPr>
                    <w:t>（渗透系数不大于10</w:t>
                  </w:r>
                  <w:r>
                    <w:rPr>
                      <w:rFonts w:ascii="Times New Roman" w:hAnsi="Times New Roman" w:eastAsia="宋体" w:cs="Times New Roman"/>
                      <w:color w:val="auto"/>
                      <w:kern w:val="0"/>
                      <w:szCs w:val="21"/>
                      <w:vertAlign w:val="superscript"/>
                      <w:lang w:bidi="ar"/>
                    </w:rPr>
                    <w:t>-10</w:t>
                  </w:r>
                  <w:r>
                    <w:rPr>
                      <w:rFonts w:ascii="Times New Roman" w:hAnsi="Times New Roman" w:eastAsia="宋体" w:cs="Times New Roman"/>
                      <w:color w:val="auto"/>
                      <w:kern w:val="0"/>
                      <w:szCs w:val="21"/>
                      <w:lang w:bidi="ar"/>
                    </w:rPr>
                    <w:t>cm/s），或其他防渗性能等效的材料。</w:t>
                  </w:r>
                </w:p>
              </w:tc>
            </w:tr>
            <w:tr w14:paraId="1BF852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vMerge w:val="continue"/>
                  <w:tcBorders>
                    <w:tl2br w:val="nil"/>
                    <w:tr2bl w:val="nil"/>
                  </w:tcBorders>
                  <w:vAlign w:val="center"/>
                </w:tcPr>
                <w:p w14:paraId="792B5F95">
                  <w:pPr>
                    <w:spacing w:line="240" w:lineRule="exact"/>
                    <w:jc w:val="center"/>
                    <w:rPr>
                      <w:rFonts w:ascii="Times New Roman" w:hAnsi="Times New Roman" w:cs="Times New Roman"/>
                      <w:color w:val="auto"/>
                      <w:szCs w:val="21"/>
                    </w:rPr>
                  </w:pPr>
                </w:p>
              </w:tc>
              <w:tc>
                <w:tcPr>
                  <w:tcW w:w="1008" w:type="pct"/>
                  <w:tcBorders>
                    <w:tl2br w:val="nil"/>
                    <w:tr2bl w:val="nil"/>
                  </w:tcBorders>
                  <w:vAlign w:val="center"/>
                </w:tcPr>
                <w:p w14:paraId="0928949E">
                  <w:pPr>
                    <w:spacing w:line="240" w:lineRule="exact"/>
                    <w:jc w:val="center"/>
                    <w:rPr>
                      <w:rFonts w:ascii="Times New Roman" w:hAnsi="Times New Roman" w:cs="Times New Roman"/>
                      <w:color w:val="auto"/>
                      <w:szCs w:val="21"/>
                    </w:rPr>
                  </w:pPr>
                  <w:r>
                    <w:rPr>
                      <w:rFonts w:ascii="Times New Roman" w:hAnsi="Times New Roman" w:cs="Times New Roman"/>
                      <w:color w:val="auto"/>
                      <w:szCs w:val="21"/>
                    </w:rPr>
                    <w:t>①原料贮存库</w:t>
                  </w:r>
                </w:p>
                <w:p w14:paraId="18D8F570">
                  <w:pPr>
                    <w:spacing w:line="240" w:lineRule="exact"/>
                    <w:jc w:val="center"/>
                    <w:rPr>
                      <w:rFonts w:ascii="Times New Roman" w:hAnsi="Times New Roman" w:cs="Times New Roman"/>
                      <w:color w:val="auto"/>
                      <w:szCs w:val="21"/>
                    </w:rPr>
                  </w:pPr>
                  <w:r>
                    <w:rPr>
                      <w:rFonts w:hint="eastAsia" w:ascii="Times New Roman" w:hAnsi="Times New Roman" w:cs="Times New Roman"/>
                      <w:color w:val="auto"/>
                      <w:szCs w:val="21"/>
                    </w:rPr>
                    <w:t>②</w:t>
                  </w:r>
                  <w:r>
                    <w:rPr>
                      <w:rFonts w:ascii="Times New Roman" w:hAnsi="Times New Roman" w:cs="Times New Roman"/>
                      <w:color w:val="auto"/>
                      <w:szCs w:val="21"/>
                    </w:rPr>
                    <w:t>喷漆房</w:t>
                  </w:r>
                </w:p>
              </w:tc>
              <w:tc>
                <w:tcPr>
                  <w:tcW w:w="3159" w:type="pct"/>
                  <w:tcBorders>
                    <w:tl2br w:val="nil"/>
                    <w:tr2bl w:val="nil"/>
                  </w:tcBorders>
                  <w:vAlign w:val="center"/>
                </w:tcPr>
                <w:p w14:paraId="4740AEC4">
                  <w:pPr>
                    <w:widowControl/>
                    <w:jc w:val="left"/>
                    <w:rPr>
                      <w:rFonts w:ascii="Times New Roman" w:hAnsi="Times New Roman" w:eastAsia="宋体" w:cs="Times New Roman"/>
                      <w:color w:val="auto"/>
                      <w:kern w:val="0"/>
                      <w:szCs w:val="21"/>
                      <w:lang w:bidi="ar"/>
                    </w:rPr>
                  </w:pPr>
                  <w:r>
                    <w:rPr>
                      <w:rFonts w:ascii="Times New Roman" w:hAnsi="Times New Roman" w:eastAsia="宋体" w:cs="Times New Roman"/>
                      <w:color w:val="auto"/>
                      <w:kern w:val="0"/>
                      <w:szCs w:val="21"/>
                      <w:lang w:bidi="ar"/>
                    </w:rPr>
                    <w:t>采用《环境影响评价技术导则 地下水环境》（GB610-2016）中重点防渗区的防渗技术要求：</w:t>
                  </w:r>
                </w:p>
                <w:p w14:paraId="458B9649">
                  <w:pPr>
                    <w:widowControl/>
                    <w:jc w:val="left"/>
                    <w:rPr>
                      <w:rFonts w:ascii="Times New Roman" w:hAnsi="Times New Roman" w:cs="Times New Roman"/>
                      <w:color w:val="auto"/>
                      <w:szCs w:val="21"/>
                    </w:rPr>
                  </w:pPr>
                  <w:r>
                    <w:rPr>
                      <w:rFonts w:ascii="Times New Roman" w:hAnsi="Times New Roman" w:eastAsia="宋体" w:cs="Times New Roman"/>
                      <w:color w:val="auto"/>
                      <w:kern w:val="0"/>
                      <w:szCs w:val="21"/>
                      <w:lang w:bidi="ar"/>
                    </w:rPr>
                    <w:t>等效粘土防渗层Mb≥6m，K≤1×10</w:t>
                  </w:r>
                  <w:r>
                    <w:rPr>
                      <w:rFonts w:ascii="Times New Roman" w:hAnsi="Times New Roman" w:eastAsia="宋体" w:cs="Times New Roman"/>
                      <w:color w:val="auto"/>
                      <w:kern w:val="0"/>
                      <w:szCs w:val="21"/>
                      <w:vertAlign w:val="superscript"/>
                      <w:lang w:bidi="ar"/>
                    </w:rPr>
                    <w:t>-7</w:t>
                  </w:r>
                  <w:r>
                    <w:rPr>
                      <w:rFonts w:ascii="Times New Roman" w:hAnsi="Times New Roman" w:eastAsia="宋体" w:cs="Times New Roman"/>
                      <w:color w:val="auto"/>
                      <w:kern w:val="0"/>
                      <w:szCs w:val="21"/>
                      <w:lang w:bidi="ar"/>
                    </w:rPr>
                    <w:t xml:space="preserve"> cm/s。</w:t>
                  </w:r>
                </w:p>
              </w:tc>
            </w:tr>
            <w:tr w14:paraId="4458E2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tcBorders>
                    <w:tl2br w:val="nil"/>
                    <w:tr2bl w:val="nil"/>
                  </w:tcBorders>
                  <w:vAlign w:val="center"/>
                </w:tcPr>
                <w:p w14:paraId="505A25EF">
                  <w:pPr>
                    <w:spacing w:line="240" w:lineRule="exact"/>
                    <w:jc w:val="center"/>
                    <w:rPr>
                      <w:rFonts w:ascii="Times New Roman" w:hAnsi="Times New Roman" w:cs="Times New Roman"/>
                      <w:color w:val="auto"/>
                      <w:szCs w:val="21"/>
                    </w:rPr>
                  </w:pPr>
                  <w:r>
                    <w:rPr>
                      <w:rFonts w:hint="eastAsia" w:ascii="Times New Roman" w:hAnsi="Times New Roman" w:cs="Times New Roman"/>
                      <w:color w:val="auto"/>
                      <w:szCs w:val="21"/>
                    </w:rPr>
                    <w:t>简单防渗区</w:t>
                  </w:r>
                </w:p>
              </w:tc>
              <w:tc>
                <w:tcPr>
                  <w:tcW w:w="1008" w:type="pct"/>
                  <w:tcBorders>
                    <w:tl2br w:val="nil"/>
                    <w:tr2bl w:val="nil"/>
                  </w:tcBorders>
                  <w:vAlign w:val="center"/>
                </w:tcPr>
                <w:p w14:paraId="0FF76A7E">
                  <w:pPr>
                    <w:spacing w:line="240" w:lineRule="exact"/>
                    <w:jc w:val="center"/>
                    <w:rPr>
                      <w:rFonts w:ascii="Times New Roman" w:hAnsi="Times New Roman" w:cs="Times New Roman"/>
                      <w:color w:val="auto"/>
                      <w:szCs w:val="21"/>
                    </w:rPr>
                  </w:pPr>
                  <w:r>
                    <w:rPr>
                      <w:rFonts w:ascii="Times New Roman" w:hAnsi="Times New Roman" w:cs="Times New Roman"/>
                      <w:color w:val="auto"/>
                      <w:szCs w:val="21"/>
                    </w:rPr>
                    <w:t>①车间内除重点防渗区、一般防渗区以外的区域</w:t>
                  </w:r>
                </w:p>
                <w:p w14:paraId="5C5CEEE6">
                  <w:pPr>
                    <w:spacing w:line="240" w:lineRule="exact"/>
                    <w:jc w:val="center"/>
                    <w:rPr>
                      <w:rFonts w:ascii="Times New Roman" w:hAnsi="Times New Roman" w:cs="Times New Roman"/>
                      <w:color w:val="auto"/>
                      <w:szCs w:val="21"/>
                    </w:rPr>
                  </w:pPr>
                  <w:r>
                    <w:rPr>
                      <w:rFonts w:ascii="Times New Roman" w:hAnsi="Times New Roman" w:cs="Times New Roman"/>
                      <w:color w:val="auto"/>
                      <w:szCs w:val="21"/>
                    </w:rPr>
                    <w:t>②一般固废暂存间</w:t>
                  </w:r>
                </w:p>
                <w:p w14:paraId="6FB3A172">
                  <w:pPr>
                    <w:spacing w:line="240" w:lineRule="exact"/>
                    <w:jc w:val="center"/>
                    <w:rPr>
                      <w:rFonts w:ascii="Times New Roman" w:hAnsi="Times New Roman" w:cs="Times New Roman"/>
                      <w:color w:val="auto"/>
                      <w:szCs w:val="21"/>
                    </w:rPr>
                  </w:pPr>
                  <w:r>
                    <w:rPr>
                      <w:rFonts w:ascii="Times New Roman" w:hAnsi="Times New Roman" w:cs="Times New Roman"/>
                      <w:color w:val="auto"/>
                      <w:szCs w:val="21"/>
                    </w:rPr>
                    <w:t>③车间装卸区</w:t>
                  </w:r>
                </w:p>
              </w:tc>
              <w:tc>
                <w:tcPr>
                  <w:tcW w:w="3159" w:type="pct"/>
                  <w:tcBorders>
                    <w:tl2br w:val="nil"/>
                    <w:tr2bl w:val="nil"/>
                  </w:tcBorders>
                  <w:vAlign w:val="center"/>
                </w:tcPr>
                <w:p w14:paraId="77E79AE0">
                  <w:pPr>
                    <w:spacing w:line="240" w:lineRule="exact"/>
                    <w:jc w:val="center"/>
                    <w:rPr>
                      <w:rFonts w:ascii="Times New Roman" w:hAnsi="Times New Roman" w:cs="Times New Roman"/>
                      <w:color w:val="auto"/>
                      <w:szCs w:val="21"/>
                    </w:rPr>
                  </w:pPr>
                  <w:r>
                    <w:rPr>
                      <w:rFonts w:ascii="Times New Roman" w:hAnsi="Times New Roman" w:cs="Times New Roman"/>
                      <w:color w:val="auto"/>
                      <w:szCs w:val="21"/>
                    </w:rPr>
                    <w:t>一般地面硬化</w:t>
                  </w:r>
                </w:p>
              </w:tc>
            </w:tr>
          </w:tbl>
          <w:p w14:paraId="1744F817">
            <w:pPr>
              <w:adjustRightInd w:val="0"/>
              <w:snapToGrid w:val="0"/>
              <w:spacing w:line="360" w:lineRule="auto"/>
              <w:jc w:val="center"/>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drawing>
                <wp:inline distT="0" distB="0" distL="114300" distR="114300">
                  <wp:extent cx="4945380" cy="3088005"/>
                  <wp:effectExtent l="0" t="0" r="7620" b="5715"/>
                  <wp:docPr id="67" name="图片 67" descr="175004657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750046571676"/>
                          <pic:cNvPicPr>
                            <a:picLocks noChangeAspect="1"/>
                          </pic:cNvPicPr>
                        </pic:nvPicPr>
                        <pic:blipFill>
                          <a:blip r:embed="rId20"/>
                          <a:stretch>
                            <a:fillRect/>
                          </a:stretch>
                        </pic:blipFill>
                        <pic:spPr>
                          <a:xfrm>
                            <a:off x="0" y="0"/>
                            <a:ext cx="4945380" cy="3088005"/>
                          </a:xfrm>
                          <a:prstGeom prst="rect">
                            <a:avLst/>
                          </a:prstGeom>
                        </pic:spPr>
                      </pic:pic>
                    </a:graphicData>
                  </a:graphic>
                </wp:inline>
              </w:drawing>
            </w:r>
          </w:p>
          <w:p w14:paraId="44CBB73F">
            <w:pPr>
              <w:adjustRightInd w:val="0"/>
              <w:snapToGrid w:val="0"/>
              <w:spacing w:line="360" w:lineRule="auto"/>
              <w:jc w:val="center"/>
              <w:rPr>
                <w:rFonts w:hint="default" w:ascii="Times New Roman" w:hAnsi="Times New Roman" w:cs="Times New Roman" w:eastAsiaTheme="minorEastAsia"/>
                <w:b/>
                <w:bCs/>
                <w:color w:val="auto"/>
                <w:szCs w:val="21"/>
                <w:lang w:val="en-US" w:eastAsia="zh-CN"/>
              </w:rPr>
            </w:pPr>
            <w:r>
              <w:rPr>
                <w:rFonts w:hint="eastAsia" w:ascii="Times New Roman" w:hAnsi="Times New Roman" w:cs="Times New Roman"/>
                <w:b/>
                <w:bCs/>
                <w:color w:val="auto"/>
                <w:szCs w:val="21"/>
              </w:rPr>
              <w:t>图4-</w:t>
            </w:r>
            <w:r>
              <w:rPr>
                <w:rFonts w:hint="eastAsia" w:ascii="Times New Roman" w:hAnsi="Times New Roman" w:cs="Times New Roman"/>
                <w:b/>
                <w:bCs/>
                <w:color w:val="auto"/>
                <w:szCs w:val="21"/>
                <w:lang w:val="en-US" w:eastAsia="zh-CN"/>
              </w:rPr>
              <w:t>3</w:t>
            </w:r>
            <w:r>
              <w:rPr>
                <w:rFonts w:hint="eastAsia" w:ascii="Times New Roman" w:hAnsi="Times New Roman" w:cs="Times New Roman"/>
                <w:b/>
                <w:bCs/>
                <w:color w:val="auto"/>
                <w:szCs w:val="21"/>
              </w:rPr>
              <w:t xml:space="preserve">  </w:t>
            </w:r>
            <w:r>
              <w:rPr>
                <w:rFonts w:hint="eastAsia" w:ascii="Times New Roman" w:hAnsi="Times New Roman" w:cs="Times New Roman"/>
                <w:b/>
                <w:bCs/>
                <w:color w:val="auto"/>
                <w:szCs w:val="21"/>
                <w:lang w:val="en-US" w:eastAsia="zh-CN"/>
              </w:rPr>
              <w:t>企业分区防渗图</w:t>
            </w:r>
          </w:p>
          <w:p w14:paraId="48DCBE2C">
            <w:pPr>
              <w:adjustRightInd w:val="0"/>
              <w:snapToGrid w:val="0"/>
              <w:spacing w:line="360" w:lineRule="auto"/>
              <w:ind w:firstLine="480" w:firstLineChars="20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3</w:t>
            </w:r>
            <w:r>
              <w:rPr>
                <w:rFonts w:hint="eastAsia" w:ascii="Times New Roman" w:hAnsi="Times New Roman" w:eastAsia="宋体" w:cs="Times New Roman"/>
                <w:color w:val="auto"/>
                <w:sz w:val="24"/>
              </w:rPr>
              <w:t>）过程防控措施</w:t>
            </w:r>
          </w:p>
          <w:p w14:paraId="016F877E">
            <w:pPr>
              <w:adjustRightInd w:val="0"/>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本项目建设运营期间可能迁移进入地下水、土壤环境的影响主要为大气沉降影响。</w:t>
            </w:r>
          </w:p>
          <w:p w14:paraId="68746533">
            <w:pPr>
              <w:adjustRightInd w:val="0"/>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针对上述迁移方式，本项目过程防控措施为：加强项目废气处理设施的运行维护，确保废气处理设施稳定运行，各类污染物达标排放；加强车间生产管理，确保各工序衔接得当。</w:t>
            </w:r>
          </w:p>
          <w:p w14:paraId="097A6C04">
            <w:pPr>
              <w:adjustRightInd w:val="0"/>
              <w:snapToGrid w:val="0"/>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3</w:t>
            </w:r>
            <w:r>
              <w:rPr>
                <w:rFonts w:hint="eastAsia" w:ascii="Times New Roman" w:hAnsi="Times New Roman" w:eastAsia="宋体" w:cs="Times New Roman"/>
                <w:b/>
                <w:bCs/>
                <w:sz w:val="24"/>
              </w:rPr>
              <w:t xml:space="preserve">、环境影响分析 </w:t>
            </w:r>
          </w:p>
          <w:p w14:paraId="5992EA22">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本项目排放废气主要污染因子为颗粒物、非甲烷总烃等，大气沉降对土壤的影响不大。项目正常工况下，不会发生原料泄漏情况发生，也不会对地下水、土壤环境造成影响。事故工况下，假设地面、管道、包装开裂，污水、原料、危废泄漏等，相关污染物持续进入地下水、土壤中，则随着污染物持续泄漏，污染范围逐渐增大。故企业应做好废气治理措施管理工作，确保废气达标排放；做好地下水、土壤防护工作，环保设施及相关防渗系统应定时进行检修维护，一旦发现污染物泄漏应立即采取应急响应，截断污染源并根据污染情况采取土壤、地下水保护措施。建设单位切实落实好废气达标排放，废水的收集、输送以及原料及危废的贮存工作，做好各类设施及地面的防腐、防渗措施，本项目建设对地下水、土壤环境影响是可接受的。 </w:t>
            </w:r>
          </w:p>
          <w:p w14:paraId="07D84976">
            <w:pPr>
              <w:adjustRightInd w:val="0"/>
              <w:snapToGrid w:val="0"/>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4</w:t>
            </w:r>
            <w:r>
              <w:rPr>
                <w:rFonts w:hint="eastAsia" w:ascii="Times New Roman" w:hAnsi="Times New Roman" w:eastAsia="宋体" w:cs="Times New Roman"/>
                <w:b/>
                <w:bCs/>
                <w:sz w:val="24"/>
              </w:rPr>
              <w:t xml:space="preserve">、环境影响评价小结 </w:t>
            </w:r>
          </w:p>
          <w:p w14:paraId="43538A54">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项目运营期间可能迁移进入地下水、土壤环境的影响主要为大气沉降影响，经采取相关污染源头控制措施和过程防控措施后，项目地下水、土壤环境影响是可接受的。</w:t>
            </w:r>
          </w:p>
          <w:p w14:paraId="2C02D9EE">
            <w:pPr>
              <w:adjustRightInd w:val="0"/>
              <w:snapToGrid w:val="0"/>
              <w:spacing w:line="360" w:lineRule="auto"/>
              <w:ind w:firstLine="482" w:firstLineChars="200"/>
              <w:rPr>
                <w:rFonts w:ascii="Times New Roman" w:hAnsi="Times New Roman" w:cs="Times New Roman"/>
                <w:b/>
                <w:sz w:val="24"/>
              </w:rPr>
            </w:pPr>
            <w:r>
              <w:rPr>
                <w:rFonts w:ascii="Times New Roman" w:hAnsi="Times New Roman" w:cs="Times New Roman"/>
                <w:b/>
                <w:sz w:val="24"/>
              </w:rPr>
              <w:t>七、环境风险分析</w:t>
            </w:r>
          </w:p>
          <w:p w14:paraId="684D892B">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w:t>
            </w:r>
            <w:r>
              <w:rPr>
                <w:rFonts w:hint="eastAsia" w:ascii="Times New Roman" w:hAnsi="Times New Roman" w:eastAsia="宋体" w:cs="Times New Roman"/>
                <w:sz w:val="24"/>
              </w:rPr>
              <w:t>为扩建项目，不涉及《建设项目环境风险评价技术导则》（</w:t>
            </w:r>
            <w:r>
              <w:rPr>
                <w:rFonts w:ascii="Times New Roman" w:hAnsi="Times New Roman" w:eastAsia="宋体" w:cs="Times New Roman"/>
                <w:sz w:val="24"/>
              </w:rPr>
              <w:t>HJ169-2018</w:t>
            </w:r>
            <w:r>
              <w:rPr>
                <w:rFonts w:hint="eastAsia" w:ascii="Times New Roman" w:hAnsi="Times New Roman" w:eastAsia="宋体" w:cs="Times New Roman"/>
                <w:sz w:val="24"/>
              </w:rPr>
              <w:t>）附录</w:t>
            </w:r>
            <w:r>
              <w:rPr>
                <w:rFonts w:ascii="Times New Roman" w:hAnsi="Times New Roman" w:eastAsia="宋体" w:cs="Times New Roman"/>
                <w:sz w:val="24"/>
              </w:rPr>
              <w:t>B</w:t>
            </w:r>
            <w:r>
              <w:rPr>
                <w:rFonts w:hint="eastAsia" w:ascii="Times New Roman" w:hAnsi="Times New Roman" w:eastAsia="宋体" w:cs="Times New Roman"/>
                <w:sz w:val="24"/>
              </w:rPr>
              <w:t>中风险物质。</w:t>
            </w:r>
          </w:p>
          <w:p w14:paraId="5159B465">
            <w:pPr>
              <w:adjustRightInd w:val="0"/>
              <w:snapToGrid w:val="0"/>
              <w:spacing w:line="360" w:lineRule="auto"/>
              <w:ind w:firstLine="482" w:firstLineChars="200"/>
              <w:rPr>
                <w:rFonts w:ascii="Times New Roman" w:hAnsi="Times New Roman" w:eastAsia="宋体" w:cs="Times New Roman"/>
                <w:b/>
                <w:bCs/>
                <w:snapToGrid w:val="0"/>
                <w:kern w:val="0"/>
                <w:sz w:val="24"/>
              </w:rPr>
            </w:pPr>
            <w:r>
              <w:rPr>
                <w:rFonts w:hint="eastAsia" w:ascii="Times New Roman" w:hAnsi="Times New Roman" w:eastAsia="宋体" w:cs="Times New Roman"/>
                <w:b/>
                <w:bCs/>
                <w:snapToGrid w:val="0"/>
                <w:kern w:val="0"/>
                <w:sz w:val="24"/>
              </w:rPr>
              <w:t>八</w:t>
            </w:r>
            <w:r>
              <w:rPr>
                <w:rFonts w:ascii="Times New Roman" w:hAnsi="Times New Roman" w:eastAsia="宋体" w:cs="Times New Roman"/>
                <w:b/>
                <w:bCs/>
                <w:snapToGrid w:val="0"/>
                <w:kern w:val="0"/>
                <w:sz w:val="24"/>
              </w:rPr>
              <w:t>、环保投资</w:t>
            </w:r>
          </w:p>
          <w:p w14:paraId="35E45C10">
            <w:pPr>
              <w:widowControl/>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建设单位必须落实环保资金，切实用于废气治理、噪声治理、固废处理等，本项目总投资为</w:t>
            </w:r>
            <w:r>
              <w:rPr>
                <w:rFonts w:hint="eastAsia" w:ascii="Times New Roman" w:hAnsi="Times New Roman" w:cs="Times New Roman"/>
                <w:sz w:val="24"/>
              </w:rPr>
              <w:t>80</w:t>
            </w:r>
            <w:r>
              <w:rPr>
                <w:rFonts w:ascii="Times New Roman" w:hAnsi="Times New Roman" w:cs="Times New Roman"/>
                <w:sz w:val="24"/>
              </w:rPr>
              <w:t>万元，经估算本项目建设用于环保方面的投资</w:t>
            </w:r>
            <w:r>
              <w:rPr>
                <w:rFonts w:hint="eastAsia" w:ascii="Times New Roman" w:hAnsi="Times New Roman" w:cs="Times New Roman"/>
                <w:sz w:val="24"/>
              </w:rPr>
              <w:t>8.2</w:t>
            </w:r>
            <w:r>
              <w:rPr>
                <w:rFonts w:ascii="Times New Roman" w:hAnsi="Times New Roman" w:cs="Times New Roman"/>
                <w:sz w:val="24"/>
              </w:rPr>
              <w:t>万元，占本项目总投资的</w:t>
            </w:r>
            <w:r>
              <w:rPr>
                <w:rFonts w:hint="eastAsia" w:ascii="Times New Roman" w:hAnsi="Times New Roman" w:cs="Times New Roman"/>
                <w:sz w:val="24"/>
              </w:rPr>
              <w:t>10.25</w:t>
            </w:r>
            <w:r>
              <w:rPr>
                <w:rFonts w:ascii="Times New Roman" w:hAnsi="Times New Roman" w:cs="Times New Roman"/>
                <w:sz w:val="24"/>
              </w:rPr>
              <w:t>%。</w:t>
            </w:r>
          </w:p>
          <w:p w14:paraId="333612AE">
            <w:pPr>
              <w:ind w:firstLine="480" w:firstLineChars="200"/>
              <w:rPr>
                <w:rFonts w:ascii="Times New Roman" w:hAnsi="Times New Roman" w:eastAsia="宋体" w:cs="Times New Roman"/>
                <w:sz w:val="24"/>
              </w:rPr>
            </w:pPr>
            <w:r>
              <w:rPr>
                <w:rFonts w:ascii="Times New Roman" w:hAnsi="Times New Roman" w:eastAsia="宋体" w:cs="Times New Roman"/>
                <w:sz w:val="24"/>
              </w:rPr>
              <w:t>具体见下表。</w:t>
            </w:r>
          </w:p>
          <w:p w14:paraId="742AD36B">
            <w:pPr>
              <w:jc w:val="center"/>
              <w:rPr>
                <w:rFonts w:ascii="Times New Roman" w:hAnsi="Times New Roman" w:eastAsia="宋体" w:cs="Times New Roman"/>
                <w:b/>
                <w:bCs/>
                <w:szCs w:val="21"/>
              </w:rPr>
            </w:pPr>
            <w:r>
              <w:rPr>
                <w:rFonts w:ascii="Times New Roman" w:hAnsi="Times New Roman" w:eastAsia="宋体" w:cs="Times New Roman"/>
                <w:b/>
                <w:bCs/>
                <w:szCs w:val="21"/>
              </w:rPr>
              <w:t>表4-</w:t>
            </w:r>
            <w:r>
              <w:rPr>
                <w:rFonts w:hint="eastAsia" w:ascii="Times New Roman" w:hAnsi="Times New Roman" w:eastAsia="宋体" w:cs="Times New Roman"/>
                <w:b/>
                <w:bCs/>
                <w:szCs w:val="21"/>
              </w:rPr>
              <w:t xml:space="preserve">14    </w:t>
            </w:r>
            <w:r>
              <w:rPr>
                <w:rFonts w:ascii="Times New Roman" w:hAnsi="Times New Roman" w:eastAsia="宋体" w:cs="Times New Roman"/>
                <w:b/>
                <w:bCs/>
                <w:szCs w:val="21"/>
              </w:rPr>
              <w:t>环保投资一览表</w:t>
            </w:r>
          </w:p>
          <w:tbl>
            <w:tblPr>
              <w:tblStyle w:val="26"/>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1956"/>
              <w:gridCol w:w="3582"/>
              <w:gridCol w:w="739"/>
              <w:gridCol w:w="1456"/>
            </w:tblGrid>
            <w:tr w14:paraId="484E48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535" w:type="pct"/>
                  <w:gridSpan w:val="2"/>
                  <w:tcBorders>
                    <w:tl2br w:val="nil"/>
                    <w:tr2bl w:val="nil"/>
                  </w:tcBorders>
                  <w:vAlign w:val="center"/>
                </w:tcPr>
                <w:p w14:paraId="146FFBB7">
                  <w:pPr>
                    <w:jc w:val="center"/>
                    <w:rPr>
                      <w:rFonts w:ascii="Times New Roman" w:hAnsi="Times New Roman" w:eastAsia="宋体" w:cs="Times New Roman"/>
                      <w:bCs/>
                      <w:szCs w:val="21"/>
                    </w:rPr>
                  </w:pPr>
                  <w:r>
                    <w:rPr>
                      <w:rFonts w:ascii="Times New Roman" w:hAnsi="Times New Roman" w:eastAsia="宋体" w:cs="Times New Roman"/>
                      <w:bCs/>
                      <w:szCs w:val="21"/>
                    </w:rPr>
                    <w:t>治理项目</w:t>
                  </w:r>
                </w:p>
              </w:tc>
              <w:tc>
                <w:tcPr>
                  <w:tcW w:w="2148" w:type="pct"/>
                  <w:tcBorders>
                    <w:tl2br w:val="nil"/>
                    <w:tr2bl w:val="nil"/>
                  </w:tcBorders>
                  <w:vAlign w:val="center"/>
                </w:tcPr>
                <w:p w14:paraId="55A8594D">
                  <w:pPr>
                    <w:jc w:val="center"/>
                    <w:rPr>
                      <w:rFonts w:ascii="Times New Roman" w:hAnsi="Times New Roman" w:eastAsia="宋体" w:cs="Times New Roman"/>
                      <w:bCs/>
                      <w:szCs w:val="21"/>
                    </w:rPr>
                  </w:pPr>
                  <w:r>
                    <w:rPr>
                      <w:rFonts w:ascii="Times New Roman" w:hAnsi="Times New Roman" w:eastAsia="宋体" w:cs="Times New Roman"/>
                      <w:bCs/>
                      <w:szCs w:val="21"/>
                    </w:rPr>
                    <w:t>环保设施/措施</w:t>
                  </w:r>
                </w:p>
              </w:tc>
              <w:tc>
                <w:tcPr>
                  <w:tcW w:w="442" w:type="pct"/>
                  <w:tcBorders>
                    <w:tl2br w:val="nil"/>
                    <w:tr2bl w:val="nil"/>
                  </w:tcBorders>
                  <w:vAlign w:val="center"/>
                </w:tcPr>
                <w:p w14:paraId="775C0F8D">
                  <w:pPr>
                    <w:jc w:val="center"/>
                    <w:rPr>
                      <w:rFonts w:ascii="Times New Roman" w:hAnsi="Times New Roman" w:eastAsia="宋体" w:cs="Times New Roman"/>
                      <w:bCs/>
                      <w:szCs w:val="21"/>
                    </w:rPr>
                  </w:pPr>
                  <w:r>
                    <w:rPr>
                      <w:rFonts w:ascii="Times New Roman" w:hAnsi="Times New Roman" w:eastAsia="宋体" w:cs="Times New Roman"/>
                      <w:bCs/>
                      <w:szCs w:val="21"/>
                    </w:rPr>
                    <w:t>数量</w:t>
                  </w:r>
                </w:p>
              </w:tc>
              <w:tc>
                <w:tcPr>
                  <w:tcW w:w="873" w:type="pct"/>
                  <w:tcBorders>
                    <w:tl2br w:val="nil"/>
                    <w:tr2bl w:val="nil"/>
                  </w:tcBorders>
                  <w:vAlign w:val="center"/>
                </w:tcPr>
                <w:p w14:paraId="0BEAB8CA">
                  <w:pPr>
                    <w:jc w:val="center"/>
                    <w:rPr>
                      <w:rFonts w:ascii="Times New Roman" w:hAnsi="Times New Roman" w:eastAsia="宋体" w:cs="Times New Roman"/>
                      <w:bCs/>
                      <w:szCs w:val="21"/>
                    </w:rPr>
                  </w:pPr>
                  <w:r>
                    <w:rPr>
                      <w:rFonts w:ascii="Times New Roman" w:hAnsi="Times New Roman" w:eastAsia="宋体" w:cs="Times New Roman"/>
                      <w:bCs/>
                      <w:szCs w:val="21"/>
                    </w:rPr>
                    <w:t>投资（万元）</w:t>
                  </w:r>
                </w:p>
              </w:tc>
            </w:tr>
            <w:tr w14:paraId="0DB501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62" w:type="pct"/>
                  <w:vMerge w:val="restart"/>
                  <w:tcBorders>
                    <w:tl2br w:val="nil"/>
                    <w:tr2bl w:val="nil"/>
                  </w:tcBorders>
                  <w:vAlign w:val="center"/>
                </w:tcPr>
                <w:p w14:paraId="56D93511">
                  <w:pPr>
                    <w:jc w:val="center"/>
                    <w:rPr>
                      <w:rFonts w:ascii="Times New Roman" w:hAnsi="Times New Roman" w:eastAsia="宋体" w:cs="Times New Roman"/>
                      <w:bCs/>
                      <w:szCs w:val="21"/>
                    </w:rPr>
                  </w:pPr>
                  <w:r>
                    <w:rPr>
                      <w:rFonts w:hint="eastAsia" w:ascii="Times New Roman" w:hAnsi="Times New Roman" w:eastAsia="宋体" w:cs="Times New Roman"/>
                      <w:bCs/>
                      <w:szCs w:val="21"/>
                    </w:rPr>
                    <w:t>废气</w:t>
                  </w:r>
                </w:p>
              </w:tc>
              <w:tc>
                <w:tcPr>
                  <w:tcW w:w="1173" w:type="pct"/>
                  <w:tcBorders>
                    <w:tl2br w:val="nil"/>
                    <w:tr2bl w:val="nil"/>
                  </w:tcBorders>
                  <w:vAlign w:val="center"/>
                </w:tcPr>
                <w:p w14:paraId="67AB9D5A">
                  <w:pPr>
                    <w:widowControl/>
                    <w:wordWrap w:val="0"/>
                    <w:adjustRightInd w:val="0"/>
                    <w:snapToGrid w:val="0"/>
                    <w:jc w:val="center"/>
                    <w:rPr>
                      <w:rFonts w:ascii="Times New Roman" w:hAnsi="Times New Roman" w:eastAsia="宋体" w:cs="Times New Roman"/>
                      <w:bCs/>
                      <w:szCs w:val="21"/>
                    </w:rPr>
                  </w:pPr>
                  <w:r>
                    <w:rPr>
                      <w:rFonts w:hint="eastAsia" w:ascii="Times New Roman" w:hAnsi="Times New Roman" w:cs="Times New Roman"/>
                      <w:kern w:val="0"/>
                      <w:szCs w:val="21"/>
                      <w:lang w:bidi="en-US"/>
                    </w:rPr>
                    <w:t>喷砂工序</w:t>
                  </w:r>
                </w:p>
              </w:tc>
              <w:tc>
                <w:tcPr>
                  <w:tcW w:w="2148" w:type="pct"/>
                  <w:tcBorders>
                    <w:tl2br w:val="nil"/>
                    <w:tr2bl w:val="nil"/>
                  </w:tcBorders>
                  <w:shd w:val="clear" w:color="auto" w:fill="auto"/>
                  <w:vAlign w:val="center"/>
                </w:tcPr>
                <w:p w14:paraId="5C13D9C2">
                  <w:pPr>
                    <w:pStyle w:val="39"/>
                    <w:autoSpaceDE w:val="0"/>
                    <w:autoSpaceDN w:val="0"/>
                    <w:adjustRightInd w:val="0"/>
                    <w:snapToGrid w:val="0"/>
                    <w:jc w:val="center"/>
                    <w:rPr>
                      <w:rFonts w:ascii="Times New Roman" w:hAnsi="Times New Roman" w:cs="Times New Roman" w:eastAsiaTheme="minorEastAsia"/>
                      <w:szCs w:val="21"/>
                      <w:lang w:val="en-US" w:bidi="ar-SA"/>
                    </w:rPr>
                  </w:pPr>
                  <w:r>
                    <w:rPr>
                      <w:rFonts w:hint="eastAsia" w:ascii="Times New Roman" w:hAnsi="Times New Roman" w:cs="Times New Roman" w:eastAsiaTheme="minorEastAsia"/>
                      <w:szCs w:val="21"/>
                      <w:lang w:val="en-US" w:bidi="ar-SA"/>
                    </w:rPr>
                    <w:t>集气罩</w:t>
                  </w:r>
                  <w:r>
                    <w:rPr>
                      <w:rFonts w:ascii="Times New Roman" w:hAnsi="Times New Roman" w:cs="Times New Roman" w:eastAsiaTheme="minorEastAsia"/>
                      <w:szCs w:val="21"/>
                      <w:lang w:val="en-US" w:bidi="ar-SA"/>
                    </w:rPr>
                    <w:t>+布袋除尘器TA00</w:t>
                  </w:r>
                  <w:r>
                    <w:rPr>
                      <w:rFonts w:hint="eastAsia" w:ascii="Times New Roman" w:hAnsi="Times New Roman" w:cs="Times New Roman" w:eastAsiaTheme="minorEastAsia"/>
                      <w:szCs w:val="21"/>
                      <w:lang w:val="en-US" w:bidi="ar-SA"/>
                    </w:rPr>
                    <w:t>2</w:t>
                  </w:r>
                  <w:r>
                    <w:rPr>
                      <w:rFonts w:ascii="Times New Roman" w:hAnsi="Times New Roman" w:cs="Times New Roman" w:eastAsiaTheme="minorEastAsia"/>
                      <w:szCs w:val="21"/>
                      <w:lang w:val="en-US" w:bidi="ar-SA"/>
                    </w:rPr>
                    <w:t>+</w:t>
                  </w:r>
                </w:p>
                <w:p w14:paraId="74C9DE1B">
                  <w:pPr>
                    <w:pStyle w:val="39"/>
                    <w:autoSpaceDE w:val="0"/>
                    <w:autoSpaceDN w:val="0"/>
                    <w:adjustRightInd w:val="0"/>
                    <w:snapToGrid w:val="0"/>
                    <w:jc w:val="center"/>
                    <w:rPr>
                      <w:rFonts w:ascii="Times New Roman" w:hAnsi="Times New Roman" w:eastAsia="宋体" w:cs="Times New Roman"/>
                      <w:bCs/>
                      <w:szCs w:val="21"/>
                      <w:lang w:val="en-US"/>
                    </w:rPr>
                  </w:pPr>
                  <w:r>
                    <w:rPr>
                      <w:rFonts w:ascii="Times New Roman" w:hAnsi="Times New Roman" w:cs="Times New Roman" w:eastAsiaTheme="minorEastAsia"/>
                      <w:szCs w:val="21"/>
                      <w:lang w:val="en-US" w:bidi="ar-SA"/>
                    </w:rPr>
                    <w:t>1根15m高排气筒DA00</w:t>
                  </w:r>
                  <w:r>
                    <w:rPr>
                      <w:rFonts w:hint="eastAsia" w:ascii="Times New Roman" w:hAnsi="Times New Roman" w:cs="Times New Roman" w:eastAsiaTheme="minorEastAsia"/>
                      <w:szCs w:val="21"/>
                      <w:lang w:val="en-US" w:bidi="ar-SA"/>
                    </w:rPr>
                    <w:t>2</w:t>
                  </w:r>
                </w:p>
              </w:tc>
              <w:tc>
                <w:tcPr>
                  <w:tcW w:w="442" w:type="pct"/>
                  <w:tcBorders>
                    <w:tl2br w:val="nil"/>
                    <w:tr2bl w:val="nil"/>
                  </w:tcBorders>
                  <w:shd w:val="clear" w:color="auto" w:fill="auto"/>
                  <w:vAlign w:val="center"/>
                </w:tcPr>
                <w:p w14:paraId="18317AE4">
                  <w:pPr>
                    <w:jc w:val="center"/>
                    <w:rPr>
                      <w:rFonts w:ascii="Times New Roman" w:hAnsi="Times New Roman" w:eastAsia="宋体" w:cs="Times New Roman"/>
                      <w:bCs/>
                      <w:szCs w:val="21"/>
                    </w:rPr>
                  </w:pPr>
                  <w:r>
                    <w:rPr>
                      <w:rFonts w:ascii="Times New Roman" w:hAnsi="Times New Roman" w:eastAsia="宋体" w:cs="Times New Roman"/>
                      <w:bCs/>
                      <w:szCs w:val="21"/>
                    </w:rPr>
                    <w:t>1套</w:t>
                  </w:r>
                </w:p>
              </w:tc>
              <w:tc>
                <w:tcPr>
                  <w:tcW w:w="873" w:type="pct"/>
                  <w:tcBorders>
                    <w:tl2br w:val="nil"/>
                    <w:tr2bl w:val="nil"/>
                  </w:tcBorders>
                  <w:shd w:val="clear" w:color="auto" w:fill="auto"/>
                  <w:vAlign w:val="center"/>
                </w:tcPr>
                <w:p w14:paraId="63FCFDEE">
                  <w:pPr>
                    <w:widowControl/>
                    <w:wordWrap w:val="0"/>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依托在建</w:t>
                  </w:r>
                </w:p>
              </w:tc>
            </w:tr>
            <w:tr w14:paraId="3CFD94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62" w:type="pct"/>
                  <w:vMerge w:val="continue"/>
                  <w:tcBorders>
                    <w:tl2br w:val="nil"/>
                    <w:tr2bl w:val="nil"/>
                  </w:tcBorders>
                  <w:vAlign w:val="center"/>
                </w:tcPr>
                <w:p w14:paraId="7E4D3D19">
                  <w:pPr>
                    <w:jc w:val="center"/>
                    <w:rPr>
                      <w:rFonts w:ascii="Times New Roman" w:hAnsi="Times New Roman" w:eastAsia="宋体" w:cs="Times New Roman"/>
                      <w:bCs/>
                      <w:szCs w:val="21"/>
                    </w:rPr>
                  </w:pPr>
                </w:p>
              </w:tc>
              <w:tc>
                <w:tcPr>
                  <w:tcW w:w="1173" w:type="pct"/>
                  <w:tcBorders>
                    <w:tl2br w:val="nil"/>
                    <w:tr2bl w:val="nil"/>
                  </w:tcBorders>
                  <w:vAlign w:val="center"/>
                </w:tcPr>
                <w:p w14:paraId="26C3F7D3">
                  <w:pPr>
                    <w:widowControl/>
                    <w:wordWrap w:val="0"/>
                    <w:adjustRightInd w:val="0"/>
                    <w:snapToGrid w:val="0"/>
                    <w:jc w:val="center"/>
                    <w:rPr>
                      <w:rFonts w:ascii="Times New Roman" w:hAnsi="Times New Roman" w:cs="Times New Roman"/>
                      <w:kern w:val="0"/>
                      <w:szCs w:val="21"/>
                      <w:lang w:bidi="en-US"/>
                    </w:rPr>
                  </w:pPr>
                  <w:r>
                    <w:rPr>
                      <w:rFonts w:hint="eastAsia" w:ascii="Times New Roman" w:hAnsi="Times New Roman" w:cs="Times New Roman"/>
                      <w:kern w:val="0"/>
                      <w:szCs w:val="21"/>
                      <w:lang w:bidi="en-US"/>
                    </w:rPr>
                    <w:t>喷漆</w:t>
                  </w:r>
                  <w:r>
                    <w:rPr>
                      <w:rFonts w:ascii="Times New Roman" w:hAnsi="Times New Roman" w:cs="Times New Roman"/>
                      <w:kern w:val="0"/>
                      <w:szCs w:val="21"/>
                      <w:lang w:bidi="en-US"/>
                    </w:rPr>
                    <w:t>工序</w:t>
                  </w:r>
                  <w:r>
                    <w:rPr>
                      <w:rFonts w:hint="eastAsia" w:ascii="Times New Roman" w:hAnsi="Times New Roman" w:cs="Times New Roman"/>
                      <w:kern w:val="0"/>
                      <w:szCs w:val="21"/>
                      <w:lang w:bidi="en-US"/>
                    </w:rPr>
                    <w:t>、</w:t>
                  </w:r>
                </w:p>
                <w:p w14:paraId="0CD5ABC7">
                  <w:pPr>
                    <w:widowControl/>
                    <w:wordWrap w:val="0"/>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烘干工序</w:t>
                  </w:r>
                </w:p>
              </w:tc>
              <w:tc>
                <w:tcPr>
                  <w:tcW w:w="2148" w:type="pct"/>
                  <w:tcBorders>
                    <w:tl2br w:val="nil"/>
                    <w:tr2bl w:val="nil"/>
                  </w:tcBorders>
                  <w:shd w:val="clear" w:color="auto" w:fill="auto"/>
                  <w:vAlign w:val="center"/>
                </w:tcPr>
                <w:p w14:paraId="5E01402D">
                  <w:pPr>
                    <w:pStyle w:val="39"/>
                    <w:autoSpaceDE w:val="0"/>
                    <w:autoSpaceDN w:val="0"/>
                    <w:adjustRightInd w:val="0"/>
                    <w:snapToGrid w:val="0"/>
                    <w:jc w:val="center"/>
                    <w:rPr>
                      <w:rFonts w:ascii="Times New Roman" w:hAnsi="Times New Roman" w:cs="Times New Roman" w:eastAsiaTheme="minorEastAsia"/>
                      <w:szCs w:val="21"/>
                      <w:lang w:val="en-US" w:bidi="ar-SA"/>
                    </w:rPr>
                  </w:pPr>
                  <w:r>
                    <w:rPr>
                      <w:rFonts w:hint="eastAsia" w:ascii="Times New Roman" w:hAnsi="Times New Roman" w:cs="Times New Roman" w:eastAsiaTheme="minorEastAsia"/>
                      <w:szCs w:val="21"/>
                      <w:lang w:val="en-US" w:bidi="ar-SA"/>
                    </w:rPr>
                    <w:t>过滤棉+二级</w:t>
                  </w:r>
                  <w:r>
                    <w:rPr>
                      <w:rFonts w:ascii="Times New Roman" w:hAnsi="Times New Roman" w:cs="Times New Roman" w:eastAsiaTheme="minorEastAsia"/>
                      <w:szCs w:val="21"/>
                      <w:lang w:val="en-US" w:bidi="ar-SA"/>
                    </w:rPr>
                    <w:t>活性炭吸附TA00</w:t>
                  </w:r>
                  <w:r>
                    <w:rPr>
                      <w:rFonts w:hint="eastAsia" w:ascii="Times New Roman" w:hAnsi="Times New Roman" w:cs="Times New Roman" w:eastAsiaTheme="minorEastAsia"/>
                      <w:szCs w:val="21"/>
                      <w:lang w:val="en-US" w:bidi="ar-SA"/>
                    </w:rPr>
                    <w:t>4</w:t>
                  </w:r>
                  <w:r>
                    <w:rPr>
                      <w:rFonts w:ascii="Times New Roman" w:hAnsi="Times New Roman" w:cs="Times New Roman" w:eastAsiaTheme="minorEastAsia"/>
                      <w:szCs w:val="21"/>
                      <w:lang w:val="en-US" w:bidi="ar-SA"/>
                    </w:rPr>
                    <w:t>+</w:t>
                  </w:r>
                </w:p>
                <w:p w14:paraId="19A51EA1">
                  <w:pPr>
                    <w:pStyle w:val="39"/>
                    <w:autoSpaceDE w:val="0"/>
                    <w:autoSpaceDN w:val="0"/>
                    <w:adjustRightInd w:val="0"/>
                    <w:snapToGrid w:val="0"/>
                    <w:jc w:val="center"/>
                    <w:rPr>
                      <w:rFonts w:ascii="Times New Roman" w:hAnsi="Times New Roman" w:cs="Times New Roman" w:eastAsiaTheme="minorEastAsia"/>
                      <w:szCs w:val="21"/>
                      <w:lang w:val="en-US" w:bidi="ar-SA"/>
                    </w:rPr>
                  </w:pPr>
                  <w:r>
                    <w:rPr>
                      <w:rFonts w:ascii="Times New Roman" w:hAnsi="Times New Roman" w:cs="Times New Roman" w:eastAsiaTheme="minorEastAsia"/>
                      <w:szCs w:val="21"/>
                      <w:lang w:val="en-US" w:bidi="ar-SA"/>
                    </w:rPr>
                    <w:t>1根15m高排气筒DA003</w:t>
                  </w:r>
                </w:p>
              </w:tc>
              <w:tc>
                <w:tcPr>
                  <w:tcW w:w="442" w:type="pct"/>
                  <w:tcBorders>
                    <w:tl2br w:val="nil"/>
                    <w:tr2bl w:val="nil"/>
                  </w:tcBorders>
                  <w:shd w:val="clear" w:color="auto" w:fill="auto"/>
                  <w:vAlign w:val="center"/>
                </w:tcPr>
                <w:p w14:paraId="2F05568C">
                  <w:pPr>
                    <w:jc w:val="center"/>
                    <w:rPr>
                      <w:rFonts w:ascii="Times New Roman" w:hAnsi="Times New Roman" w:eastAsia="宋体" w:cs="Times New Roman"/>
                      <w:bCs/>
                      <w:szCs w:val="21"/>
                    </w:rPr>
                  </w:pPr>
                  <w:r>
                    <w:rPr>
                      <w:rFonts w:ascii="Times New Roman" w:hAnsi="Times New Roman" w:eastAsia="宋体" w:cs="Times New Roman"/>
                      <w:bCs/>
                      <w:szCs w:val="21"/>
                    </w:rPr>
                    <w:t>1套</w:t>
                  </w:r>
                </w:p>
              </w:tc>
              <w:tc>
                <w:tcPr>
                  <w:tcW w:w="873" w:type="pct"/>
                  <w:tcBorders>
                    <w:tl2br w:val="nil"/>
                    <w:tr2bl w:val="nil"/>
                  </w:tcBorders>
                  <w:shd w:val="clear" w:color="auto" w:fill="auto"/>
                  <w:vAlign w:val="center"/>
                </w:tcPr>
                <w:p w14:paraId="4749DD39">
                  <w:pPr>
                    <w:jc w:val="center"/>
                    <w:rPr>
                      <w:rFonts w:ascii="Times New Roman" w:hAnsi="Times New Roman" w:eastAsia="宋体" w:cs="Times New Roman"/>
                      <w:bCs/>
                      <w:szCs w:val="21"/>
                    </w:rPr>
                  </w:pPr>
                  <w:r>
                    <w:rPr>
                      <w:rFonts w:hint="eastAsia" w:ascii="Times New Roman" w:hAnsi="Times New Roman" w:eastAsia="宋体" w:cs="Times New Roman"/>
                      <w:bCs/>
                      <w:szCs w:val="21"/>
                    </w:rPr>
                    <w:t>8</w:t>
                  </w:r>
                </w:p>
              </w:tc>
            </w:tr>
            <w:tr w14:paraId="6E8BB1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62" w:type="pct"/>
                  <w:tcBorders>
                    <w:tl2br w:val="nil"/>
                    <w:tr2bl w:val="nil"/>
                  </w:tcBorders>
                  <w:vAlign w:val="center"/>
                </w:tcPr>
                <w:p w14:paraId="200B6FD2">
                  <w:pPr>
                    <w:jc w:val="center"/>
                    <w:rPr>
                      <w:rFonts w:ascii="Times New Roman" w:hAnsi="Times New Roman" w:eastAsia="宋体" w:cs="Times New Roman"/>
                      <w:bCs/>
                      <w:szCs w:val="21"/>
                    </w:rPr>
                  </w:pPr>
                  <w:r>
                    <w:rPr>
                      <w:rFonts w:ascii="Times New Roman" w:hAnsi="Times New Roman" w:eastAsia="宋体" w:cs="Times New Roman"/>
                      <w:bCs/>
                      <w:szCs w:val="21"/>
                    </w:rPr>
                    <w:t>废水</w:t>
                  </w:r>
                </w:p>
              </w:tc>
              <w:tc>
                <w:tcPr>
                  <w:tcW w:w="1173" w:type="pct"/>
                  <w:tcBorders>
                    <w:tl2br w:val="nil"/>
                    <w:tr2bl w:val="nil"/>
                  </w:tcBorders>
                  <w:vAlign w:val="center"/>
                </w:tcPr>
                <w:p w14:paraId="50E75E2E">
                  <w:pPr>
                    <w:jc w:val="center"/>
                    <w:rPr>
                      <w:rFonts w:ascii="Times New Roman" w:hAnsi="Times New Roman" w:eastAsia="宋体" w:cs="Times New Roman"/>
                      <w:bCs/>
                      <w:szCs w:val="21"/>
                    </w:rPr>
                  </w:pPr>
                  <w:r>
                    <w:rPr>
                      <w:rFonts w:ascii="Times New Roman" w:hAnsi="Times New Roman" w:eastAsia="宋体" w:cs="Times New Roman"/>
                      <w:bCs/>
                      <w:szCs w:val="21"/>
                    </w:rPr>
                    <w:t>生活污水</w:t>
                  </w:r>
                </w:p>
              </w:tc>
              <w:tc>
                <w:tcPr>
                  <w:tcW w:w="2148" w:type="pct"/>
                  <w:tcBorders>
                    <w:tl2br w:val="nil"/>
                    <w:tr2bl w:val="nil"/>
                  </w:tcBorders>
                  <w:vAlign w:val="center"/>
                </w:tcPr>
                <w:p w14:paraId="15FF2B7A">
                  <w:pPr>
                    <w:snapToGrid w:val="0"/>
                    <w:jc w:val="center"/>
                    <w:rPr>
                      <w:rFonts w:ascii="Times New Roman" w:hAnsi="Times New Roman" w:cs="Times New Roman"/>
                      <w:bCs/>
                      <w:szCs w:val="21"/>
                    </w:rPr>
                  </w:pPr>
                  <w:r>
                    <w:rPr>
                      <w:rFonts w:hint="eastAsia" w:ascii="Times New Roman" w:hAnsi="Times New Roman" w:cs="Times New Roman"/>
                      <w:bCs/>
                      <w:szCs w:val="21"/>
                    </w:rPr>
                    <w:t>依托</w:t>
                  </w:r>
                  <w:r>
                    <w:rPr>
                      <w:rFonts w:hint="eastAsia" w:ascii="Times New Roman" w:hAnsi="Times New Roman" w:cs="Times New Roman"/>
                      <w:szCs w:val="21"/>
                    </w:rPr>
                    <w:t>宝鸡市秦成工贸（集团）有限责任公司</w:t>
                  </w:r>
                  <w:r>
                    <w:rPr>
                      <w:rFonts w:hint="eastAsia" w:ascii="Times New Roman" w:hAnsi="Times New Roman" w:cs="Times New Roman"/>
                      <w:bCs/>
                      <w:szCs w:val="21"/>
                    </w:rPr>
                    <w:t>现有</w:t>
                  </w:r>
                  <w:r>
                    <w:rPr>
                      <w:rFonts w:ascii="Times New Roman" w:hAnsi="Times New Roman" w:cs="Times New Roman"/>
                      <w:bCs/>
                      <w:szCs w:val="21"/>
                    </w:rPr>
                    <w:t>化粪池</w:t>
                  </w:r>
                </w:p>
              </w:tc>
              <w:tc>
                <w:tcPr>
                  <w:tcW w:w="442" w:type="pct"/>
                  <w:tcBorders>
                    <w:tl2br w:val="nil"/>
                    <w:tr2bl w:val="nil"/>
                  </w:tcBorders>
                  <w:vAlign w:val="center"/>
                </w:tcPr>
                <w:p w14:paraId="42DCDDFC">
                  <w:pPr>
                    <w:jc w:val="center"/>
                    <w:rPr>
                      <w:rFonts w:ascii="Times New Roman" w:hAnsi="Times New Roman" w:eastAsia="宋体" w:cs="Times New Roman"/>
                      <w:bCs/>
                      <w:szCs w:val="21"/>
                    </w:rPr>
                  </w:pPr>
                  <w:r>
                    <w:rPr>
                      <w:rFonts w:hint="eastAsia" w:ascii="Times New Roman" w:hAnsi="Times New Roman" w:eastAsia="宋体" w:cs="Times New Roman"/>
                      <w:bCs/>
                      <w:szCs w:val="21"/>
                    </w:rPr>
                    <w:t>1座</w:t>
                  </w:r>
                </w:p>
              </w:tc>
              <w:tc>
                <w:tcPr>
                  <w:tcW w:w="873" w:type="pct"/>
                  <w:tcBorders>
                    <w:tl2br w:val="nil"/>
                    <w:tr2bl w:val="nil"/>
                  </w:tcBorders>
                  <w:vAlign w:val="center"/>
                </w:tcPr>
                <w:p w14:paraId="23EB3B11">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r>
            <w:tr w14:paraId="671A08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362" w:type="pct"/>
                  <w:tcBorders>
                    <w:tl2br w:val="nil"/>
                    <w:tr2bl w:val="nil"/>
                  </w:tcBorders>
                  <w:vAlign w:val="center"/>
                </w:tcPr>
                <w:p w14:paraId="7E7EBD27">
                  <w:pPr>
                    <w:jc w:val="center"/>
                    <w:rPr>
                      <w:rFonts w:ascii="Times New Roman" w:hAnsi="Times New Roman" w:eastAsia="宋体" w:cs="Times New Roman"/>
                      <w:bCs/>
                      <w:szCs w:val="21"/>
                    </w:rPr>
                  </w:pPr>
                  <w:r>
                    <w:rPr>
                      <w:rFonts w:ascii="Times New Roman" w:hAnsi="Times New Roman" w:eastAsia="宋体" w:cs="Times New Roman"/>
                      <w:bCs/>
                      <w:szCs w:val="21"/>
                    </w:rPr>
                    <w:t>噪声</w:t>
                  </w:r>
                </w:p>
              </w:tc>
              <w:tc>
                <w:tcPr>
                  <w:tcW w:w="1173" w:type="pct"/>
                  <w:tcBorders>
                    <w:tl2br w:val="nil"/>
                    <w:tr2bl w:val="nil"/>
                  </w:tcBorders>
                  <w:vAlign w:val="center"/>
                </w:tcPr>
                <w:p w14:paraId="4A08C9E8">
                  <w:pPr>
                    <w:jc w:val="center"/>
                    <w:rPr>
                      <w:rFonts w:ascii="Times New Roman" w:hAnsi="Times New Roman" w:eastAsia="宋体" w:cs="Times New Roman"/>
                      <w:bCs/>
                      <w:szCs w:val="21"/>
                    </w:rPr>
                  </w:pPr>
                  <w:r>
                    <w:rPr>
                      <w:rFonts w:ascii="Times New Roman" w:hAnsi="Times New Roman" w:eastAsia="宋体" w:cs="Times New Roman"/>
                      <w:bCs/>
                      <w:szCs w:val="21"/>
                    </w:rPr>
                    <w:t>设备噪声</w:t>
                  </w:r>
                </w:p>
              </w:tc>
              <w:tc>
                <w:tcPr>
                  <w:tcW w:w="2148" w:type="pct"/>
                  <w:tcBorders>
                    <w:tl2br w:val="nil"/>
                    <w:tr2bl w:val="nil"/>
                  </w:tcBorders>
                  <w:vAlign w:val="center"/>
                </w:tcPr>
                <w:p w14:paraId="541D4CAA">
                  <w:pPr>
                    <w:jc w:val="center"/>
                    <w:rPr>
                      <w:rFonts w:ascii="Times New Roman" w:hAnsi="Times New Roman" w:eastAsia="宋体" w:cs="Times New Roman"/>
                      <w:bCs/>
                      <w:szCs w:val="21"/>
                    </w:rPr>
                  </w:pPr>
                  <w:r>
                    <w:rPr>
                      <w:rFonts w:ascii="Times New Roman" w:hAnsi="Times New Roman" w:eastAsia="宋体" w:cs="Times New Roman"/>
                      <w:bCs/>
                      <w:szCs w:val="21"/>
                    </w:rPr>
                    <w:t>厂房隔声、基础减振，</w:t>
                  </w:r>
                </w:p>
                <w:p w14:paraId="0DC46A39">
                  <w:pPr>
                    <w:jc w:val="center"/>
                    <w:rPr>
                      <w:rFonts w:ascii="Times New Roman" w:hAnsi="Times New Roman" w:eastAsia="宋体" w:cs="Times New Roman"/>
                      <w:bCs/>
                      <w:szCs w:val="21"/>
                    </w:rPr>
                  </w:pPr>
                  <w:r>
                    <w:rPr>
                      <w:rFonts w:ascii="Times New Roman" w:hAnsi="Times New Roman" w:eastAsia="宋体" w:cs="Times New Roman"/>
                      <w:bCs/>
                      <w:szCs w:val="21"/>
                    </w:rPr>
                    <w:t>风机安装隔声罩</w:t>
                  </w:r>
                </w:p>
              </w:tc>
              <w:tc>
                <w:tcPr>
                  <w:tcW w:w="442" w:type="pct"/>
                  <w:tcBorders>
                    <w:tl2br w:val="nil"/>
                    <w:tr2bl w:val="nil"/>
                  </w:tcBorders>
                  <w:vAlign w:val="center"/>
                </w:tcPr>
                <w:p w14:paraId="6E13494B">
                  <w:pPr>
                    <w:jc w:val="center"/>
                    <w:rPr>
                      <w:rFonts w:ascii="Times New Roman" w:hAnsi="Times New Roman" w:eastAsia="宋体" w:cs="Times New Roman"/>
                      <w:bCs/>
                      <w:szCs w:val="21"/>
                    </w:rPr>
                  </w:pPr>
                  <w:r>
                    <w:rPr>
                      <w:rFonts w:ascii="Times New Roman" w:hAnsi="Times New Roman" w:eastAsia="宋体" w:cs="Times New Roman"/>
                      <w:bCs/>
                      <w:szCs w:val="21"/>
                    </w:rPr>
                    <w:t>/</w:t>
                  </w:r>
                </w:p>
              </w:tc>
              <w:tc>
                <w:tcPr>
                  <w:tcW w:w="873" w:type="pct"/>
                  <w:tcBorders>
                    <w:tl2br w:val="nil"/>
                    <w:tr2bl w:val="nil"/>
                  </w:tcBorders>
                  <w:vAlign w:val="center"/>
                </w:tcPr>
                <w:p w14:paraId="5EC55B6B">
                  <w:pPr>
                    <w:jc w:val="center"/>
                    <w:rPr>
                      <w:rFonts w:ascii="Times New Roman" w:hAnsi="Times New Roman" w:eastAsia="宋体" w:cs="Times New Roman"/>
                      <w:bCs/>
                      <w:szCs w:val="21"/>
                    </w:rPr>
                  </w:pPr>
                  <w:r>
                    <w:rPr>
                      <w:rFonts w:hint="eastAsia" w:ascii="Times New Roman" w:hAnsi="Times New Roman" w:eastAsia="宋体" w:cs="Times New Roman"/>
                      <w:bCs/>
                      <w:szCs w:val="21"/>
                    </w:rPr>
                    <w:t>0.2</w:t>
                  </w:r>
                </w:p>
              </w:tc>
            </w:tr>
            <w:tr w14:paraId="5BACA2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62" w:type="pct"/>
                  <w:vMerge w:val="restart"/>
                  <w:tcBorders>
                    <w:tl2br w:val="nil"/>
                    <w:tr2bl w:val="nil"/>
                  </w:tcBorders>
                  <w:vAlign w:val="center"/>
                </w:tcPr>
                <w:p w14:paraId="2413C910">
                  <w:pPr>
                    <w:jc w:val="center"/>
                    <w:rPr>
                      <w:rFonts w:ascii="Times New Roman" w:hAnsi="Times New Roman" w:eastAsia="宋体" w:cs="Times New Roman"/>
                      <w:bCs/>
                      <w:szCs w:val="21"/>
                    </w:rPr>
                  </w:pPr>
                  <w:r>
                    <w:rPr>
                      <w:rFonts w:ascii="Times New Roman" w:hAnsi="Times New Roman" w:eastAsia="宋体" w:cs="Times New Roman"/>
                      <w:bCs/>
                      <w:szCs w:val="21"/>
                    </w:rPr>
                    <w:t>固废</w:t>
                  </w:r>
                </w:p>
              </w:tc>
              <w:tc>
                <w:tcPr>
                  <w:tcW w:w="1173" w:type="pct"/>
                  <w:tcBorders>
                    <w:tl2br w:val="nil"/>
                    <w:tr2bl w:val="nil"/>
                  </w:tcBorders>
                  <w:vAlign w:val="center"/>
                </w:tcPr>
                <w:p w14:paraId="23917C4D">
                  <w:pPr>
                    <w:jc w:val="center"/>
                    <w:rPr>
                      <w:rFonts w:ascii="Times New Roman" w:hAnsi="Times New Roman" w:eastAsia="宋体" w:cs="Times New Roman"/>
                      <w:bCs/>
                      <w:szCs w:val="21"/>
                    </w:rPr>
                  </w:pPr>
                  <w:r>
                    <w:rPr>
                      <w:rFonts w:ascii="Times New Roman" w:hAnsi="Times New Roman" w:eastAsia="宋体" w:cs="Times New Roman"/>
                      <w:bCs/>
                      <w:szCs w:val="21"/>
                    </w:rPr>
                    <w:t>一般固废</w:t>
                  </w:r>
                </w:p>
              </w:tc>
              <w:tc>
                <w:tcPr>
                  <w:tcW w:w="2148" w:type="pct"/>
                  <w:tcBorders>
                    <w:tl2br w:val="nil"/>
                    <w:tr2bl w:val="nil"/>
                  </w:tcBorders>
                  <w:vAlign w:val="center"/>
                </w:tcPr>
                <w:p w14:paraId="6BCF85B0">
                  <w:pPr>
                    <w:jc w:val="center"/>
                    <w:rPr>
                      <w:rFonts w:ascii="Times New Roman" w:hAnsi="Times New Roman" w:eastAsia="宋体" w:cs="Times New Roman"/>
                      <w:bCs/>
                      <w:szCs w:val="21"/>
                    </w:rPr>
                  </w:pPr>
                  <w:r>
                    <w:rPr>
                      <w:rFonts w:ascii="Times New Roman" w:hAnsi="Times New Roman" w:eastAsia="宋体" w:cs="Times New Roman"/>
                      <w:bCs/>
                      <w:szCs w:val="21"/>
                    </w:rPr>
                    <w:t>一般固废暂存间</w:t>
                  </w:r>
                  <w:r>
                    <w:rPr>
                      <w:rFonts w:hint="eastAsia" w:ascii="Times New Roman" w:hAnsi="Times New Roman" w:eastAsia="宋体" w:cs="Times New Roman"/>
                      <w:bCs/>
                      <w:szCs w:val="21"/>
                    </w:rPr>
                    <w:t>1座，</w:t>
                  </w:r>
                </w:p>
                <w:p w14:paraId="3A380D91">
                  <w:pPr>
                    <w:jc w:val="center"/>
                    <w:rPr>
                      <w:rFonts w:ascii="Times New Roman" w:hAnsi="Times New Roman" w:eastAsia="宋体" w:cs="Times New Roman"/>
                      <w:bCs/>
                      <w:szCs w:val="21"/>
                    </w:rPr>
                  </w:pPr>
                  <w:r>
                    <w:rPr>
                      <w:rFonts w:hint="eastAsia" w:ascii="Times New Roman" w:hAnsi="Times New Roman" w:eastAsia="宋体" w:cs="Times New Roman"/>
                      <w:bCs/>
                      <w:szCs w:val="21"/>
                    </w:rPr>
                    <w:t>占地面积3</w:t>
                  </w:r>
                  <w:r>
                    <w:rPr>
                      <w:rFonts w:ascii="Times New Roman" w:hAnsi="Times New Roman" w:eastAsia="宋体" w:cs="Times New Roman"/>
                      <w:bCs/>
                      <w:szCs w:val="21"/>
                    </w:rPr>
                    <w:t>0m</w:t>
                  </w:r>
                  <w:r>
                    <w:rPr>
                      <w:rFonts w:ascii="Times New Roman" w:hAnsi="Times New Roman" w:eastAsia="宋体" w:cs="Times New Roman"/>
                      <w:bCs/>
                      <w:szCs w:val="21"/>
                      <w:vertAlign w:val="superscript"/>
                    </w:rPr>
                    <w:t>2</w:t>
                  </w:r>
                </w:p>
              </w:tc>
              <w:tc>
                <w:tcPr>
                  <w:tcW w:w="442" w:type="pct"/>
                  <w:tcBorders>
                    <w:tl2br w:val="nil"/>
                    <w:tr2bl w:val="nil"/>
                  </w:tcBorders>
                  <w:vAlign w:val="center"/>
                </w:tcPr>
                <w:p w14:paraId="6612BB1C">
                  <w:pPr>
                    <w:jc w:val="center"/>
                    <w:rPr>
                      <w:rFonts w:ascii="Times New Roman" w:hAnsi="Times New Roman" w:eastAsia="宋体" w:cs="Times New Roman"/>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座</w:t>
                  </w:r>
                </w:p>
              </w:tc>
              <w:tc>
                <w:tcPr>
                  <w:tcW w:w="873" w:type="pct"/>
                  <w:tcBorders>
                    <w:tl2br w:val="nil"/>
                    <w:tr2bl w:val="nil"/>
                  </w:tcBorders>
                  <w:vAlign w:val="center"/>
                </w:tcPr>
                <w:p w14:paraId="1D282639">
                  <w:pPr>
                    <w:jc w:val="center"/>
                    <w:rPr>
                      <w:rFonts w:ascii="Times New Roman" w:hAnsi="Times New Roman" w:eastAsia="宋体" w:cs="Times New Roman"/>
                      <w:bCs/>
                      <w:szCs w:val="21"/>
                    </w:rPr>
                  </w:pPr>
                  <w:r>
                    <w:rPr>
                      <w:rFonts w:hint="eastAsia" w:ascii="Times New Roman" w:hAnsi="Times New Roman" w:eastAsia="宋体" w:cs="Times New Roman"/>
                      <w:bCs/>
                      <w:szCs w:val="21"/>
                    </w:rPr>
                    <w:t>依托在建</w:t>
                  </w:r>
                </w:p>
              </w:tc>
            </w:tr>
            <w:tr w14:paraId="306045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62" w:type="pct"/>
                  <w:vMerge w:val="continue"/>
                  <w:tcBorders>
                    <w:tl2br w:val="nil"/>
                    <w:tr2bl w:val="nil"/>
                  </w:tcBorders>
                  <w:vAlign w:val="center"/>
                </w:tcPr>
                <w:p w14:paraId="6B56F689">
                  <w:pPr>
                    <w:jc w:val="center"/>
                    <w:rPr>
                      <w:rFonts w:ascii="Times New Roman" w:hAnsi="Times New Roman" w:eastAsia="宋体" w:cs="Times New Roman"/>
                      <w:bCs/>
                      <w:szCs w:val="21"/>
                    </w:rPr>
                  </w:pPr>
                </w:p>
              </w:tc>
              <w:tc>
                <w:tcPr>
                  <w:tcW w:w="1173" w:type="pct"/>
                  <w:tcBorders>
                    <w:tl2br w:val="nil"/>
                    <w:tr2bl w:val="nil"/>
                  </w:tcBorders>
                  <w:vAlign w:val="center"/>
                </w:tcPr>
                <w:p w14:paraId="7CF89797">
                  <w:pPr>
                    <w:jc w:val="center"/>
                    <w:rPr>
                      <w:rFonts w:ascii="Times New Roman" w:hAnsi="Times New Roman" w:eastAsia="宋体" w:cs="Times New Roman"/>
                      <w:bCs/>
                      <w:szCs w:val="21"/>
                    </w:rPr>
                  </w:pPr>
                  <w:r>
                    <w:rPr>
                      <w:rFonts w:ascii="Times New Roman" w:hAnsi="Times New Roman" w:eastAsia="宋体" w:cs="Times New Roman"/>
                      <w:bCs/>
                      <w:szCs w:val="21"/>
                    </w:rPr>
                    <w:t>危险废物</w:t>
                  </w:r>
                </w:p>
              </w:tc>
              <w:tc>
                <w:tcPr>
                  <w:tcW w:w="2148" w:type="pct"/>
                  <w:tcBorders>
                    <w:tl2br w:val="nil"/>
                    <w:tr2bl w:val="nil"/>
                  </w:tcBorders>
                  <w:vAlign w:val="center"/>
                </w:tcPr>
                <w:p w14:paraId="6D4CFEA6">
                  <w:pPr>
                    <w:jc w:val="center"/>
                    <w:rPr>
                      <w:rFonts w:ascii="Times New Roman" w:hAnsi="Times New Roman" w:eastAsia="宋体" w:cs="Times New Roman"/>
                      <w:bCs/>
                      <w:szCs w:val="21"/>
                    </w:rPr>
                  </w:pPr>
                  <w:r>
                    <w:rPr>
                      <w:rFonts w:ascii="Times New Roman" w:hAnsi="Times New Roman" w:eastAsia="宋体" w:cs="Times New Roman"/>
                      <w:bCs/>
                      <w:szCs w:val="21"/>
                    </w:rPr>
                    <w:t>危废贮存库</w:t>
                  </w:r>
                  <w:r>
                    <w:rPr>
                      <w:rFonts w:hint="eastAsia" w:ascii="Times New Roman" w:hAnsi="Times New Roman" w:eastAsia="宋体" w:cs="Times New Roman"/>
                      <w:bCs/>
                      <w:szCs w:val="21"/>
                    </w:rPr>
                    <w:t>1座，占地面积1</w:t>
                  </w:r>
                  <w:r>
                    <w:rPr>
                      <w:rFonts w:ascii="Times New Roman" w:hAnsi="Times New Roman" w:eastAsia="宋体" w:cs="Times New Roman"/>
                      <w:bCs/>
                      <w:szCs w:val="21"/>
                    </w:rPr>
                    <w:t>0m</w:t>
                  </w:r>
                  <w:r>
                    <w:rPr>
                      <w:rFonts w:ascii="Times New Roman" w:hAnsi="Times New Roman" w:eastAsia="宋体" w:cs="Times New Roman"/>
                      <w:bCs/>
                      <w:szCs w:val="21"/>
                      <w:vertAlign w:val="superscript"/>
                    </w:rPr>
                    <w:t>2</w:t>
                  </w:r>
                </w:p>
              </w:tc>
              <w:tc>
                <w:tcPr>
                  <w:tcW w:w="442" w:type="pct"/>
                  <w:tcBorders>
                    <w:tl2br w:val="nil"/>
                    <w:tr2bl w:val="nil"/>
                  </w:tcBorders>
                  <w:vAlign w:val="center"/>
                </w:tcPr>
                <w:p w14:paraId="72DBCBD7">
                  <w:pPr>
                    <w:pStyle w:val="25"/>
                    <w:ind w:firstLine="0" w:firstLineChars="0"/>
                    <w:jc w:val="center"/>
                    <w:rPr>
                      <w:rFonts w:ascii="Times New Roman" w:hAnsi="Times New Roman" w:cs="Times New Roman"/>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座</w:t>
                  </w:r>
                </w:p>
              </w:tc>
              <w:tc>
                <w:tcPr>
                  <w:tcW w:w="873" w:type="pct"/>
                  <w:tcBorders>
                    <w:tl2br w:val="nil"/>
                    <w:tr2bl w:val="nil"/>
                  </w:tcBorders>
                  <w:vAlign w:val="center"/>
                </w:tcPr>
                <w:p w14:paraId="7EF9AB3F">
                  <w:pPr>
                    <w:jc w:val="center"/>
                    <w:rPr>
                      <w:rFonts w:ascii="Times New Roman" w:hAnsi="Times New Roman" w:eastAsia="宋体" w:cs="Times New Roman"/>
                      <w:bCs/>
                      <w:szCs w:val="21"/>
                    </w:rPr>
                  </w:pPr>
                  <w:r>
                    <w:rPr>
                      <w:rFonts w:hint="eastAsia" w:ascii="Times New Roman" w:hAnsi="Times New Roman" w:eastAsia="宋体" w:cs="Times New Roman"/>
                      <w:bCs/>
                      <w:szCs w:val="21"/>
                    </w:rPr>
                    <w:t>依托在建</w:t>
                  </w:r>
                </w:p>
              </w:tc>
            </w:tr>
            <w:tr w14:paraId="41047D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62" w:type="pct"/>
                  <w:tcBorders>
                    <w:tl2br w:val="nil"/>
                    <w:tr2bl w:val="nil"/>
                  </w:tcBorders>
                  <w:vAlign w:val="center"/>
                </w:tcPr>
                <w:p w14:paraId="1982E617">
                  <w:pPr>
                    <w:jc w:val="center"/>
                    <w:rPr>
                      <w:rFonts w:ascii="Times New Roman" w:hAnsi="Times New Roman" w:eastAsia="宋体" w:cs="Times New Roman"/>
                      <w:bCs/>
                      <w:szCs w:val="21"/>
                    </w:rPr>
                  </w:pPr>
                  <w:r>
                    <w:rPr>
                      <w:rFonts w:hint="eastAsia" w:ascii="Times New Roman" w:hAnsi="Times New Roman" w:eastAsia="宋体" w:cs="Times New Roman"/>
                      <w:bCs/>
                      <w:szCs w:val="21"/>
                    </w:rPr>
                    <w:t>其他</w:t>
                  </w:r>
                </w:p>
              </w:tc>
              <w:tc>
                <w:tcPr>
                  <w:tcW w:w="1173" w:type="pct"/>
                  <w:tcBorders>
                    <w:tl2br w:val="nil"/>
                    <w:tr2bl w:val="nil"/>
                  </w:tcBorders>
                  <w:vAlign w:val="center"/>
                </w:tcPr>
                <w:p w14:paraId="3A05E83D">
                  <w:pPr>
                    <w:jc w:val="center"/>
                    <w:rPr>
                      <w:rFonts w:ascii="Times New Roman" w:hAnsi="Times New Roman" w:eastAsia="宋体" w:cs="Times New Roman"/>
                      <w:bCs/>
                      <w:szCs w:val="21"/>
                    </w:rPr>
                  </w:pPr>
                  <w:r>
                    <w:rPr>
                      <w:rFonts w:hint="eastAsia" w:ascii="Times New Roman" w:hAnsi="Times New Roman" w:eastAsia="宋体" w:cs="Times New Roman"/>
                      <w:bCs/>
                      <w:szCs w:val="21"/>
                    </w:rPr>
                    <w:t>重点防渗</w:t>
                  </w:r>
                </w:p>
              </w:tc>
              <w:tc>
                <w:tcPr>
                  <w:tcW w:w="2148" w:type="pct"/>
                  <w:tcBorders>
                    <w:tl2br w:val="nil"/>
                    <w:tr2bl w:val="nil"/>
                  </w:tcBorders>
                  <w:vAlign w:val="center"/>
                </w:tcPr>
                <w:p w14:paraId="625FAD11">
                  <w:pPr>
                    <w:jc w:val="center"/>
                    <w:rPr>
                      <w:rFonts w:ascii="Times New Roman" w:hAnsi="Times New Roman" w:eastAsia="宋体" w:cs="Times New Roman"/>
                      <w:bCs/>
                      <w:szCs w:val="21"/>
                    </w:rPr>
                  </w:pPr>
                  <w:r>
                    <w:rPr>
                      <w:rFonts w:ascii="Times New Roman" w:hAnsi="Times New Roman" w:cs="Times New Roman"/>
                      <w:szCs w:val="21"/>
                    </w:rPr>
                    <w:t>危废贮存库、原辅料存放区</w:t>
                  </w:r>
                  <w:r>
                    <w:rPr>
                      <w:rFonts w:hint="eastAsia" w:ascii="Times New Roman" w:hAnsi="Times New Roman" w:cs="Times New Roman"/>
                      <w:szCs w:val="21"/>
                    </w:rPr>
                    <w:t>等采取重点防渗，</w:t>
                  </w:r>
                  <w:r>
                    <w:rPr>
                      <w:rFonts w:ascii="Times New Roman" w:hAnsi="Times New Roman" w:eastAsia="宋体" w:cs="Times New Roman"/>
                      <w:szCs w:val="21"/>
                    </w:rPr>
                    <w:t xml:space="preserve">等效黏土防渗层 Mb≧6.0mK≦1×10 </w:t>
                  </w:r>
                  <w:r>
                    <w:rPr>
                      <w:rFonts w:ascii="Times New Roman" w:hAnsi="Times New Roman" w:eastAsia="宋体" w:cs="Times New Roman"/>
                      <w:szCs w:val="21"/>
                      <w:vertAlign w:val="superscript"/>
                    </w:rPr>
                    <w:t>-7</w:t>
                  </w:r>
                  <w:r>
                    <w:rPr>
                      <w:rFonts w:ascii="Times New Roman" w:hAnsi="Times New Roman" w:eastAsia="宋体" w:cs="Times New Roman"/>
                      <w:szCs w:val="21"/>
                    </w:rPr>
                    <w:t xml:space="preserve"> cm/s；</w:t>
                  </w:r>
                </w:p>
              </w:tc>
              <w:tc>
                <w:tcPr>
                  <w:tcW w:w="442" w:type="pct"/>
                  <w:tcBorders>
                    <w:tl2br w:val="nil"/>
                    <w:tr2bl w:val="nil"/>
                  </w:tcBorders>
                  <w:vAlign w:val="center"/>
                </w:tcPr>
                <w:p w14:paraId="3F4082DA">
                  <w:pPr>
                    <w:pStyle w:val="25"/>
                    <w:ind w:firstLine="0" w:firstLineChars="0"/>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c>
                <w:tcPr>
                  <w:tcW w:w="873" w:type="pct"/>
                  <w:tcBorders>
                    <w:tl2br w:val="nil"/>
                    <w:tr2bl w:val="nil"/>
                  </w:tcBorders>
                  <w:vAlign w:val="center"/>
                </w:tcPr>
                <w:p w14:paraId="7667D11D">
                  <w:pPr>
                    <w:jc w:val="center"/>
                    <w:rPr>
                      <w:rFonts w:ascii="Times New Roman" w:hAnsi="Times New Roman" w:eastAsia="宋体" w:cs="Times New Roman"/>
                      <w:bCs/>
                      <w:szCs w:val="21"/>
                    </w:rPr>
                  </w:pPr>
                  <w:r>
                    <w:rPr>
                      <w:rFonts w:hint="eastAsia" w:ascii="Times New Roman" w:hAnsi="Times New Roman" w:eastAsia="宋体" w:cs="Times New Roman"/>
                      <w:bCs/>
                      <w:szCs w:val="21"/>
                    </w:rPr>
                    <w:t>依托在建</w:t>
                  </w:r>
                </w:p>
              </w:tc>
            </w:tr>
            <w:tr w14:paraId="67F4C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26" w:type="pct"/>
                  <w:gridSpan w:val="4"/>
                  <w:tcBorders>
                    <w:tl2br w:val="nil"/>
                    <w:tr2bl w:val="nil"/>
                  </w:tcBorders>
                  <w:vAlign w:val="center"/>
                </w:tcPr>
                <w:p w14:paraId="37BBA143">
                  <w:pPr>
                    <w:jc w:val="center"/>
                    <w:rPr>
                      <w:rFonts w:ascii="Times New Roman" w:hAnsi="Times New Roman" w:eastAsia="宋体" w:cs="Times New Roman"/>
                      <w:bCs/>
                      <w:szCs w:val="21"/>
                    </w:rPr>
                  </w:pPr>
                  <w:r>
                    <w:rPr>
                      <w:rFonts w:ascii="Times New Roman" w:hAnsi="Times New Roman" w:eastAsia="宋体" w:cs="Times New Roman"/>
                      <w:bCs/>
                      <w:szCs w:val="21"/>
                    </w:rPr>
                    <w:t>合计</w:t>
                  </w:r>
                </w:p>
              </w:tc>
              <w:tc>
                <w:tcPr>
                  <w:tcW w:w="873" w:type="pct"/>
                  <w:tcBorders>
                    <w:tl2br w:val="nil"/>
                    <w:tr2bl w:val="nil"/>
                  </w:tcBorders>
                  <w:vAlign w:val="center"/>
                </w:tcPr>
                <w:p w14:paraId="50B992DD">
                  <w:pPr>
                    <w:jc w:val="center"/>
                    <w:rPr>
                      <w:rFonts w:ascii="Times New Roman" w:hAnsi="Times New Roman" w:eastAsia="宋体" w:cs="Times New Roman"/>
                      <w:bCs/>
                      <w:szCs w:val="21"/>
                    </w:rPr>
                  </w:pPr>
                  <w:r>
                    <w:rPr>
                      <w:rFonts w:hint="eastAsia" w:ascii="Times New Roman" w:hAnsi="Times New Roman" w:eastAsia="宋体" w:cs="Times New Roman"/>
                      <w:bCs/>
                      <w:szCs w:val="21"/>
                    </w:rPr>
                    <w:t>8.2</w:t>
                  </w:r>
                </w:p>
              </w:tc>
            </w:tr>
          </w:tbl>
          <w:p w14:paraId="05B29345">
            <w:pPr>
              <w:pStyle w:val="2"/>
              <w:ind w:left="0" w:leftChars="0" w:firstLine="0" w:firstLineChars="0"/>
              <w:rPr>
                <w:rFonts w:ascii="Times New Roman" w:hAnsi="Times New Roman" w:cs="Times New Roman"/>
              </w:rPr>
            </w:pPr>
          </w:p>
          <w:p w14:paraId="51BA2D7B">
            <w:pPr>
              <w:rPr>
                <w:rFonts w:ascii="Times New Roman" w:hAnsi="Times New Roman" w:cs="Times New Roman"/>
              </w:rPr>
            </w:pPr>
          </w:p>
          <w:p w14:paraId="0A47A383">
            <w:pPr>
              <w:pStyle w:val="5"/>
            </w:pPr>
          </w:p>
        </w:tc>
      </w:tr>
    </w:tbl>
    <w:p w14:paraId="6DF77F5C">
      <w:pPr>
        <w:spacing w:line="360" w:lineRule="auto"/>
        <w:rPr>
          <w:rFonts w:ascii="Times New Roman" w:hAnsi="Times New Roman" w:eastAsia="宋体" w:cs="Times New Roman"/>
          <w:b/>
          <w:sz w:val="28"/>
          <w:szCs w:val="28"/>
          <w:lang w:bidi="ar"/>
        </w:rPr>
        <w:sectPr>
          <w:pgSz w:w="11915" w:h="16840"/>
          <w:pgMar w:top="1417" w:right="1417" w:bottom="1417" w:left="1417" w:header="1701" w:footer="850" w:gutter="0"/>
          <w:cols w:space="425" w:num="1"/>
          <w:docGrid w:type="lines" w:linePitch="312" w:charSpace="0"/>
        </w:sectPr>
      </w:pPr>
    </w:p>
    <w:p w14:paraId="0DA2C745">
      <w:pPr>
        <w:pStyle w:val="21"/>
        <w:adjustRightInd w:val="0"/>
        <w:snapToGrid w:val="0"/>
        <w:spacing w:beforeAutospacing="0"/>
        <w:jc w:val="center"/>
        <w:outlineLvl w:val="0"/>
        <w:rPr>
          <w:rFonts w:hint="default" w:ascii="Times New Roman" w:hAnsi="Times New Roman" w:eastAsia="黑体"/>
          <w:sz w:val="30"/>
          <w:szCs w:val="30"/>
        </w:rPr>
      </w:pPr>
      <w:r>
        <w:rPr>
          <w:rFonts w:hint="default" w:ascii="Times New Roman" w:hAnsi="Times New Roman" w:eastAsia="黑体"/>
          <w:snapToGrid w:val="0"/>
          <w:sz w:val="30"/>
          <w:szCs w:val="30"/>
        </w:rPr>
        <w:t>五、环境保护措施监督检查清单</w:t>
      </w:r>
    </w:p>
    <w:tbl>
      <w:tblPr>
        <w:tblStyle w:val="26"/>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814"/>
        <w:gridCol w:w="1582"/>
        <w:gridCol w:w="1352"/>
        <w:gridCol w:w="2157"/>
        <w:gridCol w:w="2376"/>
      </w:tblGrid>
      <w:tr w14:paraId="3AABED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7" w:type="pct"/>
            <w:tcBorders>
              <w:tl2br w:val="nil"/>
              <w:tr2bl w:val="nil"/>
            </w:tcBorders>
            <w:shd w:val="clear" w:color="auto" w:fill="auto"/>
          </w:tcPr>
          <w:p w14:paraId="5CD2A05D">
            <w:pPr>
              <w:adjustRightInd w:val="0"/>
              <w:snapToGrid w:val="0"/>
              <w:ind w:firstLine="840"/>
              <w:rPr>
                <w:rFonts w:ascii="Times New Roman" w:hAnsi="Times New Roman" w:eastAsia="宋体" w:cs="Times New Roman"/>
                <w:szCs w:val="21"/>
              </w:rPr>
            </w:pPr>
            <w:r>
              <w:rPr>
                <w:rFonts w:ascii="Times New Roman" w:hAnsi="Times New Roman" w:cs="Times New Roman"/>
                <w:szCs w:val="21"/>
              </w:rPr>
              <mc:AlternateContent>
                <mc:Choice Requires="wps">
                  <w:drawing>
                    <wp:anchor distT="0" distB="0" distL="114300" distR="114300" simplePos="0" relativeHeight="251662336" behindDoc="0" locked="0" layoutInCell="1" allowOverlap="1">
                      <wp:simplePos x="0" y="0"/>
                      <wp:positionH relativeFrom="column">
                        <wp:posOffset>-64135</wp:posOffset>
                      </wp:positionH>
                      <wp:positionV relativeFrom="paragraph">
                        <wp:posOffset>13335</wp:posOffset>
                      </wp:positionV>
                      <wp:extent cx="1132205" cy="338455"/>
                      <wp:effectExtent l="1905" t="6350" r="8890" b="10795"/>
                      <wp:wrapNone/>
                      <wp:docPr id="40" name="直接连接符 40"/>
                      <wp:cNvGraphicFramePr/>
                      <a:graphic xmlns:a="http://schemas.openxmlformats.org/drawingml/2006/main">
                        <a:graphicData uri="http://schemas.microsoft.com/office/word/2010/wordprocessingShape">
                          <wps:wsp>
                            <wps:cNvCnPr/>
                            <wps:spPr>
                              <a:xfrm>
                                <a:off x="981710" y="1828800"/>
                                <a:ext cx="1132205" cy="338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05pt;margin-top:1.05pt;height:26.65pt;width:89.15pt;z-index:251662336;mso-width-relative:page;mso-height-relative:page;" filled="f" stroked="t" coordsize="21600,21600" o:gfxdata="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rqtXDXAAAACAEAAA8AAAAAAAAAAQAgAAAAIgAAAGRycy9kb3ducmV2LnhtbFBL&#10;AQIUABQAAAAIAIdO4kARXdfh9wEAAMMDAAAOAAAAAAAAAAEAIAAAACYBAABkcnMvZTJvRG9jLnht&#10;bFBLBQYAAAAABgAGAFkBAACPBQAAAAA=&#10;">
                      <v:fill on="f" focussize="0,0"/>
                      <v:stroke weight="0.5pt" color="#000000 [3213]" miterlimit="8" joinstyle="miter"/>
                      <v:imagedata o:title=""/>
                      <o:lock v:ext="edit" aspectratio="f"/>
                    </v:line>
                  </w:pict>
                </mc:Fallback>
              </mc:AlternateContent>
            </w:r>
            <w:r>
              <w:rPr>
                <w:rFonts w:ascii="Times New Roman" w:hAnsi="Times New Roman" w:eastAsia="宋体" w:cs="Times New Roman"/>
                <w:szCs w:val="21"/>
                <w:lang w:bidi="ar"/>
              </w:rPr>
              <w:t>内容</w:t>
            </w:r>
          </w:p>
          <w:p w14:paraId="4AF129E5">
            <w:pPr>
              <w:adjustRightInd w:val="0"/>
              <w:snapToGrid w:val="0"/>
              <w:rPr>
                <w:rFonts w:ascii="Times New Roman" w:hAnsi="Times New Roman" w:eastAsia="宋体" w:cs="Times New Roman"/>
                <w:szCs w:val="21"/>
              </w:rPr>
            </w:pPr>
            <w:r>
              <w:rPr>
                <w:rFonts w:ascii="Times New Roman" w:hAnsi="Times New Roman" w:eastAsia="宋体" w:cs="Times New Roman"/>
                <w:szCs w:val="21"/>
                <w:lang w:bidi="ar"/>
              </w:rPr>
              <w:t>要素</w:t>
            </w:r>
          </w:p>
        </w:tc>
        <w:tc>
          <w:tcPr>
            <w:tcW w:w="852" w:type="pct"/>
            <w:tcBorders>
              <w:tl2br w:val="nil"/>
              <w:tr2bl w:val="nil"/>
            </w:tcBorders>
            <w:shd w:val="clear" w:color="auto" w:fill="auto"/>
            <w:vAlign w:val="center"/>
          </w:tcPr>
          <w:p w14:paraId="140E2397">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排放口（编号、</w:t>
            </w:r>
          </w:p>
          <w:p w14:paraId="0A4667A8">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名称）/污染源</w:t>
            </w:r>
          </w:p>
        </w:tc>
        <w:tc>
          <w:tcPr>
            <w:tcW w:w="728" w:type="pct"/>
            <w:tcBorders>
              <w:tl2br w:val="nil"/>
              <w:tr2bl w:val="nil"/>
            </w:tcBorders>
            <w:shd w:val="clear" w:color="auto" w:fill="auto"/>
            <w:vAlign w:val="center"/>
          </w:tcPr>
          <w:p w14:paraId="69894EFB">
            <w:pPr>
              <w:adjustRightInd w:val="0"/>
              <w:snapToGrid w:val="0"/>
              <w:jc w:val="center"/>
              <w:rPr>
                <w:rFonts w:ascii="Times New Roman" w:hAnsi="Times New Roman" w:eastAsia="宋体" w:cs="Times New Roman"/>
                <w:szCs w:val="21"/>
                <w:lang w:bidi="ar"/>
              </w:rPr>
            </w:pPr>
            <w:r>
              <w:rPr>
                <w:rFonts w:ascii="Times New Roman" w:hAnsi="Times New Roman" w:eastAsia="宋体" w:cs="Times New Roman"/>
                <w:szCs w:val="21"/>
                <w:lang w:bidi="ar"/>
              </w:rPr>
              <w:t>污染物</w:t>
            </w:r>
          </w:p>
          <w:p w14:paraId="4A9C1BAE">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项目</w:t>
            </w:r>
          </w:p>
        </w:tc>
        <w:tc>
          <w:tcPr>
            <w:tcW w:w="1162" w:type="pct"/>
            <w:tcBorders>
              <w:tl2br w:val="nil"/>
              <w:tr2bl w:val="nil"/>
            </w:tcBorders>
            <w:shd w:val="clear" w:color="auto" w:fill="auto"/>
            <w:vAlign w:val="center"/>
          </w:tcPr>
          <w:p w14:paraId="1EB1B153">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环境保护措施</w:t>
            </w:r>
          </w:p>
        </w:tc>
        <w:tc>
          <w:tcPr>
            <w:tcW w:w="1280" w:type="pct"/>
            <w:tcBorders>
              <w:tl2br w:val="nil"/>
              <w:tr2bl w:val="nil"/>
            </w:tcBorders>
            <w:shd w:val="clear" w:color="auto" w:fill="auto"/>
            <w:vAlign w:val="center"/>
          </w:tcPr>
          <w:p w14:paraId="64D25779">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执行标准</w:t>
            </w:r>
          </w:p>
        </w:tc>
      </w:tr>
      <w:tr w14:paraId="2F1C13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7" w:type="pct"/>
            <w:vMerge w:val="restart"/>
            <w:tcBorders>
              <w:tl2br w:val="nil"/>
              <w:tr2bl w:val="nil"/>
            </w:tcBorders>
            <w:shd w:val="clear" w:color="auto" w:fill="auto"/>
            <w:vAlign w:val="center"/>
          </w:tcPr>
          <w:p w14:paraId="1994DDC4">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大气环境</w:t>
            </w:r>
          </w:p>
        </w:tc>
        <w:tc>
          <w:tcPr>
            <w:tcW w:w="852" w:type="pct"/>
            <w:tcBorders>
              <w:tl2br w:val="nil"/>
              <w:tr2bl w:val="nil"/>
            </w:tcBorders>
            <w:shd w:val="clear" w:color="auto" w:fill="auto"/>
            <w:vAlign w:val="center"/>
          </w:tcPr>
          <w:p w14:paraId="3D0A0639">
            <w:pPr>
              <w:pStyle w:val="2"/>
              <w:ind w:left="0" w:leftChars="0" w:firstLine="0" w:firstLineChars="0"/>
              <w:jc w:val="center"/>
              <w:rPr>
                <w:szCs w:val="21"/>
              </w:rPr>
            </w:pPr>
            <w:commentRangeStart w:id="54"/>
            <w:commentRangeStart w:id="55"/>
            <w:r>
              <w:rPr>
                <w:rFonts w:hint="eastAsia" w:ascii="Times New Roman" w:hAnsi="Times New Roman" w:cs="Times New Roman"/>
                <w:kern w:val="0"/>
                <w:szCs w:val="21"/>
                <w:lang w:bidi="en-US"/>
              </w:rPr>
              <w:t>喷砂工序</w:t>
            </w:r>
          </w:p>
        </w:tc>
        <w:tc>
          <w:tcPr>
            <w:tcW w:w="728" w:type="pct"/>
            <w:tcBorders>
              <w:tl2br w:val="nil"/>
              <w:tr2bl w:val="nil"/>
            </w:tcBorders>
            <w:shd w:val="clear" w:color="auto" w:fill="auto"/>
            <w:vAlign w:val="center"/>
          </w:tcPr>
          <w:p w14:paraId="3445E3BD">
            <w:pPr>
              <w:pStyle w:val="38"/>
              <w:spacing w:beforeLines="0" w:line="240" w:lineRule="auto"/>
              <w:ind w:firstLine="0"/>
              <w:textAlignment w:val="center"/>
              <w:rPr>
                <w:rFonts w:hint="default" w:ascii="Times New Roman"/>
                <w:szCs w:val="21"/>
              </w:rPr>
            </w:pPr>
            <w:r>
              <w:rPr>
                <w:rFonts w:hint="default" w:ascii="Times New Roman"/>
                <w:szCs w:val="21"/>
              </w:rPr>
              <w:t>颗粒物</w:t>
            </w:r>
          </w:p>
        </w:tc>
        <w:tc>
          <w:tcPr>
            <w:tcW w:w="1162" w:type="pct"/>
            <w:tcBorders>
              <w:tl2br w:val="nil"/>
              <w:tr2bl w:val="nil"/>
            </w:tcBorders>
            <w:shd w:val="clear" w:color="auto" w:fill="auto"/>
            <w:vAlign w:val="center"/>
          </w:tcPr>
          <w:p w14:paraId="682E9787">
            <w:pPr>
              <w:pStyle w:val="39"/>
              <w:autoSpaceDE w:val="0"/>
              <w:autoSpaceDN w:val="0"/>
              <w:adjustRightInd w:val="0"/>
              <w:snapToGrid w:val="0"/>
              <w:jc w:val="center"/>
              <w:rPr>
                <w:rFonts w:ascii="Times New Roman" w:hAnsi="Times New Roman" w:cs="Times New Roman" w:eastAsiaTheme="minorEastAsia"/>
                <w:szCs w:val="21"/>
                <w:lang w:val="en-US" w:bidi="ar-SA"/>
              </w:rPr>
            </w:pPr>
            <w:r>
              <w:rPr>
                <w:rFonts w:hint="eastAsia" w:ascii="Times New Roman" w:hAnsi="Times New Roman" w:cs="Times New Roman" w:eastAsiaTheme="minorEastAsia"/>
                <w:szCs w:val="21"/>
                <w:lang w:val="en-US" w:bidi="ar-SA"/>
              </w:rPr>
              <w:t>集气罩</w:t>
            </w:r>
            <w:r>
              <w:rPr>
                <w:rFonts w:ascii="Times New Roman" w:hAnsi="Times New Roman" w:cs="Times New Roman" w:eastAsiaTheme="minorEastAsia"/>
                <w:szCs w:val="21"/>
                <w:lang w:val="en-US" w:bidi="ar-SA"/>
              </w:rPr>
              <w:t>+布袋除尘器TA00</w:t>
            </w:r>
            <w:r>
              <w:rPr>
                <w:rFonts w:hint="eastAsia" w:ascii="Times New Roman" w:hAnsi="Times New Roman" w:cs="Times New Roman" w:eastAsiaTheme="minorEastAsia"/>
                <w:szCs w:val="21"/>
                <w:lang w:val="en-US" w:bidi="ar-SA"/>
              </w:rPr>
              <w:t>2</w:t>
            </w:r>
            <w:r>
              <w:rPr>
                <w:rFonts w:ascii="Times New Roman" w:hAnsi="Times New Roman" w:cs="Times New Roman" w:eastAsiaTheme="minorEastAsia"/>
                <w:szCs w:val="21"/>
                <w:lang w:val="en-US" w:bidi="ar-SA"/>
              </w:rPr>
              <w:t>+</w:t>
            </w:r>
          </w:p>
          <w:p w14:paraId="7C640034">
            <w:pPr>
              <w:pStyle w:val="39"/>
              <w:autoSpaceDE w:val="0"/>
              <w:autoSpaceDN w:val="0"/>
              <w:adjustRightInd w:val="0"/>
              <w:snapToGrid w:val="0"/>
              <w:jc w:val="center"/>
              <w:rPr>
                <w:rFonts w:ascii="Times New Roman" w:hAnsi="Times New Roman" w:cs="Times New Roman" w:eastAsiaTheme="minorEastAsia"/>
                <w:szCs w:val="21"/>
                <w:lang w:val="en-US"/>
              </w:rPr>
            </w:pPr>
            <w:r>
              <w:rPr>
                <w:rFonts w:ascii="Times New Roman" w:hAnsi="Times New Roman" w:cs="Times New Roman" w:eastAsiaTheme="minorEastAsia"/>
                <w:szCs w:val="21"/>
                <w:lang w:val="en-US" w:bidi="ar-SA"/>
              </w:rPr>
              <w:t>1根15m高排气筒DA00</w:t>
            </w:r>
            <w:r>
              <w:rPr>
                <w:rFonts w:hint="eastAsia" w:ascii="Times New Roman" w:hAnsi="Times New Roman" w:cs="Times New Roman" w:eastAsiaTheme="minorEastAsia"/>
                <w:szCs w:val="21"/>
                <w:lang w:val="en-US" w:bidi="ar-SA"/>
              </w:rPr>
              <w:t>2</w:t>
            </w:r>
          </w:p>
        </w:tc>
        <w:tc>
          <w:tcPr>
            <w:tcW w:w="1280" w:type="pct"/>
            <w:tcBorders>
              <w:tl2br w:val="nil"/>
              <w:tr2bl w:val="nil"/>
            </w:tcBorders>
            <w:shd w:val="clear" w:color="auto" w:fill="auto"/>
            <w:vAlign w:val="center"/>
          </w:tcPr>
          <w:p w14:paraId="1F4F2982">
            <w:pPr>
              <w:widowControl/>
              <w:adjustRightInd w:val="0"/>
              <w:snapToGrid w:val="0"/>
              <w:jc w:val="center"/>
              <w:rPr>
                <w:rFonts w:ascii="Times New Roman" w:hAnsi="Times New Roman" w:cs="Times New Roman"/>
                <w:szCs w:val="21"/>
              </w:rPr>
            </w:pPr>
            <w:r>
              <w:rPr>
                <w:rFonts w:ascii="Times New Roman" w:hAnsi="Times New Roman" w:cs="Times New Roman"/>
                <w:szCs w:val="21"/>
              </w:rPr>
              <w:t>《大气污染物综合排放标准》（GB16297-1996）</w:t>
            </w:r>
            <w:commentRangeEnd w:id="54"/>
            <w:r>
              <w:commentReference w:id="54"/>
            </w:r>
            <w:commentRangeEnd w:id="55"/>
            <w:r>
              <w:commentReference w:id="55"/>
            </w:r>
          </w:p>
        </w:tc>
      </w:tr>
      <w:tr w14:paraId="3A9B88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977" w:type="pct"/>
            <w:vMerge w:val="continue"/>
            <w:tcBorders>
              <w:tl2br w:val="nil"/>
              <w:tr2bl w:val="nil"/>
            </w:tcBorders>
            <w:shd w:val="clear" w:color="auto" w:fill="auto"/>
            <w:vAlign w:val="center"/>
          </w:tcPr>
          <w:p w14:paraId="2D618CF2">
            <w:pPr>
              <w:adjustRightInd w:val="0"/>
              <w:snapToGrid w:val="0"/>
              <w:rPr>
                <w:rFonts w:ascii="Times New Roman" w:hAnsi="Times New Roman" w:eastAsia="宋体" w:cs="Times New Roman"/>
                <w:szCs w:val="21"/>
              </w:rPr>
            </w:pPr>
          </w:p>
        </w:tc>
        <w:tc>
          <w:tcPr>
            <w:tcW w:w="852" w:type="pct"/>
            <w:vMerge w:val="restart"/>
            <w:tcBorders>
              <w:tl2br w:val="nil"/>
              <w:tr2bl w:val="nil"/>
            </w:tcBorders>
            <w:shd w:val="clear" w:color="auto" w:fill="auto"/>
            <w:vAlign w:val="center"/>
          </w:tcPr>
          <w:p w14:paraId="0F52721A">
            <w:pPr>
              <w:widowControl/>
              <w:wordWrap w:val="0"/>
              <w:adjustRightInd w:val="0"/>
              <w:snapToGrid w:val="0"/>
              <w:jc w:val="center"/>
              <w:rPr>
                <w:rFonts w:ascii="Times New Roman" w:hAnsi="Times New Roman" w:cs="Times New Roman"/>
                <w:kern w:val="0"/>
                <w:szCs w:val="21"/>
                <w:lang w:bidi="en-US"/>
              </w:rPr>
            </w:pPr>
            <w:r>
              <w:rPr>
                <w:rFonts w:hint="eastAsia" w:ascii="Times New Roman" w:hAnsi="Times New Roman" w:cs="Times New Roman"/>
                <w:kern w:val="0"/>
                <w:szCs w:val="21"/>
                <w:lang w:bidi="en-US"/>
              </w:rPr>
              <w:t>喷漆</w:t>
            </w:r>
            <w:r>
              <w:rPr>
                <w:rFonts w:ascii="Times New Roman" w:hAnsi="Times New Roman" w:cs="Times New Roman"/>
                <w:kern w:val="0"/>
                <w:szCs w:val="21"/>
                <w:lang w:bidi="en-US"/>
              </w:rPr>
              <w:t>工序</w:t>
            </w:r>
            <w:r>
              <w:rPr>
                <w:rFonts w:hint="eastAsia" w:ascii="Times New Roman" w:hAnsi="Times New Roman" w:cs="Times New Roman"/>
                <w:kern w:val="0"/>
                <w:szCs w:val="21"/>
                <w:lang w:bidi="en-US"/>
              </w:rPr>
              <w:t>、</w:t>
            </w:r>
          </w:p>
          <w:p w14:paraId="1C70CD3E">
            <w:pPr>
              <w:widowControl/>
              <w:wordWrap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bCs/>
                <w:szCs w:val="21"/>
              </w:rPr>
              <w:t>烘干工序</w:t>
            </w:r>
          </w:p>
        </w:tc>
        <w:tc>
          <w:tcPr>
            <w:tcW w:w="728" w:type="pct"/>
            <w:tcBorders>
              <w:tl2br w:val="nil"/>
              <w:tr2bl w:val="nil"/>
            </w:tcBorders>
            <w:shd w:val="clear" w:color="auto" w:fill="auto"/>
            <w:vAlign w:val="center"/>
          </w:tcPr>
          <w:p w14:paraId="0B02C5B8">
            <w:pPr>
              <w:adjustRightInd w:val="0"/>
              <w:snapToGrid w:val="0"/>
              <w:jc w:val="center"/>
              <w:rPr>
                <w:rFonts w:ascii="Times New Roman" w:hAnsi="Times New Roman" w:eastAsia="宋体" w:cs="Times New Roman"/>
                <w:bCs/>
                <w:kern w:val="0"/>
                <w:szCs w:val="21"/>
                <w:lang w:bidi="ar"/>
              </w:rPr>
            </w:pPr>
            <w:r>
              <w:rPr>
                <w:rFonts w:ascii="Times New Roman" w:hAnsi="Times New Roman" w:eastAsia="宋体" w:cs="Times New Roman"/>
                <w:szCs w:val="21"/>
              </w:rPr>
              <w:t>非甲烷总烃</w:t>
            </w:r>
          </w:p>
        </w:tc>
        <w:tc>
          <w:tcPr>
            <w:tcW w:w="1162" w:type="pct"/>
            <w:vMerge w:val="restart"/>
            <w:tcBorders>
              <w:tl2br w:val="nil"/>
              <w:tr2bl w:val="nil"/>
            </w:tcBorders>
            <w:shd w:val="clear" w:color="auto" w:fill="auto"/>
            <w:vAlign w:val="center"/>
          </w:tcPr>
          <w:p w14:paraId="75791E66">
            <w:pPr>
              <w:pStyle w:val="39"/>
              <w:autoSpaceDE w:val="0"/>
              <w:autoSpaceDN w:val="0"/>
              <w:adjustRightInd w:val="0"/>
              <w:snapToGrid w:val="0"/>
              <w:jc w:val="center"/>
              <w:rPr>
                <w:rFonts w:ascii="Times New Roman" w:hAnsi="Times New Roman" w:eastAsia="宋体" w:cs="Times New Roman"/>
                <w:szCs w:val="21"/>
                <w:lang w:val="en-US"/>
              </w:rPr>
            </w:pPr>
            <w:r>
              <w:rPr>
                <w:rFonts w:hint="eastAsia" w:ascii="Times New Roman" w:hAnsi="Times New Roman" w:cs="Times New Roman" w:eastAsiaTheme="minorEastAsia"/>
                <w:szCs w:val="21"/>
                <w:lang w:val="en-US" w:bidi="ar-SA"/>
              </w:rPr>
              <w:t>干式过滤棉+二级</w:t>
            </w:r>
            <w:r>
              <w:rPr>
                <w:rFonts w:ascii="Times New Roman" w:hAnsi="Times New Roman" w:cs="Times New Roman" w:eastAsiaTheme="minorEastAsia"/>
                <w:szCs w:val="21"/>
                <w:lang w:val="en-US" w:bidi="ar-SA"/>
              </w:rPr>
              <w:t>活性炭吸附TA00</w:t>
            </w:r>
            <w:r>
              <w:rPr>
                <w:rFonts w:hint="eastAsia" w:ascii="Times New Roman" w:hAnsi="Times New Roman" w:cs="Times New Roman" w:eastAsiaTheme="minorEastAsia"/>
                <w:szCs w:val="21"/>
                <w:lang w:val="en-US" w:bidi="ar-SA"/>
              </w:rPr>
              <w:t>4</w:t>
            </w:r>
            <w:r>
              <w:rPr>
                <w:rFonts w:ascii="Times New Roman" w:hAnsi="Times New Roman" w:cs="Times New Roman" w:eastAsiaTheme="minorEastAsia"/>
                <w:szCs w:val="21"/>
                <w:lang w:val="en-US" w:bidi="ar-SA"/>
              </w:rPr>
              <w:t>+1根15m高排气筒DA003</w:t>
            </w:r>
          </w:p>
        </w:tc>
        <w:tc>
          <w:tcPr>
            <w:tcW w:w="1280" w:type="pct"/>
            <w:tcBorders>
              <w:tl2br w:val="nil"/>
              <w:tr2bl w:val="nil"/>
            </w:tcBorders>
            <w:shd w:val="clear" w:color="auto" w:fill="auto"/>
            <w:vAlign w:val="center"/>
          </w:tcPr>
          <w:p w14:paraId="362E4AF8">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《挥发性有机物排放控制标准》（DB61/T1061-2017）《挥发性有机物无组织排放控制标准》（GB37822-2019）</w:t>
            </w:r>
          </w:p>
        </w:tc>
      </w:tr>
      <w:tr w14:paraId="5AE4F6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7" w:type="pct"/>
            <w:vMerge w:val="continue"/>
            <w:tcBorders>
              <w:tl2br w:val="nil"/>
              <w:tr2bl w:val="nil"/>
            </w:tcBorders>
            <w:shd w:val="clear" w:color="auto" w:fill="auto"/>
            <w:vAlign w:val="center"/>
          </w:tcPr>
          <w:p w14:paraId="1815907D">
            <w:pPr>
              <w:pStyle w:val="38"/>
              <w:spacing w:beforeLines="0" w:line="240" w:lineRule="auto"/>
              <w:textAlignment w:val="center"/>
              <w:rPr>
                <w:rFonts w:hint="default" w:ascii="Times New Roman"/>
                <w:szCs w:val="21"/>
              </w:rPr>
            </w:pPr>
          </w:p>
        </w:tc>
        <w:tc>
          <w:tcPr>
            <w:tcW w:w="852" w:type="pct"/>
            <w:vMerge w:val="continue"/>
            <w:tcBorders>
              <w:tl2br w:val="nil"/>
              <w:tr2bl w:val="nil"/>
            </w:tcBorders>
            <w:shd w:val="clear" w:color="auto" w:fill="auto"/>
            <w:vAlign w:val="center"/>
          </w:tcPr>
          <w:p w14:paraId="37C14E3A">
            <w:pPr>
              <w:pStyle w:val="38"/>
              <w:spacing w:beforeLines="0" w:line="240" w:lineRule="auto"/>
              <w:textAlignment w:val="center"/>
              <w:rPr>
                <w:rFonts w:hint="default" w:ascii="Times New Roman"/>
                <w:szCs w:val="21"/>
              </w:rPr>
            </w:pPr>
          </w:p>
        </w:tc>
        <w:tc>
          <w:tcPr>
            <w:tcW w:w="728" w:type="pct"/>
            <w:tcBorders>
              <w:tl2br w:val="nil"/>
              <w:tr2bl w:val="nil"/>
            </w:tcBorders>
            <w:shd w:val="clear" w:color="auto" w:fill="auto"/>
            <w:vAlign w:val="center"/>
          </w:tcPr>
          <w:p w14:paraId="4810EBF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颗粒物</w:t>
            </w:r>
          </w:p>
        </w:tc>
        <w:tc>
          <w:tcPr>
            <w:tcW w:w="1162" w:type="pct"/>
            <w:vMerge w:val="continue"/>
            <w:tcBorders>
              <w:tl2br w:val="nil"/>
              <w:tr2bl w:val="nil"/>
            </w:tcBorders>
            <w:shd w:val="clear" w:color="auto" w:fill="auto"/>
            <w:vAlign w:val="center"/>
          </w:tcPr>
          <w:p w14:paraId="3C0E9861">
            <w:pPr>
              <w:pStyle w:val="38"/>
              <w:spacing w:beforeLines="0" w:line="240" w:lineRule="auto"/>
              <w:textAlignment w:val="center"/>
              <w:rPr>
                <w:rFonts w:hint="default" w:ascii="Times New Roman"/>
                <w:bCs/>
                <w:szCs w:val="21"/>
              </w:rPr>
            </w:pPr>
          </w:p>
        </w:tc>
        <w:tc>
          <w:tcPr>
            <w:tcW w:w="1280" w:type="pct"/>
            <w:tcBorders>
              <w:tl2br w:val="nil"/>
              <w:tr2bl w:val="nil"/>
            </w:tcBorders>
            <w:shd w:val="clear" w:color="auto" w:fill="auto"/>
            <w:vAlign w:val="center"/>
          </w:tcPr>
          <w:p w14:paraId="1A47F617">
            <w:pPr>
              <w:widowControl/>
              <w:adjustRightInd w:val="0"/>
              <w:snapToGrid w:val="0"/>
              <w:jc w:val="center"/>
              <w:rPr>
                <w:rFonts w:ascii="Times New Roman" w:hAnsi="Times New Roman" w:cs="Times New Roman"/>
                <w:kern w:val="0"/>
                <w:szCs w:val="21"/>
              </w:rPr>
            </w:pPr>
            <w:r>
              <w:rPr>
                <w:rFonts w:ascii="Times New Roman" w:hAnsi="Times New Roman" w:cs="Times New Roman"/>
                <w:szCs w:val="21"/>
              </w:rPr>
              <w:t>《大气污染物综合排放标准》（GB16297-1996）</w:t>
            </w:r>
          </w:p>
        </w:tc>
      </w:tr>
      <w:tr w14:paraId="64A7F8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7" w:type="pct"/>
            <w:tcBorders>
              <w:tl2br w:val="nil"/>
              <w:tr2bl w:val="nil"/>
            </w:tcBorders>
            <w:shd w:val="clear" w:color="auto" w:fill="auto"/>
            <w:vAlign w:val="center"/>
          </w:tcPr>
          <w:p w14:paraId="29C63B03">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地表水环境</w:t>
            </w:r>
          </w:p>
        </w:tc>
        <w:tc>
          <w:tcPr>
            <w:tcW w:w="852" w:type="pct"/>
            <w:tcBorders>
              <w:tl2br w:val="nil"/>
              <w:tr2bl w:val="nil"/>
            </w:tcBorders>
            <w:shd w:val="clear" w:color="auto" w:fill="auto"/>
            <w:vAlign w:val="center"/>
          </w:tcPr>
          <w:p w14:paraId="69673F8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生活污水</w:t>
            </w:r>
          </w:p>
        </w:tc>
        <w:tc>
          <w:tcPr>
            <w:tcW w:w="728" w:type="pct"/>
            <w:tcBorders>
              <w:tl2br w:val="nil"/>
              <w:tr2bl w:val="nil"/>
            </w:tcBorders>
            <w:shd w:val="clear" w:color="auto" w:fill="auto"/>
            <w:vAlign w:val="center"/>
          </w:tcPr>
          <w:p w14:paraId="78CCFE4A">
            <w:pPr>
              <w:adjustRightInd w:val="0"/>
              <w:snapToGrid w:val="0"/>
              <w:jc w:val="center"/>
              <w:rPr>
                <w:rFonts w:ascii="Times New Roman" w:hAnsi="Times New Roman" w:cs="Times New Roman"/>
                <w:szCs w:val="21"/>
              </w:rPr>
            </w:pPr>
            <w:r>
              <w:rPr>
                <w:rFonts w:ascii="Times New Roman" w:hAnsi="Times New Roman" w:cs="Times New Roman"/>
                <w:szCs w:val="21"/>
              </w:rPr>
              <w:t>pH、COD、</w:t>
            </w:r>
          </w:p>
          <w:p w14:paraId="68FD4754">
            <w:pPr>
              <w:adjustRightInd w:val="0"/>
              <w:snapToGrid w:val="0"/>
              <w:jc w:val="center"/>
              <w:rPr>
                <w:rFonts w:ascii="Times New Roman" w:hAnsi="Times New Roman" w:cs="Times New Roman"/>
                <w:szCs w:val="21"/>
              </w:rPr>
            </w:pPr>
            <w:r>
              <w:rPr>
                <w:rFonts w:ascii="Times New Roman" w:hAnsi="Times New Roman" w:cs="Times New Roman"/>
                <w:szCs w:val="21"/>
              </w:rPr>
              <w:t>BOD</w:t>
            </w:r>
            <w:r>
              <w:rPr>
                <w:rFonts w:ascii="Times New Roman" w:hAnsi="Times New Roman" w:cs="Times New Roman"/>
                <w:szCs w:val="21"/>
                <w:vertAlign w:val="subscript"/>
              </w:rPr>
              <w:t>5</w:t>
            </w:r>
            <w:r>
              <w:rPr>
                <w:rFonts w:ascii="Times New Roman" w:hAnsi="Times New Roman" w:cs="Times New Roman"/>
                <w:szCs w:val="21"/>
              </w:rPr>
              <w:t>、</w:t>
            </w:r>
          </w:p>
          <w:p w14:paraId="59DA627D">
            <w:pPr>
              <w:adjustRightInd w:val="0"/>
              <w:snapToGrid w:val="0"/>
              <w:jc w:val="center"/>
              <w:rPr>
                <w:rFonts w:ascii="Times New Roman" w:hAnsi="Times New Roman" w:eastAsia="宋体" w:cs="Times New Roman"/>
                <w:szCs w:val="21"/>
              </w:rPr>
            </w:pPr>
            <w:r>
              <w:rPr>
                <w:rFonts w:ascii="Times New Roman" w:hAnsi="Times New Roman" w:cs="Times New Roman"/>
                <w:szCs w:val="21"/>
              </w:rPr>
              <w:t>SS、氨氮、</w:t>
            </w:r>
          </w:p>
        </w:tc>
        <w:tc>
          <w:tcPr>
            <w:tcW w:w="1162" w:type="pct"/>
            <w:tcBorders>
              <w:tl2br w:val="nil"/>
              <w:tr2bl w:val="nil"/>
            </w:tcBorders>
            <w:shd w:val="clear" w:color="auto" w:fill="auto"/>
            <w:vAlign w:val="center"/>
          </w:tcPr>
          <w:p w14:paraId="5B7450D6">
            <w:pPr>
              <w:adjustRightInd w:val="0"/>
              <w:snapToGrid w:val="0"/>
              <w:jc w:val="center"/>
              <w:rPr>
                <w:rFonts w:ascii="Times New Roman" w:hAnsi="Times New Roman" w:cs="Times New Roman"/>
                <w:szCs w:val="21"/>
              </w:rPr>
            </w:pPr>
            <w:r>
              <w:rPr>
                <w:rFonts w:hint="eastAsia" w:ascii="Times New Roman" w:hAnsi="Times New Roman" w:cs="Times New Roman"/>
                <w:bCs/>
                <w:szCs w:val="21"/>
              </w:rPr>
              <w:t>依托</w:t>
            </w:r>
            <w:r>
              <w:rPr>
                <w:rFonts w:hint="eastAsia" w:ascii="Times New Roman" w:hAnsi="Times New Roman" w:cs="Times New Roman"/>
                <w:szCs w:val="21"/>
              </w:rPr>
              <w:t>宝鸡市秦成工贸（集团）有限责任</w:t>
            </w:r>
          </w:p>
          <w:p w14:paraId="4D74B7B7">
            <w:pPr>
              <w:adjustRightInd w:val="0"/>
              <w:snapToGrid w:val="0"/>
              <w:jc w:val="center"/>
              <w:rPr>
                <w:rFonts w:ascii="Times New Roman" w:hAnsi="Times New Roman" w:eastAsia="宋体" w:cs="Times New Roman"/>
                <w:szCs w:val="21"/>
              </w:rPr>
            </w:pPr>
            <w:r>
              <w:rPr>
                <w:rFonts w:hint="eastAsia" w:ascii="Times New Roman" w:hAnsi="Times New Roman" w:cs="Times New Roman"/>
                <w:szCs w:val="21"/>
              </w:rPr>
              <w:t>公司</w:t>
            </w:r>
            <w:r>
              <w:rPr>
                <w:rFonts w:hint="eastAsia" w:ascii="Times New Roman" w:hAnsi="Times New Roman" w:cs="Times New Roman"/>
                <w:bCs/>
                <w:szCs w:val="21"/>
              </w:rPr>
              <w:t>现有</w:t>
            </w:r>
            <w:r>
              <w:rPr>
                <w:rFonts w:ascii="Times New Roman" w:hAnsi="Times New Roman" w:cs="Times New Roman"/>
                <w:bCs/>
                <w:szCs w:val="21"/>
              </w:rPr>
              <w:t>化粪池</w:t>
            </w:r>
          </w:p>
        </w:tc>
        <w:tc>
          <w:tcPr>
            <w:tcW w:w="1280" w:type="pct"/>
            <w:tcBorders>
              <w:tl2br w:val="nil"/>
              <w:tr2bl w:val="nil"/>
            </w:tcBorders>
            <w:shd w:val="clear" w:color="auto" w:fill="auto"/>
            <w:vAlign w:val="center"/>
          </w:tcPr>
          <w:p w14:paraId="3768D3E9">
            <w:pPr>
              <w:adjustRightInd w:val="0"/>
              <w:snapToGrid w:val="0"/>
              <w:jc w:val="center"/>
              <w:rPr>
                <w:rFonts w:ascii="Times New Roman" w:hAnsi="Times New Roman" w:cs="Times New Roman"/>
                <w:szCs w:val="21"/>
              </w:rPr>
            </w:pPr>
            <w:r>
              <w:rPr>
                <w:rFonts w:ascii="Times New Roman" w:hAnsi="Times New Roman" w:cs="Times New Roman"/>
                <w:szCs w:val="21"/>
              </w:rPr>
              <w:t>《污水综合排放标准》（GB8978-1996）三级标准以及</w:t>
            </w:r>
            <w:r>
              <w:rPr>
                <w:rFonts w:hint="eastAsia" w:ascii="Times New Roman" w:hAnsi="Times New Roman" w:cs="Times New Roman"/>
                <w:szCs w:val="21"/>
                <w:lang w:eastAsia="zh-CN"/>
              </w:rPr>
              <w:t>《</w:t>
            </w:r>
            <w:r>
              <w:rPr>
                <w:rFonts w:ascii="Times New Roman" w:hAnsi="Times New Roman" w:cs="Times New Roman"/>
                <w:szCs w:val="21"/>
              </w:rPr>
              <w:t>污水排入城镇下水道水质标准》（GB/T31962-2015）</w:t>
            </w:r>
          </w:p>
          <w:p w14:paraId="6082CA33">
            <w:pPr>
              <w:adjustRightInd w:val="0"/>
              <w:snapToGrid w:val="0"/>
              <w:jc w:val="center"/>
              <w:rPr>
                <w:rFonts w:ascii="Times New Roman" w:hAnsi="Times New Roman" w:eastAsia="宋体" w:cs="Times New Roman"/>
                <w:szCs w:val="21"/>
              </w:rPr>
            </w:pPr>
            <w:r>
              <w:rPr>
                <w:rFonts w:ascii="Times New Roman" w:hAnsi="Times New Roman" w:cs="Times New Roman"/>
                <w:szCs w:val="21"/>
              </w:rPr>
              <w:t>B等级标准</w:t>
            </w:r>
          </w:p>
        </w:tc>
      </w:tr>
      <w:tr w14:paraId="3AF350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7" w:type="pct"/>
            <w:tcBorders>
              <w:tl2br w:val="nil"/>
              <w:tr2bl w:val="nil"/>
            </w:tcBorders>
            <w:shd w:val="clear" w:color="auto" w:fill="auto"/>
            <w:vAlign w:val="center"/>
          </w:tcPr>
          <w:p w14:paraId="1E3BDAEE">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声环境</w:t>
            </w:r>
          </w:p>
        </w:tc>
        <w:tc>
          <w:tcPr>
            <w:tcW w:w="852" w:type="pct"/>
            <w:tcBorders>
              <w:tl2br w:val="nil"/>
              <w:tr2bl w:val="nil"/>
            </w:tcBorders>
            <w:shd w:val="clear" w:color="auto" w:fill="auto"/>
            <w:vAlign w:val="center"/>
          </w:tcPr>
          <w:p w14:paraId="691F07EA">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生产设备</w:t>
            </w:r>
          </w:p>
        </w:tc>
        <w:tc>
          <w:tcPr>
            <w:tcW w:w="728" w:type="pct"/>
            <w:tcBorders>
              <w:tl2br w:val="nil"/>
              <w:tr2bl w:val="nil"/>
            </w:tcBorders>
            <w:shd w:val="clear" w:color="auto" w:fill="auto"/>
            <w:vAlign w:val="center"/>
          </w:tcPr>
          <w:p w14:paraId="69616119">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噪声</w:t>
            </w:r>
          </w:p>
        </w:tc>
        <w:tc>
          <w:tcPr>
            <w:tcW w:w="1162" w:type="pct"/>
            <w:tcBorders>
              <w:tl2br w:val="nil"/>
              <w:tr2bl w:val="nil"/>
            </w:tcBorders>
            <w:shd w:val="clear" w:color="auto" w:fill="auto"/>
            <w:vAlign w:val="center"/>
          </w:tcPr>
          <w:p w14:paraId="08E372AB">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基础减</w:t>
            </w:r>
            <w:r>
              <w:rPr>
                <w:rFonts w:hint="eastAsia" w:ascii="Times New Roman" w:hAnsi="Times New Roman" w:eastAsia="宋体" w:cs="Times New Roman"/>
                <w:szCs w:val="21"/>
                <w:lang w:val="en-US" w:eastAsia="zh-CN"/>
              </w:rPr>
              <w:t>振</w:t>
            </w:r>
            <w:r>
              <w:rPr>
                <w:rFonts w:ascii="Times New Roman" w:hAnsi="Times New Roman" w:eastAsia="宋体" w:cs="Times New Roman"/>
                <w:szCs w:val="21"/>
              </w:rPr>
              <w:t>、厂房隔声</w:t>
            </w:r>
            <w:r>
              <w:rPr>
                <w:rFonts w:hint="eastAsia" w:ascii="Times New Roman" w:hAnsi="Times New Roman" w:eastAsia="宋体" w:cs="Times New Roman"/>
                <w:szCs w:val="21"/>
              </w:rPr>
              <w:t>、风机安装隔声罩</w:t>
            </w:r>
          </w:p>
        </w:tc>
        <w:tc>
          <w:tcPr>
            <w:tcW w:w="1280" w:type="pct"/>
            <w:tcBorders>
              <w:tl2br w:val="nil"/>
              <w:tr2bl w:val="nil"/>
            </w:tcBorders>
            <w:shd w:val="clear" w:color="auto" w:fill="auto"/>
            <w:vAlign w:val="center"/>
          </w:tcPr>
          <w:p w14:paraId="6FF02480">
            <w:pPr>
              <w:adjustRightInd w:val="0"/>
              <w:snapToGrid w:val="0"/>
              <w:jc w:val="center"/>
              <w:rPr>
                <w:rFonts w:ascii="Times New Roman" w:hAnsi="Times New Roman" w:cs="Times New Roman"/>
                <w:szCs w:val="21"/>
              </w:rPr>
            </w:pPr>
            <w:r>
              <w:rPr>
                <w:rFonts w:ascii="Times New Roman" w:hAnsi="Times New Roman" w:cs="Times New Roman"/>
                <w:szCs w:val="21"/>
              </w:rPr>
              <w:t>《工业企业厂界环境噪声排放标准》（GB12348- 2008）</w:t>
            </w:r>
          </w:p>
          <w:p w14:paraId="2C6BFC13">
            <w:pPr>
              <w:adjustRightInd w:val="0"/>
              <w:snapToGrid w:val="0"/>
              <w:jc w:val="center"/>
              <w:rPr>
                <w:rFonts w:ascii="Times New Roman" w:hAnsi="Times New Roman" w:eastAsia="宋体" w:cs="Times New Roman"/>
                <w:szCs w:val="21"/>
              </w:rPr>
            </w:pPr>
            <w:r>
              <w:rPr>
                <w:rFonts w:ascii="Times New Roman" w:hAnsi="Times New Roman" w:cs="Times New Roman"/>
                <w:szCs w:val="21"/>
              </w:rPr>
              <w:t>中的</w:t>
            </w:r>
            <w:r>
              <w:rPr>
                <w:rFonts w:hint="eastAsia" w:ascii="Times New Roman" w:hAnsi="Times New Roman" w:cs="Times New Roman"/>
                <w:szCs w:val="21"/>
              </w:rPr>
              <w:t>3</w:t>
            </w:r>
            <w:r>
              <w:rPr>
                <w:rFonts w:ascii="Times New Roman" w:hAnsi="Times New Roman" w:cs="Times New Roman"/>
                <w:szCs w:val="21"/>
              </w:rPr>
              <w:t>类标准</w:t>
            </w:r>
          </w:p>
        </w:tc>
      </w:tr>
      <w:tr w14:paraId="096B68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7" w:type="pct"/>
            <w:vMerge w:val="restart"/>
            <w:tcBorders>
              <w:tl2br w:val="nil"/>
              <w:tr2bl w:val="nil"/>
            </w:tcBorders>
            <w:shd w:val="clear" w:color="auto" w:fill="auto"/>
            <w:vAlign w:val="center"/>
          </w:tcPr>
          <w:p w14:paraId="040B1586">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固体废物</w:t>
            </w:r>
          </w:p>
        </w:tc>
        <w:tc>
          <w:tcPr>
            <w:tcW w:w="852" w:type="pct"/>
            <w:tcBorders>
              <w:tl2br w:val="nil"/>
              <w:tr2bl w:val="nil"/>
            </w:tcBorders>
            <w:shd w:val="clear" w:color="auto" w:fill="auto"/>
            <w:vAlign w:val="center"/>
          </w:tcPr>
          <w:p w14:paraId="3A400D96">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员工生活</w:t>
            </w:r>
          </w:p>
        </w:tc>
        <w:tc>
          <w:tcPr>
            <w:tcW w:w="728" w:type="pct"/>
            <w:tcBorders>
              <w:tl2br w:val="nil"/>
              <w:tr2bl w:val="nil"/>
            </w:tcBorders>
            <w:shd w:val="clear" w:color="auto" w:fill="auto"/>
            <w:vAlign w:val="center"/>
          </w:tcPr>
          <w:p w14:paraId="29BCBAFC">
            <w:pPr>
              <w:adjustRightInd w:val="0"/>
              <w:snapToGrid w:val="0"/>
              <w:spacing w:before="60"/>
              <w:jc w:val="center"/>
              <w:rPr>
                <w:rFonts w:ascii="Times New Roman" w:hAnsi="Times New Roman" w:eastAsia="宋体" w:cs="Times New Roman"/>
                <w:szCs w:val="21"/>
              </w:rPr>
            </w:pPr>
            <w:r>
              <w:rPr>
                <w:rFonts w:ascii="Times New Roman" w:hAnsi="Times New Roman" w:cs="Times New Roman"/>
                <w:szCs w:val="21"/>
              </w:rPr>
              <w:t>生活垃圾</w:t>
            </w:r>
          </w:p>
        </w:tc>
        <w:tc>
          <w:tcPr>
            <w:tcW w:w="1162" w:type="pct"/>
            <w:tcBorders>
              <w:tl2br w:val="nil"/>
              <w:tr2bl w:val="nil"/>
            </w:tcBorders>
            <w:shd w:val="clear" w:color="auto" w:fill="auto"/>
            <w:vAlign w:val="center"/>
          </w:tcPr>
          <w:p w14:paraId="0ECFEE04">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垃圾桶分类收集，交环卫部门处置</w:t>
            </w:r>
          </w:p>
        </w:tc>
        <w:tc>
          <w:tcPr>
            <w:tcW w:w="1280" w:type="pct"/>
            <w:tcBorders>
              <w:tl2br w:val="nil"/>
              <w:tr2bl w:val="nil"/>
            </w:tcBorders>
            <w:shd w:val="clear" w:color="auto" w:fill="auto"/>
            <w:vAlign w:val="center"/>
          </w:tcPr>
          <w:p w14:paraId="5692D902">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w:t>
            </w:r>
          </w:p>
        </w:tc>
      </w:tr>
      <w:tr w14:paraId="346D0D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7" w:type="pct"/>
            <w:vMerge w:val="continue"/>
            <w:tcBorders>
              <w:tl2br w:val="nil"/>
              <w:tr2bl w:val="nil"/>
            </w:tcBorders>
            <w:shd w:val="clear" w:color="auto" w:fill="auto"/>
            <w:vAlign w:val="center"/>
          </w:tcPr>
          <w:p w14:paraId="3CB172E4">
            <w:pPr>
              <w:adjustRightInd w:val="0"/>
              <w:snapToGrid w:val="0"/>
              <w:jc w:val="center"/>
              <w:rPr>
                <w:rFonts w:ascii="Times New Roman" w:hAnsi="Times New Roman" w:eastAsia="宋体" w:cs="Times New Roman"/>
                <w:szCs w:val="21"/>
                <w:lang w:bidi="ar"/>
              </w:rPr>
            </w:pPr>
          </w:p>
        </w:tc>
        <w:tc>
          <w:tcPr>
            <w:tcW w:w="852" w:type="pct"/>
            <w:vMerge w:val="restart"/>
            <w:tcBorders>
              <w:tl2br w:val="nil"/>
              <w:tr2bl w:val="nil"/>
            </w:tcBorders>
            <w:shd w:val="clear" w:color="auto" w:fill="auto"/>
            <w:vAlign w:val="center"/>
          </w:tcPr>
          <w:p w14:paraId="0B40C9DE">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一般固废</w:t>
            </w:r>
          </w:p>
        </w:tc>
        <w:tc>
          <w:tcPr>
            <w:tcW w:w="728" w:type="pct"/>
            <w:tcBorders>
              <w:tl2br w:val="nil"/>
              <w:tr2bl w:val="nil"/>
            </w:tcBorders>
            <w:shd w:val="clear" w:color="auto" w:fill="auto"/>
            <w:vAlign w:val="center"/>
          </w:tcPr>
          <w:p w14:paraId="2E8D6BDF">
            <w:pPr>
              <w:adjustRightInd w:val="0"/>
              <w:snapToGrid w:val="0"/>
              <w:spacing w:before="60"/>
              <w:jc w:val="center"/>
              <w:rPr>
                <w:rFonts w:ascii="Times New Roman" w:hAnsi="Times New Roman" w:eastAsia="宋体" w:cs="Times New Roman"/>
                <w:szCs w:val="21"/>
              </w:rPr>
            </w:pPr>
            <w:r>
              <w:rPr>
                <w:rFonts w:hint="eastAsia" w:ascii="Times New Roman" w:hAnsi="Times New Roman" w:eastAsia="宋体" w:cs="Times New Roman"/>
                <w:szCs w:val="21"/>
              </w:rPr>
              <w:t>废砂</w:t>
            </w:r>
          </w:p>
        </w:tc>
        <w:tc>
          <w:tcPr>
            <w:tcW w:w="1162" w:type="pct"/>
            <w:vMerge w:val="restart"/>
            <w:tcBorders>
              <w:tl2br w:val="nil"/>
              <w:tr2bl w:val="nil"/>
            </w:tcBorders>
            <w:shd w:val="clear" w:color="auto" w:fill="auto"/>
            <w:vAlign w:val="center"/>
          </w:tcPr>
          <w:p w14:paraId="0A039C52">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暂存于厂区的一般固废暂存间内，</w:t>
            </w:r>
          </w:p>
          <w:p w14:paraId="75FB1667">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定期外售综合利用</w:t>
            </w:r>
          </w:p>
        </w:tc>
        <w:tc>
          <w:tcPr>
            <w:tcW w:w="1280" w:type="pct"/>
            <w:vMerge w:val="restart"/>
            <w:tcBorders>
              <w:tl2br w:val="nil"/>
              <w:tr2bl w:val="nil"/>
            </w:tcBorders>
            <w:shd w:val="clear" w:color="auto" w:fill="auto"/>
            <w:vAlign w:val="center"/>
          </w:tcPr>
          <w:p w14:paraId="20EA35DF">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w:t>
            </w:r>
          </w:p>
        </w:tc>
      </w:tr>
      <w:tr w14:paraId="629034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7" w:type="pct"/>
            <w:vMerge w:val="continue"/>
            <w:tcBorders>
              <w:tl2br w:val="nil"/>
              <w:tr2bl w:val="nil"/>
            </w:tcBorders>
            <w:shd w:val="clear" w:color="auto" w:fill="auto"/>
            <w:vAlign w:val="center"/>
          </w:tcPr>
          <w:p w14:paraId="7576A241">
            <w:pPr>
              <w:adjustRightInd w:val="0"/>
              <w:snapToGrid w:val="0"/>
              <w:jc w:val="center"/>
              <w:rPr>
                <w:rFonts w:ascii="Times New Roman" w:hAnsi="Times New Roman" w:eastAsia="宋体" w:cs="Times New Roman"/>
                <w:szCs w:val="21"/>
                <w:lang w:bidi="ar"/>
              </w:rPr>
            </w:pPr>
          </w:p>
        </w:tc>
        <w:tc>
          <w:tcPr>
            <w:tcW w:w="852" w:type="pct"/>
            <w:vMerge w:val="continue"/>
            <w:tcBorders>
              <w:tl2br w:val="nil"/>
              <w:tr2bl w:val="nil"/>
            </w:tcBorders>
            <w:shd w:val="clear" w:color="auto" w:fill="auto"/>
            <w:vAlign w:val="center"/>
          </w:tcPr>
          <w:p w14:paraId="2CB49701">
            <w:pPr>
              <w:adjustRightInd w:val="0"/>
              <w:snapToGrid w:val="0"/>
              <w:jc w:val="center"/>
              <w:rPr>
                <w:rFonts w:ascii="Times New Roman" w:hAnsi="Times New Roman" w:eastAsia="宋体" w:cs="Times New Roman"/>
                <w:szCs w:val="21"/>
              </w:rPr>
            </w:pPr>
          </w:p>
        </w:tc>
        <w:tc>
          <w:tcPr>
            <w:tcW w:w="728" w:type="pct"/>
            <w:tcBorders>
              <w:tl2br w:val="nil"/>
              <w:tr2bl w:val="nil"/>
            </w:tcBorders>
            <w:shd w:val="clear" w:color="auto" w:fill="auto"/>
            <w:vAlign w:val="center"/>
          </w:tcPr>
          <w:p w14:paraId="5792C889">
            <w:pPr>
              <w:adjustRightInd w:val="0"/>
              <w:snapToGrid w:val="0"/>
              <w:spacing w:before="60"/>
              <w:jc w:val="center"/>
              <w:rPr>
                <w:rFonts w:ascii="Times New Roman" w:hAnsi="Times New Roman" w:eastAsia="宋体" w:cs="Times New Roman"/>
                <w:szCs w:val="21"/>
              </w:rPr>
            </w:pPr>
            <w:r>
              <w:rPr>
                <w:rFonts w:hint="eastAsia" w:ascii="Times New Roman" w:hAnsi="Times New Roman" w:eastAsia="宋体" w:cs="Times New Roman"/>
                <w:szCs w:val="21"/>
              </w:rPr>
              <w:t>除尘粉</w:t>
            </w:r>
          </w:p>
        </w:tc>
        <w:tc>
          <w:tcPr>
            <w:tcW w:w="1162" w:type="pct"/>
            <w:vMerge w:val="continue"/>
            <w:tcBorders>
              <w:tl2br w:val="nil"/>
              <w:tr2bl w:val="nil"/>
            </w:tcBorders>
            <w:shd w:val="clear" w:color="auto" w:fill="auto"/>
            <w:vAlign w:val="center"/>
          </w:tcPr>
          <w:p w14:paraId="7D82C1D6">
            <w:pPr>
              <w:adjustRightInd w:val="0"/>
              <w:snapToGrid w:val="0"/>
              <w:jc w:val="center"/>
              <w:rPr>
                <w:rFonts w:ascii="Times New Roman" w:hAnsi="Times New Roman" w:eastAsia="宋体" w:cs="Times New Roman"/>
                <w:szCs w:val="21"/>
              </w:rPr>
            </w:pPr>
          </w:p>
        </w:tc>
        <w:tc>
          <w:tcPr>
            <w:tcW w:w="1280" w:type="pct"/>
            <w:vMerge w:val="continue"/>
            <w:tcBorders>
              <w:tl2br w:val="nil"/>
              <w:tr2bl w:val="nil"/>
            </w:tcBorders>
            <w:shd w:val="clear" w:color="auto" w:fill="auto"/>
            <w:vAlign w:val="center"/>
          </w:tcPr>
          <w:p w14:paraId="49F1FB59">
            <w:pPr>
              <w:adjustRightInd w:val="0"/>
              <w:snapToGrid w:val="0"/>
              <w:jc w:val="center"/>
              <w:rPr>
                <w:rFonts w:ascii="Times New Roman" w:hAnsi="Times New Roman" w:eastAsia="宋体" w:cs="Times New Roman"/>
                <w:szCs w:val="21"/>
              </w:rPr>
            </w:pPr>
          </w:p>
        </w:tc>
      </w:tr>
      <w:tr w14:paraId="102FCA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977" w:type="pct"/>
            <w:vMerge w:val="continue"/>
            <w:tcBorders>
              <w:tl2br w:val="nil"/>
              <w:tr2bl w:val="nil"/>
            </w:tcBorders>
            <w:shd w:val="clear" w:color="auto" w:fill="auto"/>
            <w:vAlign w:val="center"/>
          </w:tcPr>
          <w:p w14:paraId="376615D0">
            <w:pPr>
              <w:adjustRightInd w:val="0"/>
              <w:snapToGrid w:val="0"/>
              <w:jc w:val="center"/>
              <w:rPr>
                <w:rFonts w:ascii="Times New Roman" w:hAnsi="Times New Roman" w:eastAsia="宋体" w:cs="Times New Roman"/>
                <w:szCs w:val="21"/>
                <w:lang w:bidi="ar"/>
              </w:rPr>
            </w:pPr>
          </w:p>
        </w:tc>
        <w:tc>
          <w:tcPr>
            <w:tcW w:w="852" w:type="pct"/>
            <w:vMerge w:val="restart"/>
            <w:tcBorders>
              <w:tl2br w:val="nil"/>
              <w:tr2bl w:val="nil"/>
            </w:tcBorders>
            <w:shd w:val="clear" w:color="auto" w:fill="auto"/>
            <w:vAlign w:val="center"/>
          </w:tcPr>
          <w:p w14:paraId="4FCD7527">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危险废物</w:t>
            </w:r>
          </w:p>
        </w:tc>
        <w:tc>
          <w:tcPr>
            <w:tcW w:w="728" w:type="pct"/>
            <w:tcBorders>
              <w:tl2br w:val="nil"/>
              <w:tr2bl w:val="nil"/>
            </w:tcBorders>
            <w:shd w:val="clear" w:color="auto" w:fill="auto"/>
            <w:vAlign w:val="center"/>
          </w:tcPr>
          <w:p w14:paraId="7739CD1B">
            <w:pPr>
              <w:adjustRightInd w:val="0"/>
              <w:snapToGrid w:val="0"/>
              <w:spacing w:before="60"/>
              <w:jc w:val="center"/>
              <w:rPr>
                <w:rFonts w:ascii="Times New Roman" w:hAnsi="Times New Roman" w:cs="Times New Roman"/>
                <w:szCs w:val="21"/>
              </w:rPr>
            </w:pPr>
            <w:r>
              <w:rPr>
                <w:rFonts w:ascii="Times New Roman" w:hAnsi="Times New Roman" w:cs="Times New Roman"/>
                <w:szCs w:val="21"/>
              </w:rPr>
              <w:t>废活性炭</w:t>
            </w:r>
          </w:p>
        </w:tc>
        <w:tc>
          <w:tcPr>
            <w:tcW w:w="1162" w:type="pct"/>
            <w:vMerge w:val="restart"/>
            <w:tcBorders>
              <w:tl2br w:val="nil"/>
              <w:tr2bl w:val="nil"/>
            </w:tcBorders>
            <w:shd w:val="clear" w:color="auto" w:fill="auto"/>
            <w:vAlign w:val="center"/>
          </w:tcPr>
          <w:p w14:paraId="23B80255">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暂存于</w:t>
            </w:r>
            <w:r>
              <w:rPr>
                <w:rFonts w:hint="eastAsia" w:ascii="Times New Roman" w:hAnsi="Times New Roman" w:eastAsia="宋体" w:cs="Times New Roman"/>
                <w:szCs w:val="21"/>
              </w:rPr>
              <w:t>车间内</w:t>
            </w:r>
            <w:r>
              <w:rPr>
                <w:rFonts w:ascii="Times New Roman" w:hAnsi="Times New Roman" w:eastAsia="宋体" w:cs="Times New Roman"/>
                <w:szCs w:val="21"/>
              </w:rPr>
              <w:t>的危废贮存库内，</w:t>
            </w:r>
          </w:p>
          <w:p w14:paraId="1472F3A3">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专用容器收集，</w:t>
            </w:r>
          </w:p>
          <w:p w14:paraId="367D9C52">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定期交由有资质的单位处置</w:t>
            </w:r>
          </w:p>
        </w:tc>
        <w:tc>
          <w:tcPr>
            <w:tcW w:w="1280" w:type="pct"/>
            <w:vMerge w:val="restart"/>
            <w:tcBorders>
              <w:tl2br w:val="nil"/>
              <w:tr2bl w:val="nil"/>
            </w:tcBorders>
            <w:shd w:val="clear" w:color="auto" w:fill="auto"/>
            <w:vAlign w:val="center"/>
          </w:tcPr>
          <w:p w14:paraId="106B05F6">
            <w:pPr>
              <w:adjustRightInd w:val="0"/>
              <w:snapToGrid w:val="0"/>
              <w:jc w:val="center"/>
              <w:rPr>
                <w:rFonts w:ascii="Times New Roman" w:hAnsi="Times New Roman" w:eastAsia="宋体" w:cs="Times New Roman"/>
                <w:szCs w:val="21"/>
              </w:rPr>
            </w:pPr>
            <w:r>
              <w:rPr>
                <w:rFonts w:ascii="Times New Roman" w:hAnsi="Times New Roman" w:cs="Times New Roman"/>
                <w:szCs w:val="21"/>
              </w:rPr>
              <w:t>《危险废物贮存污染控制标准》（GB18597-2023）</w:t>
            </w:r>
          </w:p>
        </w:tc>
      </w:tr>
      <w:tr w14:paraId="1FF935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977" w:type="pct"/>
            <w:vMerge w:val="continue"/>
            <w:tcBorders>
              <w:tl2br w:val="nil"/>
              <w:tr2bl w:val="nil"/>
            </w:tcBorders>
            <w:shd w:val="clear" w:color="auto" w:fill="auto"/>
            <w:vAlign w:val="center"/>
          </w:tcPr>
          <w:p w14:paraId="6BF20B41">
            <w:pPr>
              <w:adjustRightInd w:val="0"/>
              <w:snapToGrid w:val="0"/>
              <w:jc w:val="center"/>
              <w:rPr>
                <w:rFonts w:ascii="Times New Roman" w:hAnsi="Times New Roman" w:eastAsia="宋体" w:cs="Times New Roman"/>
                <w:szCs w:val="21"/>
                <w:lang w:bidi="ar"/>
              </w:rPr>
            </w:pPr>
          </w:p>
        </w:tc>
        <w:tc>
          <w:tcPr>
            <w:tcW w:w="852" w:type="pct"/>
            <w:vMerge w:val="continue"/>
            <w:tcBorders>
              <w:tl2br w:val="nil"/>
              <w:tr2bl w:val="nil"/>
            </w:tcBorders>
            <w:shd w:val="clear" w:color="auto" w:fill="auto"/>
            <w:vAlign w:val="center"/>
          </w:tcPr>
          <w:p w14:paraId="55B60A04">
            <w:pPr>
              <w:adjustRightInd w:val="0"/>
              <w:snapToGrid w:val="0"/>
              <w:jc w:val="center"/>
              <w:rPr>
                <w:rFonts w:ascii="Times New Roman" w:hAnsi="Times New Roman" w:eastAsia="宋体" w:cs="Times New Roman"/>
                <w:szCs w:val="21"/>
              </w:rPr>
            </w:pPr>
          </w:p>
        </w:tc>
        <w:tc>
          <w:tcPr>
            <w:tcW w:w="728" w:type="pct"/>
            <w:tcBorders>
              <w:tl2br w:val="nil"/>
              <w:tr2bl w:val="nil"/>
            </w:tcBorders>
            <w:shd w:val="clear" w:color="auto" w:fill="auto"/>
            <w:vAlign w:val="center"/>
          </w:tcPr>
          <w:p w14:paraId="2DD03E31">
            <w:pPr>
              <w:adjustRightInd w:val="0"/>
              <w:snapToGrid w:val="0"/>
              <w:spacing w:before="60"/>
              <w:jc w:val="center"/>
              <w:rPr>
                <w:rFonts w:ascii="Times New Roman" w:hAnsi="Times New Roman" w:cs="Times New Roman"/>
                <w:szCs w:val="21"/>
              </w:rPr>
            </w:pPr>
            <w:r>
              <w:rPr>
                <w:rFonts w:hint="eastAsia" w:ascii="Times New Roman" w:hAnsi="Times New Roman" w:cs="Times New Roman"/>
                <w:szCs w:val="21"/>
              </w:rPr>
              <w:t>废过滤棉</w:t>
            </w:r>
          </w:p>
        </w:tc>
        <w:tc>
          <w:tcPr>
            <w:tcW w:w="1162" w:type="pct"/>
            <w:vMerge w:val="continue"/>
            <w:tcBorders>
              <w:tl2br w:val="nil"/>
              <w:tr2bl w:val="nil"/>
            </w:tcBorders>
            <w:shd w:val="clear" w:color="auto" w:fill="auto"/>
            <w:vAlign w:val="center"/>
          </w:tcPr>
          <w:p w14:paraId="1134960E">
            <w:pPr>
              <w:adjustRightInd w:val="0"/>
              <w:snapToGrid w:val="0"/>
              <w:jc w:val="center"/>
              <w:rPr>
                <w:rFonts w:ascii="Times New Roman" w:hAnsi="Times New Roman" w:eastAsia="宋体" w:cs="Times New Roman"/>
                <w:szCs w:val="21"/>
              </w:rPr>
            </w:pPr>
          </w:p>
        </w:tc>
        <w:tc>
          <w:tcPr>
            <w:tcW w:w="1280" w:type="pct"/>
            <w:vMerge w:val="continue"/>
            <w:tcBorders>
              <w:tl2br w:val="nil"/>
              <w:tr2bl w:val="nil"/>
            </w:tcBorders>
            <w:shd w:val="clear" w:color="auto" w:fill="auto"/>
            <w:vAlign w:val="center"/>
          </w:tcPr>
          <w:p w14:paraId="6D264BF8">
            <w:pPr>
              <w:adjustRightInd w:val="0"/>
              <w:snapToGrid w:val="0"/>
              <w:jc w:val="center"/>
              <w:rPr>
                <w:rFonts w:ascii="Times New Roman" w:hAnsi="Times New Roman" w:cs="Times New Roman"/>
                <w:szCs w:val="21"/>
              </w:rPr>
            </w:pPr>
          </w:p>
        </w:tc>
      </w:tr>
      <w:tr w14:paraId="25B990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977" w:type="pct"/>
            <w:vMerge w:val="continue"/>
            <w:tcBorders>
              <w:tl2br w:val="nil"/>
              <w:tr2bl w:val="nil"/>
            </w:tcBorders>
            <w:shd w:val="clear" w:color="auto" w:fill="auto"/>
            <w:vAlign w:val="center"/>
          </w:tcPr>
          <w:p w14:paraId="7522180C">
            <w:pPr>
              <w:adjustRightInd w:val="0"/>
              <w:snapToGrid w:val="0"/>
              <w:jc w:val="center"/>
              <w:rPr>
                <w:rFonts w:ascii="Times New Roman" w:hAnsi="Times New Roman" w:eastAsia="宋体" w:cs="Times New Roman"/>
                <w:szCs w:val="21"/>
                <w:lang w:bidi="ar"/>
              </w:rPr>
            </w:pPr>
          </w:p>
        </w:tc>
        <w:tc>
          <w:tcPr>
            <w:tcW w:w="852" w:type="pct"/>
            <w:vMerge w:val="continue"/>
            <w:tcBorders>
              <w:tl2br w:val="nil"/>
              <w:tr2bl w:val="nil"/>
            </w:tcBorders>
            <w:shd w:val="clear" w:color="auto" w:fill="auto"/>
            <w:vAlign w:val="center"/>
          </w:tcPr>
          <w:p w14:paraId="068E7CBD">
            <w:pPr>
              <w:adjustRightInd w:val="0"/>
              <w:snapToGrid w:val="0"/>
              <w:jc w:val="center"/>
              <w:rPr>
                <w:rFonts w:ascii="Times New Roman" w:hAnsi="Times New Roman" w:eastAsia="宋体" w:cs="Times New Roman"/>
                <w:szCs w:val="21"/>
              </w:rPr>
            </w:pPr>
          </w:p>
        </w:tc>
        <w:tc>
          <w:tcPr>
            <w:tcW w:w="728" w:type="pct"/>
            <w:tcBorders>
              <w:tl2br w:val="nil"/>
              <w:tr2bl w:val="nil"/>
            </w:tcBorders>
            <w:shd w:val="clear" w:color="auto" w:fill="auto"/>
            <w:vAlign w:val="center"/>
          </w:tcPr>
          <w:p w14:paraId="632EEF28">
            <w:pPr>
              <w:adjustRightInd w:val="0"/>
              <w:snapToGrid w:val="0"/>
              <w:spacing w:before="6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废水性漆桶</w:t>
            </w:r>
          </w:p>
        </w:tc>
        <w:tc>
          <w:tcPr>
            <w:tcW w:w="1162" w:type="pct"/>
            <w:vMerge w:val="continue"/>
            <w:tcBorders>
              <w:tl2br w:val="nil"/>
              <w:tr2bl w:val="nil"/>
            </w:tcBorders>
            <w:shd w:val="clear" w:color="auto" w:fill="auto"/>
            <w:vAlign w:val="center"/>
          </w:tcPr>
          <w:p w14:paraId="7E2F7AC2">
            <w:pPr>
              <w:adjustRightInd w:val="0"/>
              <w:snapToGrid w:val="0"/>
              <w:jc w:val="center"/>
              <w:rPr>
                <w:rFonts w:ascii="Times New Roman" w:hAnsi="Times New Roman" w:eastAsia="宋体" w:cs="Times New Roman"/>
                <w:szCs w:val="21"/>
              </w:rPr>
            </w:pPr>
          </w:p>
        </w:tc>
        <w:tc>
          <w:tcPr>
            <w:tcW w:w="1280" w:type="pct"/>
            <w:vMerge w:val="continue"/>
            <w:tcBorders>
              <w:tl2br w:val="nil"/>
              <w:tr2bl w:val="nil"/>
            </w:tcBorders>
            <w:shd w:val="clear" w:color="auto" w:fill="auto"/>
            <w:vAlign w:val="center"/>
          </w:tcPr>
          <w:p w14:paraId="2EF9A38F">
            <w:pPr>
              <w:adjustRightInd w:val="0"/>
              <w:snapToGrid w:val="0"/>
              <w:jc w:val="center"/>
              <w:rPr>
                <w:rFonts w:ascii="Times New Roman" w:hAnsi="Times New Roman" w:cs="Times New Roman"/>
                <w:szCs w:val="21"/>
              </w:rPr>
            </w:pPr>
          </w:p>
        </w:tc>
      </w:tr>
      <w:tr w14:paraId="20C23D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977" w:type="pct"/>
            <w:vMerge w:val="continue"/>
            <w:tcBorders>
              <w:tl2br w:val="nil"/>
              <w:tr2bl w:val="nil"/>
            </w:tcBorders>
            <w:shd w:val="clear" w:color="auto" w:fill="auto"/>
            <w:vAlign w:val="center"/>
          </w:tcPr>
          <w:p w14:paraId="463D8A4C">
            <w:pPr>
              <w:adjustRightInd w:val="0"/>
              <w:snapToGrid w:val="0"/>
              <w:jc w:val="center"/>
              <w:rPr>
                <w:rFonts w:ascii="Times New Roman" w:hAnsi="Times New Roman" w:eastAsia="宋体" w:cs="Times New Roman"/>
                <w:szCs w:val="21"/>
                <w:lang w:bidi="ar"/>
              </w:rPr>
            </w:pPr>
          </w:p>
        </w:tc>
        <w:tc>
          <w:tcPr>
            <w:tcW w:w="852" w:type="pct"/>
            <w:vMerge w:val="continue"/>
            <w:tcBorders>
              <w:tl2br w:val="nil"/>
              <w:tr2bl w:val="nil"/>
            </w:tcBorders>
            <w:shd w:val="clear" w:color="auto" w:fill="auto"/>
            <w:vAlign w:val="center"/>
          </w:tcPr>
          <w:p w14:paraId="66B7F18C">
            <w:pPr>
              <w:adjustRightInd w:val="0"/>
              <w:snapToGrid w:val="0"/>
              <w:jc w:val="center"/>
              <w:rPr>
                <w:rFonts w:ascii="Times New Roman" w:hAnsi="Times New Roman" w:eastAsia="宋体" w:cs="Times New Roman"/>
                <w:szCs w:val="21"/>
              </w:rPr>
            </w:pPr>
          </w:p>
        </w:tc>
        <w:tc>
          <w:tcPr>
            <w:tcW w:w="728" w:type="pct"/>
            <w:tcBorders>
              <w:tl2br w:val="nil"/>
              <w:tr2bl w:val="nil"/>
            </w:tcBorders>
            <w:shd w:val="clear" w:color="auto" w:fill="auto"/>
            <w:vAlign w:val="center"/>
          </w:tcPr>
          <w:p w14:paraId="452502BF">
            <w:pPr>
              <w:adjustRightInd w:val="0"/>
              <w:snapToGrid w:val="0"/>
              <w:spacing w:before="6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漆渣</w:t>
            </w:r>
          </w:p>
        </w:tc>
        <w:tc>
          <w:tcPr>
            <w:tcW w:w="1162" w:type="pct"/>
            <w:vMerge w:val="continue"/>
            <w:tcBorders>
              <w:tl2br w:val="nil"/>
              <w:tr2bl w:val="nil"/>
            </w:tcBorders>
            <w:shd w:val="clear" w:color="auto" w:fill="auto"/>
            <w:vAlign w:val="center"/>
          </w:tcPr>
          <w:p w14:paraId="48F0DEFB">
            <w:pPr>
              <w:adjustRightInd w:val="0"/>
              <w:snapToGrid w:val="0"/>
              <w:jc w:val="center"/>
              <w:rPr>
                <w:rFonts w:ascii="Times New Roman" w:hAnsi="Times New Roman" w:eastAsia="宋体" w:cs="Times New Roman"/>
                <w:szCs w:val="21"/>
              </w:rPr>
            </w:pPr>
          </w:p>
        </w:tc>
        <w:tc>
          <w:tcPr>
            <w:tcW w:w="1280" w:type="pct"/>
            <w:vMerge w:val="continue"/>
            <w:tcBorders>
              <w:tl2br w:val="nil"/>
              <w:tr2bl w:val="nil"/>
            </w:tcBorders>
            <w:shd w:val="clear" w:color="auto" w:fill="auto"/>
            <w:vAlign w:val="center"/>
          </w:tcPr>
          <w:p w14:paraId="6DB0E252">
            <w:pPr>
              <w:adjustRightInd w:val="0"/>
              <w:snapToGrid w:val="0"/>
              <w:jc w:val="center"/>
              <w:rPr>
                <w:rFonts w:ascii="Times New Roman" w:hAnsi="Times New Roman" w:cs="Times New Roman"/>
                <w:szCs w:val="21"/>
              </w:rPr>
            </w:pPr>
          </w:p>
        </w:tc>
      </w:tr>
      <w:tr w14:paraId="172196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977" w:type="pct"/>
            <w:tcBorders>
              <w:tl2br w:val="nil"/>
              <w:tr2bl w:val="nil"/>
            </w:tcBorders>
            <w:shd w:val="clear" w:color="auto" w:fill="auto"/>
            <w:vAlign w:val="center"/>
          </w:tcPr>
          <w:p w14:paraId="7A1BCE04">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土壤及地下水</w:t>
            </w:r>
          </w:p>
          <w:p w14:paraId="1F092499">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污染防治措施</w:t>
            </w:r>
          </w:p>
        </w:tc>
        <w:tc>
          <w:tcPr>
            <w:tcW w:w="4022" w:type="pct"/>
            <w:gridSpan w:val="4"/>
            <w:tcBorders>
              <w:tl2br w:val="nil"/>
              <w:tr2bl w:val="nil"/>
            </w:tcBorders>
            <w:shd w:val="clear" w:color="auto" w:fill="auto"/>
            <w:vAlign w:val="center"/>
          </w:tcPr>
          <w:p w14:paraId="0BEE74A1">
            <w:pPr>
              <w:adjustRightInd w:val="0"/>
              <w:snapToGrid w:val="0"/>
              <w:ind w:firstLine="420" w:firstLineChars="200"/>
              <w:jc w:val="left"/>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1</w:t>
            </w:r>
            <w:r>
              <w:rPr>
                <w:rFonts w:hint="eastAsia" w:ascii="Times New Roman" w:hAnsi="Times New Roman" w:cs="Times New Roman"/>
                <w:szCs w:val="21"/>
              </w:rPr>
              <w:t>）源头控制措施</w:t>
            </w:r>
          </w:p>
          <w:p w14:paraId="46808C77">
            <w:pPr>
              <w:adjustRightInd w:val="0"/>
              <w:snapToGrid w:val="0"/>
              <w:ind w:firstLine="420" w:firstLineChars="200"/>
              <w:jc w:val="left"/>
              <w:rPr>
                <w:rFonts w:ascii="Times New Roman" w:hAnsi="Times New Roman" w:cs="Times New Roman"/>
                <w:szCs w:val="21"/>
              </w:rPr>
            </w:pPr>
            <w:r>
              <w:rPr>
                <w:rFonts w:hint="eastAsia" w:ascii="Times New Roman" w:hAnsi="Times New Roman" w:cs="Times New Roman"/>
                <w:szCs w:val="21"/>
              </w:rPr>
              <w:t xml:space="preserve">①落实环保措施并保持正常运转，防止产生的废气、生产废水、生活污水、固废等对土壤及地下水造成污染和危害； </w:t>
            </w:r>
          </w:p>
          <w:p w14:paraId="53DA1B73">
            <w:pPr>
              <w:adjustRightInd w:val="0"/>
              <w:snapToGrid w:val="0"/>
              <w:ind w:firstLine="420" w:firstLineChars="200"/>
              <w:jc w:val="left"/>
              <w:rPr>
                <w:rFonts w:ascii="Times New Roman" w:hAnsi="Times New Roman" w:cs="Times New Roman"/>
                <w:szCs w:val="21"/>
              </w:rPr>
            </w:pPr>
            <w:r>
              <w:rPr>
                <w:rFonts w:hint="eastAsia" w:ascii="Times New Roman" w:hAnsi="Times New Roman" w:cs="Times New Roman"/>
                <w:szCs w:val="21"/>
              </w:rPr>
              <w:t xml:space="preserve">②定期巡查生产及环境保护设施设备的运行情况，及时发现并处理生产过程中材料、产品、废物的扬散、流失问题。 </w:t>
            </w:r>
          </w:p>
          <w:p w14:paraId="35B913A3">
            <w:pPr>
              <w:adjustRightInd w:val="0"/>
              <w:snapToGrid w:val="0"/>
              <w:ind w:firstLine="420" w:firstLineChars="200"/>
              <w:jc w:val="left"/>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2</w:t>
            </w:r>
            <w:r>
              <w:rPr>
                <w:rFonts w:hint="eastAsia" w:ascii="Times New Roman" w:hAnsi="Times New Roman" w:cs="Times New Roman"/>
                <w:szCs w:val="21"/>
              </w:rPr>
              <w:t>）防渗措施</w:t>
            </w:r>
          </w:p>
          <w:p w14:paraId="27916AC5">
            <w:pPr>
              <w:adjustRightInd w:val="0"/>
              <w:snapToGrid w:val="0"/>
              <w:ind w:firstLine="420" w:firstLineChars="200"/>
              <w:jc w:val="left"/>
              <w:rPr>
                <w:rFonts w:ascii="Times New Roman" w:hAnsi="Times New Roman" w:cs="Times New Roman"/>
                <w:szCs w:val="21"/>
              </w:rPr>
            </w:pPr>
            <w:r>
              <w:rPr>
                <w:rFonts w:hint="eastAsia" w:ascii="Times New Roman" w:hAnsi="Times New Roman" w:cs="Times New Roman"/>
                <w:szCs w:val="21"/>
              </w:rPr>
              <w:t>原料贮存区、危废暂存间等单元进行地面硬化、防腐、防渗处理。</w:t>
            </w:r>
          </w:p>
          <w:p w14:paraId="17ABF220">
            <w:pPr>
              <w:adjustRightInd w:val="0"/>
              <w:snapToGrid w:val="0"/>
              <w:ind w:firstLine="420" w:firstLineChars="200"/>
              <w:jc w:val="left"/>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3</w:t>
            </w:r>
            <w:r>
              <w:rPr>
                <w:rFonts w:hint="eastAsia" w:ascii="Times New Roman" w:hAnsi="Times New Roman" w:cs="Times New Roman"/>
                <w:szCs w:val="21"/>
              </w:rPr>
              <w:t>）过程防控措施</w:t>
            </w:r>
          </w:p>
          <w:p w14:paraId="025FA0D6">
            <w:pPr>
              <w:adjustRightInd w:val="0"/>
              <w:snapToGrid w:val="0"/>
              <w:ind w:firstLine="420" w:firstLineChars="200"/>
              <w:jc w:val="left"/>
              <w:rPr>
                <w:rFonts w:ascii="Times New Roman" w:hAnsi="Times New Roman" w:eastAsia="宋体" w:cs="Times New Roman"/>
                <w:szCs w:val="21"/>
              </w:rPr>
            </w:pPr>
            <w:r>
              <w:rPr>
                <w:rFonts w:hint="eastAsia" w:ascii="Times New Roman" w:hAnsi="Times New Roman" w:cs="Times New Roman"/>
                <w:szCs w:val="21"/>
              </w:rPr>
              <w:t>本项目建设运营期间可能迁移进入地下水、土壤环境的影响主要为大气沉降影响。针对上述迁移方式，本项目过程防控措施为：加强项目废气处理设施的运行维护，确保废气处理设施稳定运行，各类污染物达标排放；加强车间生产管理，确保各工序衔接得当。</w:t>
            </w:r>
          </w:p>
        </w:tc>
      </w:tr>
      <w:tr w14:paraId="393933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977" w:type="pct"/>
            <w:tcBorders>
              <w:tl2br w:val="nil"/>
              <w:tr2bl w:val="nil"/>
            </w:tcBorders>
            <w:shd w:val="clear" w:color="auto" w:fill="auto"/>
            <w:vAlign w:val="center"/>
          </w:tcPr>
          <w:p w14:paraId="4CDE5108">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lang w:bidi="ar"/>
              </w:rPr>
              <w:t>生态保护措施</w:t>
            </w:r>
          </w:p>
        </w:tc>
        <w:tc>
          <w:tcPr>
            <w:tcW w:w="4022" w:type="pct"/>
            <w:gridSpan w:val="4"/>
            <w:tcBorders>
              <w:tl2br w:val="nil"/>
              <w:tr2bl w:val="nil"/>
            </w:tcBorders>
            <w:shd w:val="clear" w:color="auto" w:fill="auto"/>
            <w:vAlign w:val="center"/>
          </w:tcPr>
          <w:p w14:paraId="0DC0E080">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厂区空地绿化</w:t>
            </w:r>
          </w:p>
        </w:tc>
      </w:tr>
      <w:tr w14:paraId="59EF1E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77" w:type="pct"/>
            <w:tcBorders>
              <w:tl2br w:val="nil"/>
              <w:tr2bl w:val="nil"/>
            </w:tcBorders>
            <w:shd w:val="clear" w:color="auto" w:fill="auto"/>
            <w:vAlign w:val="center"/>
          </w:tcPr>
          <w:p w14:paraId="337779A6">
            <w:pPr>
              <w:adjustRightInd w:val="0"/>
              <w:snapToGrid w:val="0"/>
              <w:jc w:val="center"/>
              <w:rPr>
                <w:rFonts w:ascii="Times New Roman" w:hAnsi="Times New Roman" w:eastAsia="宋体" w:cs="Times New Roman"/>
                <w:spacing w:val="-8"/>
                <w:szCs w:val="21"/>
              </w:rPr>
            </w:pPr>
            <w:r>
              <w:rPr>
                <w:rFonts w:ascii="Times New Roman" w:hAnsi="Times New Roman" w:eastAsia="宋体" w:cs="Times New Roman"/>
                <w:spacing w:val="-8"/>
                <w:szCs w:val="21"/>
                <w:lang w:bidi="ar"/>
              </w:rPr>
              <w:t>环境风险</w:t>
            </w:r>
          </w:p>
          <w:p w14:paraId="19F5E85B">
            <w:pPr>
              <w:adjustRightInd w:val="0"/>
              <w:snapToGrid w:val="0"/>
              <w:jc w:val="center"/>
              <w:rPr>
                <w:rFonts w:ascii="Times New Roman" w:hAnsi="Times New Roman" w:eastAsia="宋体" w:cs="Times New Roman"/>
                <w:spacing w:val="-8"/>
                <w:szCs w:val="21"/>
              </w:rPr>
            </w:pPr>
            <w:r>
              <w:rPr>
                <w:rFonts w:ascii="Times New Roman" w:hAnsi="Times New Roman" w:eastAsia="宋体" w:cs="Times New Roman"/>
                <w:spacing w:val="-8"/>
                <w:szCs w:val="21"/>
                <w:lang w:bidi="ar"/>
              </w:rPr>
              <w:t>防范措施</w:t>
            </w:r>
          </w:p>
        </w:tc>
        <w:tc>
          <w:tcPr>
            <w:tcW w:w="4022" w:type="pct"/>
            <w:gridSpan w:val="4"/>
            <w:tcBorders>
              <w:tl2br w:val="nil"/>
              <w:tr2bl w:val="nil"/>
            </w:tcBorders>
            <w:shd w:val="clear" w:color="auto" w:fill="auto"/>
            <w:vAlign w:val="center"/>
          </w:tcPr>
          <w:p w14:paraId="31FC7EE4">
            <w:pPr>
              <w:numPr>
                <w:ilvl w:val="0"/>
                <w:numId w:val="6"/>
              </w:numPr>
              <w:adjustRightInd w:val="0"/>
              <w:snapToGrid w:val="0"/>
              <w:ind w:firstLine="420" w:firstLineChars="200"/>
              <w:jc w:val="left"/>
              <w:rPr>
                <w:rFonts w:ascii="Times New Roman" w:hAnsi="Times New Roman" w:cs="Times New Roman"/>
                <w:szCs w:val="21"/>
              </w:rPr>
            </w:pPr>
            <w:r>
              <w:rPr>
                <w:rFonts w:hint="eastAsia" w:ascii="Times New Roman" w:hAnsi="Times New Roman" w:cs="Times New Roman"/>
                <w:szCs w:val="21"/>
              </w:rPr>
              <w:t>环境风险单元重点防渗，按照规范要求进行</w:t>
            </w:r>
            <w:r>
              <w:rPr>
                <w:rFonts w:hint="eastAsia" w:cs="Times New Roman"/>
                <w:szCs w:val="21"/>
              </w:rPr>
              <w:t>“六</w:t>
            </w:r>
            <w:r>
              <w:rPr>
                <w:rFonts w:hint="eastAsia" w:ascii="Times New Roman" w:hAnsi="Times New Roman" w:cs="Times New Roman"/>
                <w:szCs w:val="21"/>
              </w:rPr>
              <w:t>防</w:t>
            </w:r>
            <w:r>
              <w:rPr>
                <w:rFonts w:hint="eastAsia" w:cs="Times New Roman"/>
                <w:szCs w:val="21"/>
              </w:rPr>
              <w:t>”</w:t>
            </w:r>
            <w:r>
              <w:rPr>
                <w:rFonts w:hint="eastAsia" w:ascii="Times New Roman" w:hAnsi="Times New Roman" w:cs="Times New Roman"/>
                <w:szCs w:val="21"/>
              </w:rPr>
              <w:t>措施；</w:t>
            </w:r>
          </w:p>
          <w:p w14:paraId="09CB85D6">
            <w:pPr>
              <w:numPr>
                <w:ilvl w:val="0"/>
                <w:numId w:val="6"/>
              </w:numPr>
              <w:adjustRightInd w:val="0"/>
              <w:snapToGrid w:val="0"/>
              <w:ind w:firstLine="420" w:firstLineChars="200"/>
              <w:jc w:val="left"/>
              <w:rPr>
                <w:rFonts w:ascii="Times New Roman" w:hAnsi="Times New Roman" w:cs="Times New Roman"/>
                <w:szCs w:val="21"/>
              </w:rPr>
            </w:pPr>
            <w:r>
              <w:rPr>
                <w:rFonts w:ascii="Times New Roman" w:hAnsi="Times New Roman" w:cs="Times New Roman"/>
                <w:szCs w:val="21"/>
              </w:rPr>
              <w:t>加强管理工作，设专人负责</w:t>
            </w:r>
            <w:r>
              <w:rPr>
                <w:rFonts w:hint="eastAsia" w:ascii="Times New Roman" w:hAnsi="Times New Roman" w:cs="Times New Roman"/>
                <w:szCs w:val="21"/>
              </w:rPr>
              <w:t>环境风险物质</w:t>
            </w:r>
            <w:r>
              <w:rPr>
                <w:rFonts w:ascii="Times New Roman" w:hAnsi="Times New Roman" w:cs="Times New Roman"/>
                <w:szCs w:val="21"/>
              </w:rPr>
              <w:t>的安全贮存、厂区内</w:t>
            </w:r>
            <w:r>
              <w:rPr>
                <w:rFonts w:hint="eastAsia" w:cs="Times New Roman"/>
                <w:szCs w:val="21"/>
              </w:rPr>
              <w:t>运输</w:t>
            </w:r>
            <w:r>
              <w:rPr>
                <w:rFonts w:ascii="Times New Roman" w:hAnsi="Times New Roman" w:cs="Times New Roman"/>
                <w:szCs w:val="21"/>
              </w:rPr>
              <w:t>，按照其物化性质、危险特性等特征采取相应的安全贮存方式；</w:t>
            </w:r>
          </w:p>
          <w:p w14:paraId="6D1077D1">
            <w:pPr>
              <w:adjustRightInd w:val="0"/>
              <w:snapToGrid w:val="0"/>
              <w:ind w:firstLine="420" w:firstLineChars="200"/>
              <w:jc w:val="left"/>
              <w:rPr>
                <w:rFonts w:ascii="Times New Roman" w:hAnsi="Times New Roman" w:cs="Times New Roman"/>
                <w:szCs w:val="21"/>
              </w:rPr>
            </w:pPr>
            <w:r>
              <w:rPr>
                <w:rFonts w:ascii="Times New Roman" w:hAnsi="Times New Roman" w:cs="Times New Roman"/>
                <w:szCs w:val="21"/>
              </w:rPr>
              <w:t>（</w:t>
            </w:r>
            <w:r>
              <w:rPr>
                <w:rFonts w:hint="eastAsia" w:cs="Times New Roman"/>
                <w:szCs w:val="21"/>
              </w:rPr>
              <w:t>3</w:t>
            </w:r>
            <w:r>
              <w:rPr>
                <w:rFonts w:ascii="Times New Roman" w:hAnsi="Times New Roman" w:cs="Times New Roman"/>
                <w:szCs w:val="21"/>
              </w:rPr>
              <w:t>）针对</w:t>
            </w:r>
            <w:r>
              <w:rPr>
                <w:rFonts w:hint="eastAsia" w:ascii="Times New Roman" w:hAnsi="Times New Roman" w:cs="Times New Roman"/>
                <w:szCs w:val="21"/>
              </w:rPr>
              <w:t>环境风险物质</w:t>
            </w:r>
            <w:r>
              <w:rPr>
                <w:rFonts w:ascii="Times New Roman" w:hAnsi="Times New Roman" w:cs="Times New Roman"/>
                <w:szCs w:val="21"/>
              </w:rPr>
              <w:t>的贮存、</w:t>
            </w:r>
            <w:r>
              <w:rPr>
                <w:rFonts w:hint="eastAsia" w:cs="Times New Roman"/>
                <w:szCs w:val="21"/>
              </w:rPr>
              <w:t>运输</w:t>
            </w:r>
            <w:r>
              <w:rPr>
                <w:rFonts w:ascii="Times New Roman" w:hAnsi="Times New Roman" w:cs="Times New Roman"/>
                <w:szCs w:val="21"/>
              </w:rPr>
              <w:t>制定安全条例，严禁靠近明火；</w:t>
            </w:r>
          </w:p>
          <w:p w14:paraId="17CC43BE">
            <w:pPr>
              <w:adjustRightInd w:val="0"/>
              <w:snapToGrid w:val="0"/>
              <w:ind w:firstLine="420" w:firstLineChars="200"/>
              <w:jc w:val="left"/>
              <w:rPr>
                <w:rFonts w:ascii="Times New Roman" w:hAnsi="Times New Roman" w:cs="Times New Roman"/>
                <w:szCs w:val="21"/>
              </w:rPr>
            </w:pPr>
            <w:r>
              <w:rPr>
                <w:rFonts w:ascii="Times New Roman" w:hAnsi="Times New Roman" w:cs="Times New Roman"/>
                <w:szCs w:val="21"/>
              </w:rPr>
              <w:t>（</w:t>
            </w:r>
            <w:r>
              <w:rPr>
                <w:rFonts w:hint="eastAsia" w:cs="Times New Roman"/>
                <w:szCs w:val="21"/>
              </w:rPr>
              <w:t>4</w:t>
            </w:r>
            <w:r>
              <w:rPr>
                <w:rFonts w:ascii="Times New Roman" w:hAnsi="Times New Roman" w:cs="Times New Roman"/>
                <w:szCs w:val="21"/>
              </w:rPr>
              <w:t>）</w:t>
            </w:r>
            <w:r>
              <w:rPr>
                <w:rFonts w:hint="eastAsia" w:ascii="Times New Roman" w:hAnsi="Times New Roman" w:cs="Times New Roman"/>
                <w:szCs w:val="21"/>
              </w:rPr>
              <w:t>编制突发环境事件</w:t>
            </w:r>
            <w:r>
              <w:rPr>
                <w:rFonts w:ascii="Times New Roman" w:hAnsi="Times New Roman" w:cs="Times New Roman"/>
                <w:szCs w:val="21"/>
              </w:rPr>
              <w:t>应急预案</w:t>
            </w:r>
            <w:r>
              <w:rPr>
                <w:rFonts w:hint="eastAsia" w:ascii="Times New Roman" w:hAnsi="Times New Roman" w:cs="Times New Roman"/>
                <w:szCs w:val="21"/>
              </w:rPr>
              <w:t>并在生态环境部门备案</w:t>
            </w:r>
            <w:r>
              <w:rPr>
                <w:rFonts w:ascii="Times New Roman" w:hAnsi="Times New Roman" w:cs="Times New Roman"/>
                <w:szCs w:val="21"/>
              </w:rPr>
              <w:t>，一旦发生事故后能够及时采取有效措施进行科学处置，将事故破坏降至最低限度，同时考虑各种处置方案的科学合理性以及有效性。</w:t>
            </w:r>
          </w:p>
          <w:p w14:paraId="3F2C1925">
            <w:pPr>
              <w:adjustRightInd w:val="0"/>
              <w:snapToGrid w:val="0"/>
              <w:ind w:firstLine="420" w:firstLineChars="200"/>
              <w:jc w:val="left"/>
              <w:rPr>
                <w:rFonts w:ascii="Times New Roman" w:hAnsi="Times New Roman" w:eastAsia="宋体" w:cs="Times New Roman"/>
                <w:szCs w:val="21"/>
              </w:rPr>
            </w:pPr>
            <w:r>
              <w:rPr>
                <w:rFonts w:ascii="Times New Roman" w:hAnsi="Times New Roman" w:cs="Times New Roman"/>
                <w:szCs w:val="21"/>
              </w:rPr>
              <w:t>（</w:t>
            </w:r>
            <w:r>
              <w:rPr>
                <w:rFonts w:hint="eastAsia" w:cs="Times New Roman"/>
                <w:szCs w:val="21"/>
              </w:rPr>
              <w:t>5</w:t>
            </w:r>
            <w:r>
              <w:rPr>
                <w:rFonts w:ascii="Times New Roman" w:hAnsi="Times New Roman" w:cs="Times New Roman"/>
                <w:szCs w:val="21"/>
              </w:rPr>
              <w:t>）履行</w:t>
            </w:r>
            <w:r>
              <w:rPr>
                <w:rFonts w:hint="eastAsia" w:ascii="Times New Roman" w:hAnsi="Times New Roman" w:cs="Times New Roman"/>
                <w:szCs w:val="21"/>
              </w:rPr>
              <w:t>环境风险物质</w:t>
            </w:r>
            <w:r>
              <w:rPr>
                <w:rFonts w:ascii="Times New Roman" w:hAnsi="Times New Roman" w:cs="Times New Roman"/>
                <w:szCs w:val="21"/>
              </w:rPr>
              <w:t>申报登记制度、建立台账管理制度、执行报批和转移联单制度。</w:t>
            </w:r>
          </w:p>
        </w:tc>
      </w:tr>
      <w:tr w14:paraId="657D3E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9" w:hRule="atLeast"/>
          <w:jc w:val="center"/>
        </w:trPr>
        <w:tc>
          <w:tcPr>
            <w:tcW w:w="977" w:type="pct"/>
            <w:tcBorders>
              <w:tl2br w:val="nil"/>
              <w:tr2bl w:val="nil"/>
            </w:tcBorders>
            <w:shd w:val="clear" w:color="auto" w:fill="auto"/>
            <w:vAlign w:val="center"/>
          </w:tcPr>
          <w:p w14:paraId="0EDC9809">
            <w:pPr>
              <w:adjustRightInd w:val="0"/>
              <w:snapToGrid w:val="0"/>
              <w:jc w:val="center"/>
              <w:rPr>
                <w:rFonts w:ascii="Times New Roman" w:hAnsi="Times New Roman" w:eastAsia="宋体" w:cs="Times New Roman"/>
                <w:spacing w:val="-8"/>
                <w:szCs w:val="21"/>
              </w:rPr>
            </w:pPr>
            <w:r>
              <w:rPr>
                <w:rFonts w:ascii="Times New Roman" w:hAnsi="Times New Roman" w:eastAsia="宋体" w:cs="Times New Roman"/>
                <w:spacing w:val="-8"/>
                <w:szCs w:val="21"/>
                <w:lang w:bidi="ar"/>
              </w:rPr>
              <w:t>其他环境</w:t>
            </w:r>
          </w:p>
          <w:p w14:paraId="167D8D30">
            <w:pPr>
              <w:adjustRightInd w:val="0"/>
              <w:snapToGrid w:val="0"/>
              <w:jc w:val="center"/>
              <w:rPr>
                <w:rFonts w:ascii="Times New Roman" w:hAnsi="Times New Roman" w:eastAsia="宋体" w:cs="Times New Roman"/>
                <w:spacing w:val="-8"/>
                <w:szCs w:val="21"/>
              </w:rPr>
            </w:pPr>
            <w:r>
              <w:rPr>
                <w:rFonts w:ascii="Times New Roman" w:hAnsi="Times New Roman" w:eastAsia="宋体" w:cs="Times New Roman"/>
                <w:spacing w:val="-8"/>
                <w:szCs w:val="21"/>
                <w:lang w:bidi="ar"/>
              </w:rPr>
              <w:t>管理要求</w:t>
            </w:r>
          </w:p>
        </w:tc>
        <w:tc>
          <w:tcPr>
            <w:tcW w:w="4022" w:type="pct"/>
            <w:gridSpan w:val="4"/>
            <w:tcBorders>
              <w:tl2br w:val="nil"/>
              <w:tr2bl w:val="nil"/>
            </w:tcBorders>
            <w:shd w:val="clear" w:color="auto" w:fill="auto"/>
            <w:vAlign w:val="center"/>
          </w:tcPr>
          <w:p w14:paraId="4AF8D4ED">
            <w:pPr>
              <w:widowControl/>
              <w:adjustRightInd w:val="0"/>
              <w:snapToGrid w:val="0"/>
              <w:ind w:firstLine="420" w:firstLineChars="200"/>
              <w:rPr>
                <w:rFonts w:ascii="Times New Roman" w:hAnsi="Times New Roman" w:cs="Times New Roman"/>
                <w:b/>
                <w:bCs/>
                <w:szCs w:val="21"/>
              </w:rPr>
            </w:pPr>
            <w:r>
              <w:rPr>
                <w:rFonts w:ascii="Times New Roman" w:hAnsi="Times New Roman" w:cs="Times New Roman"/>
                <w:szCs w:val="21"/>
              </w:rPr>
              <w:t>企业根据《中华人民共和国环境保护法</w:t>
            </w:r>
            <w:r>
              <w:rPr>
                <w:rFonts w:hint="eastAsia" w:ascii="Times New Roman" w:hAnsi="Times New Roman" w:cs="Times New Roman"/>
                <w:szCs w:val="21"/>
                <w:lang w:eastAsia="zh-CN"/>
              </w:rPr>
              <w:t>》《</w:t>
            </w:r>
            <w:r>
              <w:rPr>
                <w:rFonts w:ascii="Times New Roman" w:hAnsi="Times New Roman" w:cs="Times New Roman"/>
                <w:szCs w:val="21"/>
              </w:rPr>
              <w:t>排污许可证申请与核发技术规范 总则》（HJ942</w:t>
            </w:r>
            <w:r>
              <w:rPr>
                <w:rFonts w:hint="eastAsia" w:cs="Times New Roman"/>
                <w:szCs w:val="21"/>
              </w:rPr>
              <w:t>—</w:t>
            </w:r>
            <w:r>
              <w:rPr>
                <w:rFonts w:ascii="Times New Roman" w:hAnsi="Times New Roman" w:cs="Times New Roman"/>
                <w:szCs w:val="21"/>
              </w:rPr>
              <w:t>2018）等相关要求制定环境管理制度。</w:t>
            </w:r>
            <w:r>
              <w:rPr>
                <w:rFonts w:ascii="Times New Roman" w:hAnsi="Times New Roman" w:cs="Times New Roman"/>
                <w:szCs w:val="21"/>
              </w:rPr>
              <w:br w:type="textWrapping"/>
            </w:r>
            <w:r>
              <w:rPr>
                <w:rFonts w:hint="eastAsia" w:ascii="Times New Roman" w:hAnsi="Times New Roman" w:cs="Times New Roman"/>
                <w:szCs w:val="21"/>
              </w:rPr>
              <w:t xml:space="preserve">    </w:t>
            </w:r>
            <w:r>
              <w:rPr>
                <w:rFonts w:ascii="Times New Roman" w:hAnsi="Times New Roman" w:cs="Times New Roman"/>
                <w:b/>
                <w:bCs/>
                <w:szCs w:val="21"/>
              </w:rPr>
              <w:t>1、运行期环境管理要求</w:t>
            </w:r>
          </w:p>
          <w:p w14:paraId="57CFDB49">
            <w:pPr>
              <w:widowControl/>
              <w:adjustRightInd w:val="0"/>
              <w:snapToGrid w:val="0"/>
              <w:ind w:firstLine="420" w:firstLineChars="200"/>
              <w:rPr>
                <w:rFonts w:ascii="Times New Roman" w:hAnsi="Times New Roman" w:cs="Times New Roman"/>
                <w:szCs w:val="21"/>
              </w:rPr>
            </w:pPr>
            <w:r>
              <w:rPr>
                <w:rFonts w:ascii="Times New Roman" w:hAnsi="Times New Roman" w:cs="Times New Roman"/>
                <w:szCs w:val="21"/>
              </w:rPr>
              <w:t>（1）环境管理台账记录要求</w:t>
            </w:r>
          </w:p>
          <w:p w14:paraId="23805653">
            <w:pPr>
              <w:widowControl/>
              <w:adjustRightInd w:val="0"/>
              <w:snapToGrid w:val="0"/>
              <w:ind w:firstLine="420" w:firstLineChars="200"/>
              <w:rPr>
                <w:rFonts w:ascii="Times New Roman" w:hAnsi="Times New Roman" w:cs="Times New Roman"/>
                <w:szCs w:val="21"/>
              </w:rPr>
            </w:pPr>
            <w:r>
              <w:rPr>
                <w:rFonts w:ascii="Times New Roman" w:hAnsi="Times New Roman" w:cs="Times New Roman"/>
                <w:szCs w:val="21"/>
              </w:rPr>
              <w:t>①一般原则</w:t>
            </w:r>
          </w:p>
          <w:p w14:paraId="3123A608">
            <w:pPr>
              <w:widowControl/>
              <w:adjustRightInd w:val="0"/>
              <w:snapToGrid w:val="0"/>
              <w:ind w:firstLine="420" w:firstLineChars="200"/>
              <w:rPr>
                <w:rFonts w:ascii="Times New Roman" w:hAnsi="Times New Roman" w:cs="Times New Roman"/>
                <w:szCs w:val="21"/>
              </w:rPr>
            </w:pPr>
            <w:r>
              <w:rPr>
                <w:rFonts w:ascii="Times New Roman" w:hAnsi="Times New Roman" w:cs="Times New Roman"/>
                <w:szCs w:val="21"/>
              </w:rPr>
              <w:t>建立环境保护责任制度，落实环境管理台账记录的责任部门和责任人，明确工作职责，并对环境管理台账的真实性、完整性和规范性负责。一般按日或按批次进行记录，非正常情况应</w:t>
            </w:r>
            <w:r>
              <w:rPr>
                <w:rFonts w:hint="eastAsia" w:ascii="Times New Roman" w:hAnsi="Times New Roman" w:cs="Times New Roman"/>
                <w:szCs w:val="21"/>
              </w:rPr>
              <w:t>按次</w:t>
            </w:r>
            <w:r>
              <w:rPr>
                <w:rFonts w:ascii="Times New Roman" w:hAnsi="Times New Roman" w:cs="Times New Roman"/>
                <w:szCs w:val="21"/>
              </w:rPr>
              <w:t>记录。环境管理台账应当按照电子台账和纸质台账两种记录形式同步管理。</w:t>
            </w:r>
          </w:p>
          <w:p w14:paraId="5B6608C9">
            <w:pPr>
              <w:widowControl/>
              <w:adjustRightInd w:val="0"/>
              <w:snapToGrid w:val="0"/>
              <w:ind w:firstLine="420" w:firstLineChars="200"/>
              <w:rPr>
                <w:rFonts w:ascii="Times New Roman" w:hAnsi="Times New Roman" w:cs="Times New Roman"/>
                <w:szCs w:val="21"/>
              </w:rPr>
            </w:pPr>
            <w:r>
              <w:rPr>
                <w:rFonts w:ascii="Times New Roman" w:hAnsi="Times New Roman" w:cs="Times New Roman"/>
                <w:szCs w:val="21"/>
              </w:rPr>
              <w:t>②记录内容</w:t>
            </w:r>
          </w:p>
          <w:p w14:paraId="21B1BFD0">
            <w:pPr>
              <w:widowControl/>
              <w:adjustRightInd w:val="0"/>
              <w:snapToGrid w:val="0"/>
              <w:ind w:firstLine="420" w:firstLineChars="200"/>
              <w:rPr>
                <w:rFonts w:ascii="Times New Roman" w:hAnsi="Times New Roman" w:cs="Times New Roman"/>
                <w:szCs w:val="21"/>
              </w:rPr>
            </w:pPr>
            <w:r>
              <w:rPr>
                <w:rFonts w:ascii="Times New Roman" w:hAnsi="Times New Roman" w:cs="Times New Roman"/>
                <w:szCs w:val="21"/>
              </w:rPr>
              <w:t>环境管理台账记录内容应包括基本信息、生产设施运行管理信息、污染防治设施运行管理信息、监测记录信息及其他环境管理信息等。</w:t>
            </w:r>
          </w:p>
          <w:p w14:paraId="03700835">
            <w:pPr>
              <w:widowControl/>
              <w:adjustRightInd w:val="0"/>
              <w:snapToGrid w:val="0"/>
              <w:ind w:firstLine="420" w:firstLineChars="200"/>
              <w:rPr>
                <w:rFonts w:ascii="Times New Roman" w:hAnsi="Times New Roman" w:cs="Times New Roman"/>
                <w:szCs w:val="21"/>
              </w:rPr>
            </w:pPr>
            <w:r>
              <w:rPr>
                <w:rFonts w:ascii="Times New Roman" w:hAnsi="Times New Roman" w:cs="Times New Roman"/>
                <w:szCs w:val="21"/>
              </w:rPr>
              <w:t>③记录频次</w:t>
            </w:r>
          </w:p>
          <w:p w14:paraId="71B5926E">
            <w:pPr>
              <w:widowControl/>
              <w:adjustRightInd w:val="0"/>
              <w:snapToGrid w:val="0"/>
              <w:ind w:firstLine="420" w:firstLineChars="200"/>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生产设施运行管理信息：正常工况下，运行状态一般按日或批次记录，1次/日或批次；原辅料按照采购批次记录，1次/批。生产设施非正常工况按照工况期记录，1次/工况期。</w:t>
            </w:r>
          </w:p>
          <w:p w14:paraId="784D33C9">
            <w:pPr>
              <w:widowControl/>
              <w:adjustRightInd w:val="0"/>
              <w:snapToGrid w:val="0"/>
              <w:ind w:firstLine="420" w:firstLineChars="200"/>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污染防治设施运行管理信息：正常情况下，运行情况按日记录，1次/日；非正常情况下按照非正常情况期记录，1次/非正常情况期。</w:t>
            </w:r>
          </w:p>
          <w:p w14:paraId="2605A6F7">
            <w:pPr>
              <w:widowControl/>
              <w:adjustRightInd w:val="0"/>
              <w:snapToGrid w:val="0"/>
              <w:ind w:firstLine="420" w:firstLineChars="200"/>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监测记录信息：按照HJ1086相关要求，应同步记录监测期间的生产工况。</w:t>
            </w:r>
          </w:p>
          <w:p w14:paraId="3AC70FA9">
            <w:pPr>
              <w:widowControl/>
              <w:adjustRightInd w:val="0"/>
              <w:snapToGrid w:val="0"/>
              <w:ind w:firstLine="420" w:firstLineChars="200"/>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④记录存储及保存</w:t>
            </w:r>
          </w:p>
          <w:p w14:paraId="1AA35999">
            <w:pPr>
              <w:widowControl/>
              <w:adjustRightInd w:val="0"/>
              <w:snapToGrid w:val="0"/>
              <w:ind w:firstLine="420" w:firstLineChars="200"/>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纸质存储：应将纸质台账存放于保护袋、卷夹或保护盒等保存介质中；由专人签字、定点保存；应采取防光、防热、防潮、防细菌及防污染等措施；如有破损应及时修补，并留存备查。</w:t>
            </w:r>
          </w:p>
          <w:p w14:paraId="276F95FD">
            <w:pPr>
              <w:widowControl/>
              <w:adjustRightInd w:val="0"/>
              <w:snapToGrid w:val="0"/>
              <w:ind w:firstLine="420" w:firstLineChars="200"/>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电子化存储：应存放于电子存储介质中，并进行数据备份；可在排污许可管理信息平台填报并保存；由专人定期维护管理。</w:t>
            </w:r>
          </w:p>
          <w:p w14:paraId="1358B8D0">
            <w:pPr>
              <w:widowControl/>
              <w:adjustRightInd w:val="0"/>
              <w:snapToGrid w:val="0"/>
              <w:ind w:firstLine="420" w:firstLineChars="200"/>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污染治理设施运行管理</w:t>
            </w:r>
          </w:p>
          <w:p w14:paraId="2E607791">
            <w:pPr>
              <w:widowControl/>
              <w:adjustRightInd w:val="0"/>
              <w:snapToGrid w:val="0"/>
              <w:ind w:firstLine="420" w:firstLineChars="200"/>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①废气：应当按照相关法律法规、标准和技术规范等要求运行大气污染防治设施并进行维护和管理，保证设施运行正常，处理、排放大气污染物符合相关国家或地方污染物排放标准的规定。应记录工艺、物料使用量、运行参数、污染物产排情况、故障及维护状况等。</w:t>
            </w:r>
          </w:p>
          <w:p w14:paraId="1B08442C">
            <w:pPr>
              <w:widowControl/>
              <w:adjustRightInd w:val="0"/>
              <w:snapToGrid w:val="0"/>
              <w:ind w:firstLine="420" w:firstLineChars="200"/>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②噪声排放管理要求</w:t>
            </w:r>
          </w:p>
          <w:p w14:paraId="141513FD">
            <w:pPr>
              <w:widowControl/>
              <w:adjustRightInd w:val="0"/>
              <w:snapToGrid w:val="0"/>
              <w:ind w:firstLine="420" w:firstLineChars="200"/>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a</w:t>
            </w:r>
            <w:r>
              <w:rPr>
                <w:rFonts w:hint="eastAsia" w:cs="Times New Roman"/>
                <w:snapToGrid w:val="0"/>
                <w:kern w:val="0"/>
                <w:szCs w:val="21"/>
              </w:rPr>
              <w:t>.</w:t>
            </w:r>
            <w:r>
              <w:rPr>
                <w:rFonts w:ascii="Times New Roman" w:hAnsi="Times New Roman" w:eastAsia="宋体" w:cs="Times New Roman"/>
                <w:snapToGrid w:val="0"/>
                <w:kern w:val="0"/>
                <w:szCs w:val="21"/>
              </w:rPr>
              <w:t>对设备进行定期维修保养，保证设备正常稳定运行，预防维修不良的机械设备因部件</w:t>
            </w:r>
            <w:r>
              <w:rPr>
                <w:rFonts w:hint="eastAsia" w:cs="Times New Roman"/>
                <w:snapToGrid w:val="0"/>
                <w:kern w:val="0"/>
                <w:szCs w:val="21"/>
              </w:rPr>
              <w:t>振动</w:t>
            </w:r>
            <w:r>
              <w:rPr>
                <w:rFonts w:ascii="Times New Roman" w:hAnsi="Times New Roman" w:eastAsia="宋体" w:cs="Times New Roman"/>
                <w:snapToGrid w:val="0"/>
                <w:kern w:val="0"/>
                <w:szCs w:val="21"/>
              </w:rPr>
              <w:t>而增加其工作噪声。</w:t>
            </w:r>
          </w:p>
          <w:p w14:paraId="71954069">
            <w:pPr>
              <w:widowControl/>
              <w:adjustRightInd w:val="0"/>
              <w:snapToGrid w:val="0"/>
              <w:ind w:firstLine="420" w:firstLineChars="200"/>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b</w:t>
            </w:r>
            <w:r>
              <w:rPr>
                <w:rFonts w:hint="eastAsia" w:cs="Times New Roman"/>
                <w:snapToGrid w:val="0"/>
                <w:kern w:val="0"/>
                <w:szCs w:val="21"/>
              </w:rPr>
              <w:t>.</w:t>
            </w:r>
            <w:r>
              <w:rPr>
                <w:rFonts w:ascii="Times New Roman" w:hAnsi="Times New Roman" w:eastAsia="宋体" w:cs="Times New Roman"/>
                <w:snapToGrid w:val="0"/>
                <w:kern w:val="0"/>
                <w:szCs w:val="21"/>
              </w:rPr>
              <w:t>合理安排生产时间，项目夜间不生产。</w:t>
            </w:r>
          </w:p>
          <w:p w14:paraId="7F87718C">
            <w:pPr>
              <w:widowControl/>
              <w:adjustRightInd w:val="0"/>
              <w:snapToGrid w:val="0"/>
              <w:ind w:firstLine="420" w:firstLineChars="200"/>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c</w:t>
            </w:r>
            <w:r>
              <w:rPr>
                <w:rFonts w:hint="eastAsia" w:cs="Times New Roman"/>
                <w:snapToGrid w:val="0"/>
                <w:kern w:val="0"/>
                <w:szCs w:val="21"/>
              </w:rPr>
              <w:t>.</w:t>
            </w:r>
            <w:r>
              <w:rPr>
                <w:rFonts w:ascii="Times New Roman" w:hAnsi="Times New Roman" w:eastAsia="宋体" w:cs="Times New Roman"/>
                <w:snapToGrid w:val="0"/>
                <w:kern w:val="0"/>
                <w:szCs w:val="21"/>
              </w:rPr>
              <w:t>对项目噪声的监督、检查，定期进行噪声监测。</w:t>
            </w:r>
          </w:p>
          <w:p w14:paraId="73EB8A8D">
            <w:pPr>
              <w:widowControl/>
              <w:adjustRightInd w:val="0"/>
              <w:snapToGrid w:val="0"/>
              <w:ind w:firstLine="420" w:firstLineChars="200"/>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③固体废物管理要求</w:t>
            </w:r>
          </w:p>
          <w:p w14:paraId="393C8FC3">
            <w:pPr>
              <w:widowControl/>
              <w:adjustRightInd w:val="0"/>
              <w:snapToGrid w:val="0"/>
              <w:ind w:firstLine="420" w:firstLineChars="200"/>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a</w:t>
            </w:r>
            <w:r>
              <w:rPr>
                <w:rFonts w:hint="eastAsia" w:cs="Times New Roman"/>
                <w:snapToGrid w:val="0"/>
                <w:kern w:val="0"/>
                <w:szCs w:val="21"/>
              </w:rPr>
              <w:t>.</w:t>
            </w:r>
            <w:r>
              <w:rPr>
                <w:rFonts w:ascii="Times New Roman" w:hAnsi="Times New Roman" w:eastAsia="宋体" w:cs="Times New Roman"/>
                <w:snapToGrid w:val="0"/>
                <w:kern w:val="0"/>
                <w:szCs w:val="21"/>
              </w:rPr>
              <w:t>应记录固体废物的产生量和去向及相应量，固体废物各去向量之和应等于固体废物产生量。</w:t>
            </w:r>
          </w:p>
          <w:p w14:paraId="2D9A1B93">
            <w:pPr>
              <w:widowControl/>
              <w:adjustRightInd w:val="0"/>
              <w:snapToGrid w:val="0"/>
              <w:ind w:firstLine="422" w:firstLineChars="200"/>
              <w:rPr>
                <w:rFonts w:ascii="Times New Roman" w:hAnsi="Times New Roman" w:cs="Times New Roman"/>
                <w:b/>
                <w:bCs/>
                <w:szCs w:val="21"/>
              </w:rPr>
            </w:pPr>
            <w:r>
              <w:rPr>
                <w:rFonts w:ascii="Times New Roman" w:hAnsi="Times New Roman" w:cs="Times New Roman"/>
                <w:b/>
                <w:bCs/>
                <w:szCs w:val="21"/>
              </w:rPr>
              <w:t>2、排污口规范化</w:t>
            </w:r>
          </w:p>
          <w:p w14:paraId="34876957">
            <w:pPr>
              <w:widowControl/>
              <w:adjustRightInd w:val="0"/>
              <w:snapToGrid w:val="0"/>
              <w:ind w:firstLine="420" w:firstLineChars="200"/>
              <w:jc w:val="left"/>
              <w:rPr>
                <w:rFonts w:ascii="Times New Roman" w:hAnsi="Times New Roman" w:cs="Times New Roman"/>
                <w:szCs w:val="21"/>
              </w:rPr>
            </w:pPr>
            <w:r>
              <w:rPr>
                <w:rFonts w:ascii="Times New Roman" w:hAnsi="Times New Roman" w:cs="Times New Roman"/>
                <w:szCs w:val="21"/>
              </w:rPr>
              <w:t>根据</w:t>
            </w:r>
            <w:r>
              <w:rPr>
                <w:rFonts w:ascii="Times New Roman" w:hAnsi="Times New Roman" w:eastAsia="宋体" w:cs="Times New Roman"/>
                <w:szCs w:val="21"/>
              </w:rPr>
              <w:t>《排污口规范化整治技术要求（试行）》的相关规定，</w:t>
            </w:r>
            <w:r>
              <w:rPr>
                <w:rFonts w:ascii="Times New Roman" w:hAnsi="Times New Roman" w:cs="Times New Roman"/>
                <w:szCs w:val="21"/>
              </w:rPr>
              <w:t>企业所有排放口，必须按照</w:t>
            </w:r>
            <w:r>
              <w:rPr>
                <w:rFonts w:hint="eastAsia" w:ascii="Times New Roman" w:hAnsi="Times New Roman" w:cs="Times New Roman"/>
                <w:szCs w:val="21"/>
              </w:rPr>
              <w:t>“</w:t>
            </w:r>
            <w:r>
              <w:rPr>
                <w:rFonts w:ascii="Times New Roman" w:hAnsi="Times New Roman" w:cs="Times New Roman"/>
                <w:szCs w:val="21"/>
              </w:rPr>
              <w:t>便于计量监测、便于日常现场监督检查</w:t>
            </w:r>
            <w:r>
              <w:rPr>
                <w:rFonts w:hint="eastAsia" w:ascii="Times New Roman" w:hAnsi="Times New Roman" w:cs="Times New Roman"/>
                <w:szCs w:val="21"/>
              </w:rPr>
              <w:t>”</w:t>
            </w:r>
            <w:r>
              <w:rPr>
                <w:rFonts w:ascii="Times New Roman" w:hAnsi="Times New Roman" w:cs="Times New Roman"/>
                <w:szCs w:val="21"/>
              </w:rPr>
              <w:t>的规范化要求，设置与之相适应的环境保护图形标志牌，绘制企业排污口分布图，对治理设施安装运行监控装置，以便环境监管部门监管。</w:t>
            </w:r>
          </w:p>
          <w:p w14:paraId="6C2E94CC">
            <w:pPr>
              <w:widowControl/>
              <w:adjustRightInd w:val="0"/>
              <w:snapToGrid w:val="0"/>
              <w:ind w:firstLine="420" w:firstLineChars="200"/>
              <w:jc w:val="left"/>
              <w:rPr>
                <w:rFonts w:ascii="Times New Roman" w:hAnsi="Times New Roman" w:cs="Times New Roman"/>
                <w:szCs w:val="21"/>
              </w:rPr>
            </w:pPr>
            <w:r>
              <w:rPr>
                <w:rFonts w:ascii="Times New Roman" w:hAnsi="Times New Roman" w:cs="Times New Roman"/>
                <w:szCs w:val="21"/>
              </w:rPr>
              <w:t>（1）废气排气筒</w:t>
            </w:r>
          </w:p>
          <w:p w14:paraId="5581A44C">
            <w:pPr>
              <w:adjustRightInd w:val="0"/>
              <w:snapToGrid w:val="0"/>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本项目共设置2个废气排气口（企业共3个），均为一般排气口，对废气排放口的设置提出以下要求：</w:t>
            </w:r>
          </w:p>
          <w:p w14:paraId="07D5D80C">
            <w:pPr>
              <w:adjustRightInd w:val="0"/>
              <w:snapToGrid w:val="0"/>
              <w:ind w:firstLine="422" w:firstLineChars="200"/>
              <w:rPr>
                <w:rFonts w:ascii="Times New Roman" w:hAnsi="Times New Roman" w:eastAsia="宋体" w:cs="Times New Roman"/>
                <w:b/>
                <w:bCs/>
                <w:szCs w:val="21"/>
              </w:rPr>
            </w:pPr>
            <w:r>
              <w:rPr>
                <w:rFonts w:ascii="Times New Roman" w:hAnsi="Times New Roman" w:eastAsia="宋体" w:cs="Times New Roman"/>
                <w:b/>
                <w:bCs/>
                <w:szCs w:val="21"/>
              </w:rPr>
              <w:t>A</w:t>
            </w:r>
            <w:r>
              <w:rPr>
                <w:rFonts w:hint="eastAsia" w:ascii="Times New Roman" w:hAnsi="Times New Roman" w:eastAsia="宋体" w:cs="Times New Roman"/>
                <w:b/>
                <w:bCs/>
                <w:szCs w:val="21"/>
                <w:lang w:val="en-US" w:eastAsia="zh-CN"/>
              </w:rPr>
              <w:t>.</w:t>
            </w:r>
            <w:r>
              <w:rPr>
                <w:rFonts w:ascii="Times New Roman" w:hAnsi="Times New Roman" w:eastAsia="宋体" w:cs="Times New Roman"/>
                <w:b/>
                <w:bCs/>
                <w:szCs w:val="21"/>
              </w:rPr>
              <w:t>采样口设置要求</w:t>
            </w:r>
          </w:p>
          <w:p w14:paraId="3AB52CAA">
            <w:pPr>
              <w:adjustRightInd w:val="0"/>
              <w:snapToGrid w:val="0"/>
              <w:ind w:firstLine="420" w:firstLineChars="200"/>
              <w:rPr>
                <w:rFonts w:ascii="Times New Roman" w:hAnsi="Times New Roman" w:eastAsia="宋体" w:cs="Times New Roman"/>
                <w:szCs w:val="21"/>
              </w:rPr>
            </w:pPr>
            <w:r>
              <w:rPr>
                <w:rFonts w:ascii="Times New Roman" w:hAnsi="Times New Roman" w:eastAsia="宋体" w:cs="Times New Roman"/>
                <w:szCs w:val="21"/>
              </w:rPr>
              <w:t>①依据《固定污染源排气中颗粒物测定与气态污染物采样方法》（GB/T16157-1996）及其修改单的要求，其采样位置优先选择在垂直管段，并设置在距离弯头、阀门、变径管下游方向不小于6倍直径和距离上述部件上游方向不小于3倍直径处。采样口内径应不小于80mm，长度应不大于50mm，不使用时采用盖板、管堵或管帽封闭。</w:t>
            </w:r>
          </w:p>
          <w:p w14:paraId="0F7B94D2">
            <w:pPr>
              <w:adjustRightInd w:val="0"/>
              <w:snapToGrid w:val="0"/>
              <w:ind w:firstLine="420" w:firstLineChars="200"/>
              <w:rPr>
                <w:rFonts w:ascii="Times New Roman" w:hAnsi="Times New Roman" w:eastAsia="宋体" w:cs="Times New Roman"/>
                <w:szCs w:val="21"/>
              </w:rPr>
            </w:pPr>
            <w:r>
              <w:rPr>
                <w:rFonts w:ascii="Times New Roman" w:hAnsi="Times New Roman" w:eastAsia="宋体" w:cs="Times New Roman"/>
                <w:szCs w:val="21"/>
              </w:rPr>
              <w:t>②废气净化设施的进出口均设置采样口。</w:t>
            </w:r>
          </w:p>
          <w:p w14:paraId="2E65368C">
            <w:pPr>
              <w:adjustRightInd w:val="0"/>
              <w:snapToGrid w:val="0"/>
              <w:ind w:firstLine="420" w:firstLineChars="200"/>
              <w:rPr>
                <w:rFonts w:ascii="Times New Roman" w:hAnsi="Times New Roman" w:eastAsia="宋体" w:cs="Times New Roman"/>
                <w:szCs w:val="21"/>
              </w:rPr>
            </w:pPr>
            <w:r>
              <w:rPr>
                <w:rFonts w:ascii="Times New Roman" w:hAnsi="Times New Roman" w:eastAsia="宋体" w:cs="Times New Roman"/>
                <w:szCs w:val="21"/>
              </w:rPr>
              <w:t>③在排气筒附近地面醒目处设置环境保护图形标志牌。</w:t>
            </w:r>
          </w:p>
          <w:p w14:paraId="64591FB3">
            <w:pPr>
              <w:adjustRightInd w:val="0"/>
              <w:snapToGrid w:val="0"/>
              <w:ind w:firstLine="422" w:firstLineChars="200"/>
              <w:rPr>
                <w:rFonts w:ascii="Times New Roman" w:hAnsi="Times New Roman" w:eastAsia="宋体" w:cs="Times New Roman"/>
                <w:b/>
                <w:bCs/>
                <w:szCs w:val="21"/>
              </w:rPr>
            </w:pPr>
            <w:r>
              <w:rPr>
                <w:rFonts w:ascii="Times New Roman" w:hAnsi="Times New Roman" w:eastAsia="宋体" w:cs="Times New Roman"/>
                <w:b/>
                <w:bCs/>
                <w:szCs w:val="21"/>
              </w:rPr>
              <w:t>B</w:t>
            </w:r>
            <w:r>
              <w:rPr>
                <w:rFonts w:hint="eastAsia" w:ascii="Times New Roman" w:hAnsi="Times New Roman" w:eastAsia="宋体" w:cs="Times New Roman"/>
                <w:b/>
                <w:bCs/>
                <w:szCs w:val="21"/>
                <w:lang w:val="en-US" w:eastAsia="zh-CN"/>
              </w:rPr>
              <w:t>.</w:t>
            </w:r>
            <w:r>
              <w:rPr>
                <w:rFonts w:ascii="Times New Roman" w:hAnsi="Times New Roman" w:eastAsia="宋体" w:cs="Times New Roman"/>
                <w:b/>
                <w:bCs/>
                <w:szCs w:val="21"/>
              </w:rPr>
              <w:t>采样平台设置要求</w:t>
            </w:r>
          </w:p>
          <w:p w14:paraId="6EA518BC">
            <w:pPr>
              <w:adjustRightInd w:val="0"/>
              <w:snapToGrid w:val="0"/>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①监测平台不少于1.5m</w:t>
            </w:r>
            <w:r>
              <w:rPr>
                <w:rFonts w:ascii="Times New Roman" w:hAnsi="Times New Roman" w:eastAsia="宋体" w:cs="Times New Roman"/>
                <w:szCs w:val="21"/>
                <w:vertAlign w:val="superscript"/>
              </w:rPr>
              <w:t>2</w:t>
            </w:r>
            <w:r>
              <w:rPr>
                <w:rFonts w:ascii="Times New Roman" w:hAnsi="Times New Roman" w:eastAsia="宋体" w:cs="Times New Roman"/>
                <w:szCs w:val="21"/>
              </w:rPr>
              <w:t>，并设置1.2m高的护栏和不低于10cm的脚步挡板。</w:t>
            </w:r>
          </w:p>
          <w:p w14:paraId="6151151C">
            <w:pPr>
              <w:pStyle w:val="2"/>
              <w:adjustRightInd w:val="0"/>
              <w:snapToGrid w:val="0"/>
              <w:ind w:left="0" w:leftChars="0" w:firstLine="420" w:firstLineChars="200"/>
              <w:rPr>
                <w:rFonts w:ascii="Times New Roman" w:hAnsi="Times New Roman" w:cs="Times New Roman"/>
                <w:szCs w:val="21"/>
              </w:rPr>
            </w:pPr>
            <w:r>
              <w:rPr>
                <w:rFonts w:ascii="Times New Roman" w:hAnsi="Times New Roman" w:eastAsia="宋体" w:cs="Times New Roman"/>
                <w:szCs w:val="21"/>
              </w:rPr>
              <w:t>②平台、爬楼梯杆高度不低于1.5m，爬楼梯型式应该是斜爬梯或Z型，宽度范围为600mm</w:t>
            </w:r>
            <w:r>
              <w:rPr>
                <w:rFonts w:hint="eastAsia" w:ascii="Times New Roman" w:hAnsi="Times New Roman" w:eastAsia="宋体" w:cs="Times New Roman"/>
                <w:szCs w:val="21"/>
                <w:lang w:val="en-US" w:eastAsia="zh-CN"/>
              </w:rPr>
              <w:t>~</w:t>
            </w:r>
            <w:r>
              <w:rPr>
                <w:rFonts w:ascii="Times New Roman" w:hAnsi="Times New Roman" w:eastAsia="宋体" w:cs="Times New Roman"/>
                <w:szCs w:val="21"/>
              </w:rPr>
              <w:t>800mm。</w:t>
            </w:r>
          </w:p>
          <w:p w14:paraId="33597976">
            <w:pPr>
              <w:widowControl/>
              <w:adjustRightInd w:val="0"/>
              <w:snapToGrid w:val="0"/>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③平台设置位置应监测人员操作有危险的场所，采样平台的承重应不小于200kg/m</w:t>
            </w:r>
            <w:r>
              <w:rPr>
                <w:rFonts w:ascii="Times New Roman" w:hAnsi="Times New Roman" w:eastAsia="宋体" w:cs="Times New Roman"/>
                <w:szCs w:val="21"/>
                <w:vertAlign w:val="superscript"/>
              </w:rPr>
              <w:t>3</w:t>
            </w:r>
            <w:r>
              <w:rPr>
                <w:rFonts w:ascii="Times New Roman" w:hAnsi="Times New Roman" w:eastAsia="宋体" w:cs="Times New Roman"/>
                <w:szCs w:val="21"/>
              </w:rPr>
              <w:t>，采样平台距采样孔约为1.2m</w:t>
            </w:r>
            <w:r>
              <w:rPr>
                <w:rFonts w:hint="eastAsia" w:ascii="Times New Roman" w:hAnsi="Times New Roman" w:eastAsia="宋体" w:cs="Times New Roman"/>
                <w:szCs w:val="21"/>
                <w:lang w:val="en-US" w:eastAsia="zh-CN"/>
              </w:rPr>
              <w:t>~</w:t>
            </w:r>
            <w:r>
              <w:rPr>
                <w:rFonts w:ascii="Times New Roman" w:hAnsi="Times New Roman" w:eastAsia="宋体" w:cs="Times New Roman"/>
                <w:szCs w:val="21"/>
              </w:rPr>
              <w:t>1.3m。</w:t>
            </w:r>
          </w:p>
          <w:p w14:paraId="347FDC5B">
            <w:pPr>
              <w:adjustRightInd w:val="0"/>
              <w:snapToGrid w:val="0"/>
              <w:ind w:firstLine="420" w:firstLineChars="200"/>
              <w:rPr>
                <w:rFonts w:ascii="Times New Roman" w:hAnsi="Times New Roman" w:eastAsia="宋体" w:cs="Times New Roman"/>
                <w:szCs w:val="21"/>
              </w:rPr>
            </w:pPr>
            <w:r>
              <w:rPr>
                <w:rFonts w:ascii="Times New Roman" w:hAnsi="Times New Roman" w:eastAsia="宋体" w:cs="Times New Roman"/>
                <w:szCs w:val="21"/>
              </w:rPr>
              <w:t>（2）废水排放口</w:t>
            </w:r>
          </w:p>
          <w:p w14:paraId="78A728AE">
            <w:pPr>
              <w:widowControl/>
              <w:adjustRightInd w:val="0"/>
              <w:snapToGrid w:val="0"/>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本项目不新增废水总排口。</w:t>
            </w:r>
          </w:p>
          <w:p w14:paraId="0072EA09">
            <w:pPr>
              <w:widowControl/>
              <w:adjustRightInd w:val="0"/>
              <w:snapToGrid w:val="0"/>
              <w:ind w:firstLine="420" w:firstLineChars="200"/>
              <w:jc w:val="left"/>
              <w:rPr>
                <w:rFonts w:ascii="Times New Roman" w:hAnsi="Times New Roman" w:cs="Times New Roman"/>
                <w:szCs w:val="21"/>
              </w:rPr>
            </w:pPr>
            <w:r>
              <w:rPr>
                <w:rFonts w:ascii="Times New Roman" w:hAnsi="Times New Roman" w:cs="Times New Roman"/>
                <w:szCs w:val="21"/>
              </w:rPr>
              <w:t>（3）固定噪声源</w:t>
            </w:r>
          </w:p>
          <w:p w14:paraId="38307307">
            <w:pPr>
              <w:widowControl/>
              <w:adjustRightInd w:val="0"/>
              <w:snapToGrid w:val="0"/>
              <w:ind w:firstLine="420" w:firstLineChars="200"/>
              <w:jc w:val="left"/>
              <w:rPr>
                <w:rFonts w:ascii="Times New Roman" w:hAnsi="Times New Roman" w:cs="Times New Roman"/>
                <w:szCs w:val="21"/>
              </w:rPr>
            </w:pPr>
            <w:r>
              <w:rPr>
                <w:rFonts w:ascii="Times New Roman" w:hAnsi="Times New Roman" w:cs="Times New Roman"/>
                <w:szCs w:val="21"/>
              </w:rPr>
              <w:t>在固定噪声源对厂界噪声影响最大处，设置环境保护图形标志牌。</w:t>
            </w:r>
          </w:p>
          <w:p w14:paraId="187AED5F">
            <w:pPr>
              <w:widowControl/>
              <w:adjustRightInd w:val="0"/>
              <w:snapToGrid w:val="0"/>
              <w:ind w:firstLine="420" w:firstLineChars="200"/>
              <w:jc w:val="left"/>
              <w:rPr>
                <w:rFonts w:ascii="Times New Roman" w:hAnsi="Times New Roman" w:cs="Times New Roman"/>
                <w:szCs w:val="21"/>
              </w:rPr>
            </w:pPr>
            <w:r>
              <w:rPr>
                <w:rFonts w:ascii="Times New Roman" w:hAnsi="Times New Roman" w:cs="Times New Roman"/>
                <w:szCs w:val="21"/>
              </w:rPr>
              <w:t>（4）固体废物贮存场所</w:t>
            </w:r>
          </w:p>
          <w:p w14:paraId="1C80EFD2">
            <w:pPr>
              <w:widowControl/>
              <w:adjustRightInd w:val="0"/>
              <w:snapToGrid w:val="0"/>
              <w:ind w:firstLine="420" w:firstLineChars="200"/>
              <w:jc w:val="left"/>
              <w:rPr>
                <w:rFonts w:ascii="Times New Roman" w:hAnsi="Times New Roman" w:cs="Times New Roman"/>
                <w:szCs w:val="21"/>
              </w:rPr>
            </w:pPr>
            <w:r>
              <w:rPr>
                <w:rFonts w:ascii="Times New Roman" w:hAnsi="Times New Roman" w:cs="Times New Roman"/>
                <w:szCs w:val="21"/>
              </w:rPr>
              <w:t>本项目设置2个固废临时贮场，一个为一般固废暂存区，一个为危险废物贮存库。</w:t>
            </w:r>
          </w:p>
          <w:p w14:paraId="09907D13">
            <w:pPr>
              <w:widowControl/>
              <w:adjustRightInd w:val="0"/>
              <w:snapToGrid w:val="0"/>
              <w:ind w:firstLine="420" w:firstLineChars="200"/>
              <w:jc w:val="left"/>
              <w:rPr>
                <w:rFonts w:ascii="Times New Roman" w:hAnsi="Times New Roman" w:cs="Times New Roman"/>
                <w:szCs w:val="21"/>
              </w:rPr>
            </w:pPr>
            <w:r>
              <w:rPr>
                <w:rFonts w:ascii="Times New Roman" w:hAnsi="Times New Roman" w:cs="Times New Roman"/>
                <w:szCs w:val="21"/>
              </w:rPr>
              <w:t>固废贮存场所要求：</w:t>
            </w:r>
          </w:p>
          <w:p w14:paraId="3721E0A0">
            <w:pPr>
              <w:widowControl/>
              <w:adjustRightInd w:val="0"/>
              <w:snapToGrid w:val="0"/>
              <w:ind w:firstLine="420" w:firstLineChars="200"/>
              <w:jc w:val="left"/>
              <w:rPr>
                <w:rFonts w:ascii="Times New Roman" w:hAnsi="Times New Roman" w:cs="Times New Roman"/>
                <w:szCs w:val="21"/>
              </w:rPr>
            </w:pPr>
            <w:r>
              <w:rPr>
                <w:rFonts w:ascii="Times New Roman" w:hAnsi="Times New Roman" w:cs="Times New Roman"/>
                <w:szCs w:val="21"/>
              </w:rPr>
              <w:t>①固体废物贮存场所要有防火、防扬散、防流失、防渗漏、防雨措施；</w:t>
            </w:r>
          </w:p>
          <w:p w14:paraId="1D90A0E1">
            <w:pPr>
              <w:widowControl/>
              <w:adjustRightInd w:val="0"/>
              <w:snapToGrid w:val="0"/>
              <w:ind w:firstLine="420" w:firstLineChars="200"/>
              <w:jc w:val="left"/>
              <w:rPr>
                <w:rFonts w:ascii="Times New Roman" w:hAnsi="Times New Roman" w:cs="Times New Roman"/>
                <w:szCs w:val="21"/>
              </w:rPr>
            </w:pPr>
            <w:r>
              <w:rPr>
                <w:rFonts w:ascii="Times New Roman" w:hAnsi="Times New Roman" w:cs="Times New Roman"/>
                <w:szCs w:val="21"/>
              </w:rPr>
              <w:t>②固体废物贮存场所在醒目处设置一个标志牌，具体按照《环境保护图形标志》规定制作。</w:t>
            </w:r>
          </w:p>
          <w:p w14:paraId="28E1B3A3">
            <w:pPr>
              <w:widowControl/>
              <w:adjustRightInd w:val="0"/>
              <w:snapToGrid w:val="0"/>
              <w:ind w:firstLine="420" w:firstLineChars="200"/>
              <w:jc w:val="left"/>
              <w:rPr>
                <w:rFonts w:ascii="Times New Roman" w:hAnsi="Times New Roman" w:cs="Times New Roman"/>
                <w:szCs w:val="21"/>
              </w:rPr>
            </w:pPr>
            <w:r>
              <w:rPr>
                <w:rFonts w:ascii="Times New Roman" w:hAnsi="Times New Roman" w:cs="Times New Roman"/>
                <w:szCs w:val="21"/>
              </w:rPr>
              <w:t>本项目产生的危险废物应按照</w:t>
            </w:r>
            <w:r>
              <w:rPr>
                <w:rFonts w:ascii="Times New Roman" w:hAnsi="Times New Roman" w:eastAsia="宋体" w:cs="Times New Roman"/>
                <w:szCs w:val="21"/>
              </w:rPr>
              <w:t>《危险废物贮存污染控制标准》（GB18597-2023）中要求进行</w:t>
            </w:r>
            <w:r>
              <w:rPr>
                <w:rFonts w:hint="eastAsia" w:ascii="Times New Roman" w:hAnsi="Times New Roman" w:eastAsia="宋体" w:cs="Times New Roman"/>
                <w:szCs w:val="21"/>
              </w:rPr>
              <w:t>分类</w:t>
            </w:r>
            <w:r>
              <w:rPr>
                <w:rFonts w:ascii="Times New Roman" w:hAnsi="Times New Roman" w:eastAsia="宋体" w:cs="Times New Roman"/>
                <w:szCs w:val="21"/>
              </w:rPr>
              <w:t>贮存和处置。</w:t>
            </w:r>
          </w:p>
          <w:p w14:paraId="5EA6C335">
            <w:pPr>
              <w:widowControl/>
              <w:adjustRightInd w:val="0"/>
              <w:snapToGrid w:val="0"/>
              <w:ind w:firstLine="420" w:firstLineChars="200"/>
              <w:jc w:val="left"/>
              <w:rPr>
                <w:rFonts w:ascii="Times New Roman" w:hAnsi="Times New Roman" w:cs="Times New Roman"/>
                <w:szCs w:val="21"/>
              </w:rPr>
            </w:pPr>
            <w:r>
              <w:rPr>
                <w:rFonts w:ascii="Times New Roman" w:hAnsi="Times New Roman" w:cs="Times New Roman"/>
                <w:szCs w:val="21"/>
              </w:rPr>
              <w:t>（5）环境保护图形标志</w:t>
            </w:r>
          </w:p>
          <w:p w14:paraId="4B7B189A">
            <w:pPr>
              <w:widowControl/>
              <w:adjustRightInd w:val="0"/>
              <w:snapToGrid w:val="0"/>
              <w:ind w:firstLine="420" w:firstLineChars="200"/>
              <w:jc w:val="left"/>
              <w:rPr>
                <w:rFonts w:ascii="Times New Roman" w:hAnsi="Times New Roman" w:cs="Times New Roman"/>
                <w:szCs w:val="21"/>
              </w:rPr>
            </w:pPr>
            <w:r>
              <w:rPr>
                <w:rFonts w:ascii="Times New Roman" w:hAnsi="Times New Roman" w:cs="Times New Roman"/>
                <w:szCs w:val="21"/>
              </w:rPr>
              <w:t>在厂区的废气排放口、</w:t>
            </w:r>
            <w:r>
              <w:rPr>
                <w:rFonts w:hint="eastAsia" w:ascii="Times New Roman" w:hAnsi="Times New Roman" w:cs="Times New Roman"/>
                <w:szCs w:val="21"/>
              </w:rPr>
              <w:t>废水排放口、</w:t>
            </w:r>
            <w:r>
              <w:rPr>
                <w:rFonts w:ascii="Times New Roman" w:hAnsi="Times New Roman" w:cs="Times New Roman"/>
                <w:szCs w:val="21"/>
              </w:rPr>
              <w:t>噪声排放源、固体废物贮存处置场应设置环境保护图形标志，图形符号分为提示图形和警告图形符号两种，分别按GB15562.1-1995、GB15562.2-1995、GB18597-2023执行。</w:t>
            </w:r>
          </w:p>
          <w:p w14:paraId="5B7CCF10">
            <w:pPr>
              <w:adjustRightInd w:val="0"/>
              <w:snapToGrid w:val="0"/>
              <w:ind w:firstLine="420" w:firstLineChars="200"/>
              <w:rPr>
                <w:rFonts w:ascii="Times New Roman" w:hAnsi="Times New Roman" w:eastAsia="宋体" w:cs="Times New Roman"/>
                <w:szCs w:val="21"/>
              </w:rPr>
            </w:pPr>
            <w:r>
              <w:rPr>
                <w:rFonts w:ascii="Times New Roman" w:hAnsi="Times New Roman" w:eastAsia="宋体" w:cs="Times New Roman"/>
                <w:szCs w:val="21"/>
              </w:rPr>
              <w:t>环境保护图形符号见下表。</w:t>
            </w:r>
          </w:p>
          <w:p w14:paraId="6983B20D">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表5-1  环境保护图形符号一览表</w:t>
            </w:r>
          </w:p>
          <w:tbl>
            <w:tblPr>
              <w:tblStyle w:val="26"/>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135"/>
              <w:gridCol w:w="2263"/>
              <w:gridCol w:w="1849"/>
            </w:tblGrid>
            <w:tr w14:paraId="699A61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62" w:type="pct"/>
                  <w:tcBorders>
                    <w:tl2br w:val="nil"/>
                    <w:tr2bl w:val="nil"/>
                  </w:tcBorders>
                  <w:vAlign w:val="center"/>
                </w:tcPr>
                <w:p w14:paraId="5E77FFFB">
                  <w:pPr>
                    <w:adjustRightInd w:val="0"/>
                    <w:snapToGrid w:val="0"/>
                    <w:jc w:val="center"/>
                    <w:rPr>
                      <w:rFonts w:ascii="Times New Roman" w:hAnsi="Times New Roman" w:eastAsia="宋体" w:cs="Times New Roman"/>
                      <w:b/>
                      <w:bCs/>
                      <w:szCs w:val="21"/>
                    </w:rPr>
                  </w:pPr>
                  <w:bookmarkStart w:id="22" w:name="10.2.4企业环境信息公开"/>
                  <w:bookmarkEnd w:id="22"/>
                  <w:r>
                    <w:rPr>
                      <w:rFonts w:ascii="Times New Roman" w:hAnsi="Times New Roman" w:eastAsia="宋体" w:cs="Times New Roman"/>
                      <w:b/>
                      <w:bCs/>
                      <w:szCs w:val="21"/>
                    </w:rPr>
                    <w:t>图形标志</w:t>
                  </w:r>
                </w:p>
              </w:tc>
              <w:tc>
                <w:tcPr>
                  <w:tcW w:w="1561" w:type="pct"/>
                  <w:tcBorders>
                    <w:tl2br w:val="nil"/>
                    <w:tr2bl w:val="nil"/>
                  </w:tcBorders>
                  <w:vAlign w:val="center"/>
                </w:tcPr>
                <w:p w14:paraId="6EC8CEDA">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图形代表意义</w:t>
                  </w:r>
                </w:p>
              </w:tc>
              <w:tc>
                <w:tcPr>
                  <w:tcW w:w="1275" w:type="pct"/>
                  <w:tcBorders>
                    <w:tl2br w:val="nil"/>
                    <w:tr2bl w:val="nil"/>
                  </w:tcBorders>
                  <w:vAlign w:val="center"/>
                </w:tcPr>
                <w:p w14:paraId="0BD2F74E">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符号简介</w:t>
                  </w:r>
                </w:p>
              </w:tc>
            </w:tr>
            <w:tr w14:paraId="50674B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62" w:type="pct"/>
                  <w:tcBorders>
                    <w:tl2br w:val="nil"/>
                    <w:tr2bl w:val="nil"/>
                  </w:tcBorders>
                  <w:vAlign w:val="center"/>
                </w:tcPr>
                <w:p w14:paraId="02CA31A7">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761365" cy="772160"/>
                        <wp:effectExtent l="0" t="0" r="635" b="15240"/>
                        <wp:docPr id="2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4"/>
                                <pic:cNvPicPr>
                                  <a:picLocks noChangeAspect="1"/>
                                </pic:cNvPicPr>
                              </pic:nvPicPr>
                              <pic:blipFill>
                                <a:blip r:embed="rId21"/>
                                <a:stretch>
                                  <a:fillRect/>
                                </a:stretch>
                              </pic:blipFill>
                              <pic:spPr>
                                <a:xfrm>
                                  <a:off x="0" y="0"/>
                                  <a:ext cx="761365" cy="772160"/>
                                </a:xfrm>
                                <a:prstGeom prst="rect">
                                  <a:avLst/>
                                </a:prstGeom>
                                <a:noFill/>
                                <a:ln>
                                  <a:noFill/>
                                </a:ln>
                              </pic:spPr>
                            </pic:pic>
                          </a:graphicData>
                        </a:graphic>
                      </wp:inline>
                    </w:drawing>
                  </w:r>
                </w:p>
              </w:tc>
              <w:tc>
                <w:tcPr>
                  <w:tcW w:w="1561" w:type="pct"/>
                  <w:tcBorders>
                    <w:tl2br w:val="nil"/>
                    <w:tr2bl w:val="nil"/>
                  </w:tcBorders>
                  <w:vAlign w:val="center"/>
                </w:tcPr>
                <w:p w14:paraId="71392409">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标志名称：废气排放口国标代码：GB15562.1-1995</w:t>
                  </w:r>
                </w:p>
              </w:tc>
              <w:tc>
                <w:tcPr>
                  <w:tcW w:w="1275" w:type="pct"/>
                  <w:tcBorders>
                    <w:tl2br w:val="nil"/>
                    <w:tr2bl w:val="nil"/>
                  </w:tcBorders>
                  <w:vAlign w:val="center"/>
                </w:tcPr>
                <w:p w14:paraId="5D60B55D">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提示图形符号废气</w:t>
                  </w:r>
                </w:p>
                <w:p w14:paraId="1FF29B14">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排放口</w:t>
                  </w:r>
                </w:p>
                <w:p w14:paraId="1568EC74">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表示废气向大气环境排放</w:t>
                  </w:r>
                </w:p>
              </w:tc>
            </w:tr>
            <w:tr w14:paraId="30EDFA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62" w:type="pct"/>
                  <w:tcBorders>
                    <w:tl2br w:val="nil"/>
                    <w:tr2bl w:val="nil"/>
                  </w:tcBorders>
                  <w:vAlign w:val="center"/>
                </w:tcPr>
                <w:p w14:paraId="15EA56DE">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793750" cy="743585"/>
                        <wp:effectExtent l="0" t="0" r="19050" b="18415"/>
                        <wp:docPr id="2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5"/>
                                <pic:cNvPicPr>
                                  <a:picLocks noChangeAspect="1"/>
                                </pic:cNvPicPr>
                              </pic:nvPicPr>
                              <pic:blipFill>
                                <a:blip r:embed="rId22"/>
                                <a:stretch>
                                  <a:fillRect/>
                                </a:stretch>
                              </pic:blipFill>
                              <pic:spPr>
                                <a:xfrm>
                                  <a:off x="0" y="0"/>
                                  <a:ext cx="793750" cy="743585"/>
                                </a:xfrm>
                                <a:prstGeom prst="rect">
                                  <a:avLst/>
                                </a:prstGeom>
                                <a:noFill/>
                                <a:ln>
                                  <a:noFill/>
                                </a:ln>
                              </pic:spPr>
                            </pic:pic>
                          </a:graphicData>
                        </a:graphic>
                      </wp:inline>
                    </w:drawing>
                  </w:r>
                </w:p>
              </w:tc>
              <w:tc>
                <w:tcPr>
                  <w:tcW w:w="1561" w:type="pct"/>
                  <w:tcBorders>
                    <w:tl2br w:val="nil"/>
                    <w:tr2bl w:val="nil"/>
                  </w:tcBorders>
                  <w:vAlign w:val="center"/>
                </w:tcPr>
                <w:p w14:paraId="0277F8A8">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标志名称：废气排放口国标代码：GB15562.1-1995</w:t>
                  </w:r>
                </w:p>
              </w:tc>
              <w:tc>
                <w:tcPr>
                  <w:tcW w:w="1275" w:type="pct"/>
                  <w:tcBorders>
                    <w:tl2br w:val="nil"/>
                    <w:tr2bl w:val="nil"/>
                  </w:tcBorders>
                  <w:vAlign w:val="center"/>
                </w:tcPr>
                <w:p w14:paraId="3BF67A0E">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警告图形符号废气</w:t>
                  </w:r>
                </w:p>
                <w:p w14:paraId="66292D35">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排放口</w:t>
                  </w:r>
                </w:p>
                <w:p w14:paraId="4C0F26BB">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表示废气向大气环境排放</w:t>
                  </w:r>
                </w:p>
              </w:tc>
            </w:tr>
            <w:tr w14:paraId="176DA4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62" w:type="pct"/>
                  <w:tcBorders>
                    <w:tl2br w:val="nil"/>
                    <w:tr2bl w:val="nil"/>
                  </w:tcBorders>
                  <w:vAlign w:val="center"/>
                </w:tcPr>
                <w:p w14:paraId="4A990D8A">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720725" cy="722630"/>
                        <wp:effectExtent l="0" t="0" r="15875" b="13970"/>
                        <wp:docPr id="2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6"/>
                                <pic:cNvPicPr>
                                  <a:picLocks noChangeAspect="1"/>
                                </pic:cNvPicPr>
                              </pic:nvPicPr>
                              <pic:blipFill>
                                <a:blip r:embed="rId23"/>
                                <a:stretch>
                                  <a:fillRect/>
                                </a:stretch>
                              </pic:blipFill>
                              <pic:spPr>
                                <a:xfrm>
                                  <a:off x="0" y="0"/>
                                  <a:ext cx="720725" cy="722630"/>
                                </a:xfrm>
                                <a:prstGeom prst="rect">
                                  <a:avLst/>
                                </a:prstGeom>
                                <a:noFill/>
                                <a:ln>
                                  <a:noFill/>
                                </a:ln>
                              </pic:spPr>
                            </pic:pic>
                          </a:graphicData>
                        </a:graphic>
                      </wp:inline>
                    </w:drawing>
                  </w:r>
                </w:p>
              </w:tc>
              <w:tc>
                <w:tcPr>
                  <w:tcW w:w="1561" w:type="pct"/>
                  <w:tcBorders>
                    <w:tl2br w:val="nil"/>
                    <w:tr2bl w:val="nil"/>
                  </w:tcBorders>
                  <w:vAlign w:val="center"/>
                </w:tcPr>
                <w:p w14:paraId="096A874C">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标志名称：噪声排放源国标代码：GB15562.1-1995</w:t>
                  </w:r>
                </w:p>
              </w:tc>
              <w:tc>
                <w:tcPr>
                  <w:tcW w:w="1275" w:type="pct"/>
                  <w:tcBorders>
                    <w:tl2br w:val="nil"/>
                    <w:tr2bl w:val="nil"/>
                  </w:tcBorders>
                  <w:vAlign w:val="center"/>
                </w:tcPr>
                <w:p w14:paraId="1B68A9E4">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提示图形符号噪声</w:t>
                  </w:r>
                </w:p>
                <w:p w14:paraId="32281854">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排放源</w:t>
                  </w:r>
                </w:p>
                <w:p w14:paraId="323E6576">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表示噪声向外环境</w:t>
                  </w:r>
                </w:p>
                <w:p w14:paraId="4931A911">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排放</w:t>
                  </w:r>
                </w:p>
              </w:tc>
            </w:tr>
            <w:tr w14:paraId="052555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62" w:type="pct"/>
                  <w:tcBorders>
                    <w:tl2br w:val="nil"/>
                    <w:tr2bl w:val="nil"/>
                  </w:tcBorders>
                  <w:vAlign w:val="center"/>
                </w:tcPr>
                <w:p w14:paraId="1C6E4CA8">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754380" cy="731520"/>
                        <wp:effectExtent l="0" t="0" r="7620" b="5080"/>
                        <wp:docPr id="27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7"/>
                                <pic:cNvPicPr>
                                  <a:picLocks noChangeAspect="1"/>
                                </pic:cNvPicPr>
                              </pic:nvPicPr>
                              <pic:blipFill>
                                <a:blip r:embed="rId24"/>
                                <a:stretch>
                                  <a:fillRect/>
                                </a:stretch>
                              </pic:blipFill>
                              <pic:spPr>
                                <a:xfrm>
                                  <a:off x="0" y="0"/>
                                  <a:ext cx="754380" cy="731520"/>
                                </a:xfrm>
                                <a:prstGeom prst="rect">
                                  <a:avLst/>
                                </a:prstGeom>
                                <a:noFill/>
                                <a:ln>
                                  <a:noFill/>
                                </a:ln>
                              </pic:spPr>
                            </pic:pic>
                          </a:graphicData>
                        </a:graphic>
                      </wp:inline>
                    </w:drawing>
                  </w:r>
                </w:p>
              </w:tc>
              <w:tc>
                <w:tcPr>
                  <w:tcW w:w="1561" w:type="pct"/>
                  <w:tcBorders>
                    <w:tl2br w:val="nil"/>
                    <w:tr2bl w:val="nil"/>
                  </w:tcBorders>
                  <w:vAlign w:val="center"/>
                </w:tcPr>
                <w:p w14:paraId="41E6267B">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标志名称：噪声排放源国标代码：GB15562.1-1995</w:t>
                  </w:r>
                </w:p>
              </w:tc>
              <w:tc>
                <w:tcPr>
                  <w:tcW w:w="1275" w:type="pct"/>
                  <w:tcBorders>
                    <w:tl2br w:val="nil"/>
                    <w:tr2bl w:val="nil"/>
                  </w:tcBorders>
                  <w:vAlign w:val="center"/>
                </w:tcPr>
                <w:p w14:paraId="72C9AEC7">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警告图形符号噪声</w:t>
                  </w:r>
                </w:p>
                <w:p w14:paraId="0E9C0473">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排放源</w:t>
                  </w:r>
                </w:p>
                <w:p w14:paraId="447CEAE8">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表示噪声向外环境</w:t>
                  </w:r>
                </w:p>
                <w:p w14:paraId="7A0054AE">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排放</w:t>
                  </w:r>
                </w:p>
              </w:tc>
            </w:tr>
            <w:tr w14:paraId="310787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62" w:type="pct"/>
                  <w:tcBorders>
                    <w:tl2br w:val="nil"/>
                    <w:tr2bl w:val="nil"/>
                  </w:tcBorders>
                  <w:vAlign w:val="center"/>
                </w:tcPr>
                <w:p w14:paraId="3B1B8C63">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851535" cy="701675"/>
                        <wp:effectExtent l="0" t="0" r="12065" b="9525"/>
                        <wp:docPr id="2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8"/>
                                <pic:cNvPicPr>
                                  <a:picLocks noChangeAspect="1"/>
                                </pic:cNvPicPr>
                              </pic:nvPicPr>
                              <pic:blipFill>
                                <a:blip r:embed="rId25"/>
                                <a:stretch>
                                  <a:fillRect/>
                                </a:stretch>
                              </pic:blipFill>
                              <pic:spPr>
                                <a:xfrm>
                                  <a:off x="0" y="0"/>
                                  <a:ext cx="851535" cy="701675"/>
                                </a:xfrm>
                                <a:prstGeom prst="rect">
                                  <a:avLst/>
                                </a:prstGeom>
                                <a:noFill/>
                                <a:ln>
                                  <a:noFill/>
                                </a:ln>
                              </pic:spPr>
                            </pic:pic>
                          </a:graphicData>
                        </a:graphic>
                      </wp:inline>
                    </w:drawing>
                  </w:r>
                </w:p>
              </w:tc>
              <w:tc>
                <w:tcPr>
                  <w:tcW w:w="1561" w:type="pct"/>
                  <w:tcBorders>
                    <w:tl2br w:val="nil"/>
                    <w:tr2bl w:val="nil"/>
                  </w:tcBorders>
                  <w:vAlign w:val="center"/>
                </w:tcPr>
                <w:p w14:paraId="49BB00B3">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标志名称：固体废物提示国标代码：</w:t>
                  </w:r>
                  <w:r>
                    <w:rPr>
                      <w:rFonts w:ascii="Times New Roman" w:hAnsi="Times New Roman" w:cs="Times New Roman"/>
                      <w:szCs w:val="21"/>
                    </w:rPr>
                    <w:t>GB18597-2023</w:t>
                  </w:r>
                </w:p>
              </w:tc>
              <w:tc>
                <w:tcPr>
                  <w:tcW w:w="1275" w:type="pct"/>
                  <w:tcBorders>
                    <w:tl2br w:val="nil"/>
                    <w:tr2bl w:val="nil"/>
                  </w:tcBorders>
                  <w:vAlign w:val="center"/>
                </w:tcPr>
                <w:p w14:paraId="621B8E85">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固体废物提示</w:t>
                  </w:r>
                </w:p>
              </w:tc>
            </w:tr>
            <w:tr w14:paraId="758B1D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62" w:type="pct"/>
                  <w:tcBorders>
                    <w:tl2br w:val="nil"/>
                    <w:tr2bl w:val="nil"/>
                  </w:tcBorders>
                  <w:vAlign w:val="center"/>
                </w:tcPr>
                <w:p w14:paraId="64D3E7A0">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802640" cy="755650"/>
                        <wp:effectExtent l="0" t="0" r="10160" b="6350"/>
                        <wp:docPr id="27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9"/>
                                <pic:cNvPicPr>
                                  <a:picLocks noChangeAspect="1"/>
                                </pic:cNvPicPr>
                              </pic:nvPicPr>
                              <pic:blipFill>
                                <a:blip r:embed="rId26"/>
                                <a:stretch>
                                  <a:fillRect/>
                                </a:stretch>
                              </pic:blipFill>
                              <pic:spPr>
                                <a:xfrm>
                                  <a:off x="0" y="0"/>
                                  <a:ext cx="802640" cy="755650"/>
                                </a:xfrm>
                                <a:prstGeom prst="rect">
                                  <a:avLst/>
                                </a:prstGeom>
                                <a:noFill/>
                                <a:ln>
                                  <a:noFill/>
                                </a:ln>
                              </pic:spPr>
                            </pic:pic>
                          </a:graphicData>
                        </a:graphic>
                      </wp:inline>
                    </w:drawing>
                  </w:r>
                </w:p>
              </w:tc>
              <w:tc>
                <w:tcPr>
                  <w:tcW w:w="1561" w:type="pct"/>
                  <w:tcBorders>
                    <w:tl2br w:val="nil"/>
                    <w:tr2bl w:val="nil"/>
                  </w:tcBorders>
                  <w:vAlign w:val="center"/>
                </w:tcPr>
                <w:p w14:paraId="6027F8E2">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标志名称：一般固体废物国标代码：GB15562.1-1995</w:t>
                  </w:r>
                </w:p>
              </w:tc>
              <w:tc>
                <w:tcPr>
                  <w:tcW w:w="1275" w:type="pct"/>
                  <w:tcBorders>
                    <w:tl2br w:val="nil"/>
                    <w:tr2bl w:val="nil"/>
                  </w:tcBorders>
                  <w:vAlign w:val="center"/>
                </w:tcPr>
                <w:p w14:paraId="64C7CB6E">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一般固体废物</w:t>
                  </w:r>
                </w:p>
              </w:tc>
            </w:tr>
            <w:tr w14:paraId="5AB775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62" w:type="pct"/>
                  <w:tcBorders>
                    <w:tl2br w:val="nil"/>
                    <w:tr2bl w:val="nil"/>
                  </w:tcBorders>
                  <w:vAlign w:val="center"/>
                </w:tcPr>
                <w:p w14:paraId="2556E1F5">
                  <w:pPr>
                    <w:adjustRightInd w:val="0"/>
                    <w:snapToGrid w:val="0"/>
                    <w:jc w:val="center"/>
                    <w:rPr>
                      <w:rFonts w:ascii="Times New Roman" w:hAnsi="Times New Roman" w:eastAsia="宋体" w:cs="Times New Roman"/>
                      <w:szCs w:val="21"/>
                    </w:rPr>
                  </w:pPr>
                  <w:r>
                    <w:rPr>
                      <w:rFonts w:ascii="Times New Roman" w:hAnsi="Times New Roman" w:cs="Times New Roman"/>
                      <w:szCs w:val="21"/>
                    </w:rPr>
                    <w:drawing>
                      <wp:inline distT="0" distB="0" distL="114300" distR="114300">
                        <wp:extent cx="1855470" cy="1197610"/>
                        <wp:effectExtent l="0" t="0" r="24130" b="2159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7"/>
                                <a:stretch>
                                  <a:fillRect/>
                                </a:stretch>
                              </pic:blipFill>
                              <pic:spPr>
                                <a:xfrm>
                                  <a:off x="0" y="0"/>
                                  <a:ext cx="1855470" cy="1197610"/>
                                </a:xfrm>
                                <a:prstGeom prst="rect">
                                  <a:avLst/>
                                </a:prstGeom>
                                <a:noFill/>
                                <a:ln>
                                  <a:noFill/>
                                </a:ln>
                              </pic:spPr>
                            </pic:pic>
                          </a:graphicData>
                        </a:graphic>
                      </wp:inline>
                    </w:drawing>
                  </w:r>
                </w:p>
              </w:tc>
              <w:tc>
                <w:tcPr>
                  <w:tcW w:w="1561" w:type="pct"/>
                  <w:tcBorders>
                    <w:tl2br w:val="nil"/>
                    <w:tr2bl w:val="nil"/>
                  </w:tcBorders>
                  <w:vAlign w:val="center"/>
                </w:tcPr>
                <w:p w14:paraId="6CFB1143">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标志名称：危险废物</w:t>
                  </w:r>
                </w:p>
                <w:p w14:paraId="787FF7DD">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国标代码：</w:t>
                  </w:r>
                  <w:r>
                    <w:rPr>
                      <w:rFonts w:ascii="Times New Roman" w:hAnsi="Times New Roman" w:cs="Times New Roman"/>
                      <w:szCs w:val="21"/>
                    </w:rPr>
                    <w:t>GB18597-2023</w:t>
                  </w:r>
                </w:p>
              </w:tc>
              <w:tc>
                <w:tcPr>
                  <w:tcW w:w="1275" w:type="pct"/>
                  <w:tcBorders>
                    <w:tl2br w:val="nil"/>
                    <w:tr2bl w:val="nil"/>
                  </w:tcBorders>
                  <w:vAlign w:val="center"/>
                </w:tcPr>
                <w:p w14:paraId="01743356">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危险废物贮存库</w:t>
                  </w:r>
                </w:p>
              </w:tc>
            </w:tr>
          </w:tbl>
          <w:p w14:paraId="3099681D">
            <w:pPr>
              <w:adjustRightInd w:val="0"/>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（6）排污口规范化管理</w:t>
            </w:r>
          </w:p>
          <w:p w14:paraId="74CD4EEB">
            <w:pPr>
              <w:adjustRightInd w:val="0"/>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排污口规范化管理具体要求见下表。</w:t>
            </w:r>
          </w:p>
          <w:p w14:paraId="2B84F4DD">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表5-2  排污口规范化管理要求表</w:t>
            </w:r>
          </w:p>
          <w:tbl>
            <w:tblPr>
              <w:tblStyle w:val="27"/>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6635"/>
            </w:tblGrid>
            <w:tr w14:paraId="26F099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tcBorders>
                    <w:tl2br w:val="nil"/>
                    <w:tr2bl w:val="nil"/>
                  </w:tcBorders>
                  <w:vAlign w:val="center"/>
                </w:tcPr>
                <w:p w14:paraId="55B23C45">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4575" w:type="pct"/>
                  <w:tcBorders>
                    <w:tl2br w:val="nil"/>
                    <w:tr2bl w:val="nil"/>
                  </w:tcBorders>
                  <w:vAlign w:val="center"/>
                </w:tcPr>
                <w:p w14:paraId="3CE6D5F1">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主要要求内容</w:t>
                  </w:r>
                </w:p>
              </w:tc>
            </w:tr>
            <w:tr w14:paraId="028D7B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tcBorders>
                    <w:tl2br w:val="nil"/>
                    <w:tr2bl w:val="nil"/>
                  </w:tcBorders>
                  <w:vAlign w:val="center"/>
                </w:tcPr>
                <w:p w14:paraId="2094A21D">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szCs w:val="21"/>
                    </w:rPr>
                    <w:t>基本原则</w:t>
                  </w:r>
                </w:p>
              </w:tc>
              <w:tc>
                <w:tcPr>
                  <w:tcW w:w="4575" w:type="pct"/>
                  <w:tcBorders>
                    <w:tl2br w:val="nil"/>
                    <w:tr2bl w:val="nil"/>
                  </w:tcBorders>
                  <w:vAlign w:val="center"/>
                </w:tcPr>
                <w:p w14:paraId="76C328F8">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1、凡向环境排放污染物的一切排污口必须进行规范化管理；</w:t>
                  </w:r>
                </w:p>
                <w:p w14:paraId="2CFC0411">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2、将总量控制的污染物排污口及行业特征污染物排放口列为管理的重点；</w:t>
                  </w:r>
                </w:p>
                <w:p w14:paraId="347B6153">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3、排污口设置应便于采样和计量监测，便于日常现场监督和检查；</w:t>
                  </w:r>
                </w:p>
                <w:p w14:paraId="61371A60">
                  <w:pPr>
                    <w:adjustRightInd w:val="0"/>
                    <w:snapToGrid w:val="0"/>
                    <w:jc w:val="left"/>
                    <w:rPr>
                      <w:rFonts w:ascii="Times New Roman" w:hAnsi="Times New Roman" w:eastAsia="宋体" w:cs="Times New Roman"/>
                      <w:b/>
                      <w:bCs/>
                      <w:szCs w:val="21"/>
                    </w:rPr>
                  </w:pPr>
                  <w:r>
                    <w:rPr>
                      <w:rFonts w:ascii="Times New Roman" w:hAnsi="Times New Roman" w:eastAsia="宋体" w:cs="Times New Roman"/>
                      <w:szCs w:val="21"/>
                    </w:rPr>
                    <w:t>4、如实向环保行政主管部门申报排污口位置，排污种类、数量、浓度与排放去向等。</w:t>
                  </w:r>
                </w:p>
              </w:tc>
            </w:tr>
            <w:tr w14:paraId="0F4F4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tcBorders>
                    <w:tl2br w:val="nil"/>
                    <w:tr2bl w:val="nil"/>
                  </w:tcBorders>
                  <w:vAlign w:val="center"/>
                </w:tcPr>
                <w:p w14:paraId="1F16C1D5">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szCs w:val="21"/>
                    </w:rPr>
                    <w:t>技术要求</w:t>
                  </w:r>
                </w:p>
              </w:tc>
              <w:tc>
                <w:tcPr>
                  <w:tcW w:w="4575" w:type="pct"/>
                  <w:tcBorders>
                    <w:tl2br w:val="nil"/>
                    <w:tr2bl w:val="nil"/>
                  </w:tcBorders>
                  <w:vAlign w:val="center"/>
                </w:tcPr>
                <w:p w14:paraId="51C9281E">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1、排污口位置必须按照环监〔1996〕470号文要求合理确定，实行规范化管理；</w:t>
                  </w:r>
                </w:p>
                <w:p w14:paraId="4970CA0A">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2、危险废物贮存设施应根据贮存的废物种类和特性按照GB18597-2023设置标志；</w:t>
                  </w:r>
                </w:p>
                <w:p w14:paraId="78FD3BB6">
                  <w:pPr>
                    <w:adjustRightInd w:val="0"/>
                    <w:snapToGrid w:val="0"/>
                    <w:jc w:val="left"/>
                    <w:rPr>
                      <w:rFonts w:ascii="Times New Roman" w:hAnsi="Times New Roman" w:eastAsia="宋体" w:cs="Times New Roman"/>
                      <w:b/>
                      <w:bCs/>
                      <w:szCs w:val="21"/>
                    </w:rPr>
                  </w:pPr>
                  <w:r>
                    <w:rPr>
                      <w:rFonts w:ascii="Times New Roman" w:hAnsi="Times New Roman" w:eastAsia="宋体" w:cs="Times New Roman"/>
                      <w:szCs w:val="21"/>
                    </w:rPr>
                    <w:t>3、具体设置应符合《污染源监测技术规范》的规定与要求。</w:t>
                  </w:r>
                </w:p>
              </w:tc>
            </w:tr>
            <w:tr w14:paraId="36B11D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tcBorders>
                    <w:tl2br w:val="nil"/>
                    <w:tr2bl w:val="nil"/>
                  </w:tcBorders>
                  <w:vAlign w:val="center"/>
                </w:tcPr>
                <w:p w14:paraId="0404A4A5">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szCs w:val="21"/>
                    </w:rPr>
                    <w:t>立标管理</w:t>
                  </w:r>
                </w:p>
              </w:tc>
              <w:tc>
                <w:tcPr>
                  <w:tcW w:w="4575" w:type="pct"/>
                  <w:tcBorders>
                    <w:tl2br w:val="nil"/>
                    <w:tr2bl w:val="nil"/>
                  </w:tcBorders>
                  <w:vAlign w:val="center"/>
                </w:tcPr>
                <w:p w14:paraId="6C2478B2">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1、排污口必须按照国家《环境保护图形标志》相关规定，设置环保图形标志牌；</w:t>
                  </w:r>
                </w:p>
                <w:p w14:paraId="12AAFC8A">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2、标志牌设置位置应距排污口及固体废物贮存（处置）场或采样点较近且醒目处，设置高度一般为标志牌上缘距离地面约2m；</w:t>
                  </w:r>
                </w:p>
                <w:p w14:paraId="3E73A8DE">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3、重点排污单位排污口设立式标志牌，一般单位排污口可设立式或平面固定式提示性环保图形标志牌；</w:t>
                  </w:r>
                </w:p>
                <w:p w14:paraId="642C99A0">
                  <w:pPr>
                    <w:adjustRightInd w:val="0"/>
                    <w:snapToGrid w:val="0"/>
                    <w:jc w:val="left"/>
                    <w:rPr>
                      <w:rFonts w:ascii="Times New Roman" w:hAnsi="Times New Roman" w:eastAsia="宋体" w:cs="Times New Roman"/>
                      <w:b/>
                      <w:bCs/>
                      <w:szCs w:val="21"/>
                    </w:rPr>
                  </w:pPr>
                  <w:r>
                    <w:rPr>
                      <w:rFonts w:ascii="Times New Roman" w:hAnsi="Times New Roman" w:eastAsia="宋体" w:cs="Times New Roman"/>
                      <w:szCs w:val="21"/>
                    </w:rPr>
                    <w:t>4、对危险物贮存、处置场所，必须设置警告性环境保护图形标志牌。</w:t>
                  </w:r>
                </w:p>
              </w:tc>
            </w:tr>
            <w:tr w14:paraId="1F718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tcBorders>
                    <w:tl2br w:val="nil"/>
                    <w:tr2bl w:val="nil"/>
                  </w:tcBorders>
                  <w:vAlign w:val="center"/>
                </w:tcPr>
                <w:p w14:paraId="218D2CFB">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szCs w:val="21"/>
                    </w:rPr>
                    <w:t>建档管理</w:t>
                  </w:r>
                </w:p>
              </w:tc>
              <w:tc>
                <w:tcPr>
                  <w:tcW w:w="4575" w:type="pct"/>
                  <w:tcBorders>
                    <w:tl2br w:val="nil"/>
                    <w:tr2bl w:val="nil"/>
                  </w:tcBorders>
                  <w:vAlign w:val="center"/>
                </w:tcPr>
                <w:p w14:paraId="4698FCBF">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1、使用《中华人民共和国规范化排污口标志登记证》，并按要求填写有关内容；</w:t>
                  </w:r>
                </w:p>
                <w:p w14:paraId="20913FD8">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2、严格按照环境管理监控计划及排污口管理内容要求，在工程建成后将主要污染物种类、数量、排放浓度与去向，立标及环保设施运行情况记录在案，并及时上报；</w:t>
                  </w:r>
                </w:p>
                <w:p w14:paraId="3DC892F7">
                  <w:pPr>
                    <w:adjustRightInd w:val="0"/>
                    <w:snapToGrid w:val="0"/>
                    <w:jc w:val="left"/>
                    <w:rPr>
                      <w:rFonts w:ascii="Times New Roman" w:hAnsi="Times New Roman" w:eastAsia="宋体" w:cs="Times New Roman"/>
                      <w:b/>
                      <w:bCs/>
                      <w:szCs w:val="21"/>
                    </w:rPr>
                  </w:pPr>
                  <w:r>
                    <w:rPr>
                      <w:rFonts w:ascii="Times New Roman" w:hAnsi="Times New Roman" w:eastAsia="宋体" w:cs="Times New Roman"/>
                      <w:szCs w:val="21"/>
                    </w:rPr>
                    <w:t>3、选派有专业技能环保人员对排污口进行管理，做到责任明确、奖罚分明。</w:t>
                  </w:r>
                </w:p>
              </w:tc>
            </w:tr>
          </w:tbl>
          <w:p w14:paraId="2702B989">
            <w:pPr>
              <w:tabs>
                <w:tab w:val="left" w:pos="2757"/>
              </w:tabs>
              <w:adjustRightInd w:val="0"/>
              <w:snapToGrid w:val="0"/>
              <w:ind w:left="420" w:leftChars="200"/>
              <w:jc w:val="left"/>
              <w:rPr>
                <w:rFonts w:ascii="Times New Roman" w:hAnsi="Times New Roman" w:eastAsia="宋体" w:cs="Times New Roman"/>
                <w:b/>
                <w:bCs/>
                <w:szCs w:val="21"/>
              </w:rPr>
            </w:pPr>
            <w:r>
              <w:rPr>
                <w:rFonts w:ascii="Times New Roman" w:hAnsi="Times New Roman" w:eastAsia="宋体" w:cs="Times New Roman"/>
                <w:b/>
                <w:bCs/>
                <w:szCs w:val="21"/>
              </w:rPr>
              <w:t>3.例行监测计划</w:t>
            </w:r>
          </w:p>
          <w:p w14:paraId="37A507E5">
            <w:pPr>
              <w:adjustRightInd w:val="0"/>
              <w:snapToGrid w:val="0"/>
              <w:ind w:firstLine="420" w:firstLineChars="200"/>
              <w:jc w:val="left"/>
              <w:rPr>
                <w:rFonts w:ascii="Times New Roman" w:hAnsi="Times New Roman" w:eastAsia="宋体" w:cs="Times New Roman"/>
                <w:b/>
                <w:bCs/>
                <w:szCs w:val="21"/>
              </w:rPr>
            </w:pPr>
            <w:r>
              <w:rPr>
                <w:rFonts w:ascii="Times New Roman" w:hAnsi="Times New Roman" w:eastAsia="宋体" w:cs="Times New Roman"/>
                <w:szCs w:val="21"/>
              </w:rPr>
              <w:t>监测工作安排委托有资质单位完成，参照《排污单位自行监测技术指南 总则》（HJ 819-2017），按照要求进行自行监测。</w:t>
            </w:r>
          </w:p>
          <w:p w14:paraId="52D1DCB2">
            <w:pPr>
              <w:widowControl/>
              <w:jc w:val="left"/>
              <w:rPr>
                <w:rFonts w:ascii="Times New Roman" w:hAnsi="Times New Roman" w:eastAsia="宋体" w:cs="Times New Roman"/>
                <w:szCs w:val="21"/>
              </w:rPr>
            </w:pPr>
            <w:r>
              <w:rPr>
                <w:rFonts w:ascii="Times New Roman" w:hAnsi="Times New Roman" w:eastAsia="宋体" w:cs="Times New Roman"/>
                <w:b/>
                <w:bCs/>
                <w:szCs w:val="21"/>
              </w:rPr>
              <w:t>4.填报排污许可证</w:t>
            </w:r>
          </w:p>
          <w:p w14:paraId="4254BDEB">
            <w:pPr>
              <w:widowControl/>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建设单位在验收投产前需取得排污许可证，按照《固定污染源排污许可分类管理名录》（2019年版）的要求，在全国排污许可证管理平台填报。</w:t>
            </w:r>
          </w:p>
          <w:p w14:paraId="13CE241D">
            <w:pPr>
              <w:adjustRightInd w:val="0"/>
              <w:snapToGrid w:val="0"/>
              <w:jc w:val="left"/>
              <w:rPr>
                <w:rFonts w:ascii="Times New Roman" w:hAnsi="Times New Roman" w:eastAsia="宋体" w:cs="Times New Roman"/>
                <w:b/>
                <w:bCs/>
                <w:szCs w:val="21"/>
              </w:rPr>
            </w:pPr>
            <w:r>
              <w:rPr>
                <w:rFonts w:ascii="Times New Roman" w:hAnsi="Times New Roman" w:eastAsia="宋体" w:cs="Times New Roman"/>
                <w:b/>
                <w:bCs/>
                <w:szCs w:val="21"/>
              </w:rPr>
              <w:t>5.编制突发环境事件应急预案</w:t>
            </w:r>
          </w:p>
          <w:p w14:paraId="62C2C328">
            <w:pPr>
              <w:adjustRightInd w:val="0"/>
              <w:snapToGrid w:val="0"/>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建设单位在验收投产前需</w:t>
            </w:r>
            <w:r>
              <w:rPr>
                <w:rFonts w:hint="eastAsia" w:ascii="Times New Roman" w:hAnsi="Times New Roman" w:eastAsia="宋体" w:cs="Times New Roman"/>
                <w:szCs w:val="21"/>
              </w:rPr>
              <w:t>编制</w:t>
            </w:r>
            <w:r>
              <w:rPr>
                <w:rFonts w:ascii="Times New Roman" w:hAnsi="Times New Roman" w:eastAsia="宋体" w:cs="Times New Roman"/>
                <w:szCs w:val="21"/>
              </w:rPr>
              <w:t>突发环境事件应急预案，并报宝鸡市生态环境局</w:t>
            </w:r>
            <w:r>
              <w:rPr>
                <w:rFonts w:hint="eastAsia" w:ascii="Times New Roman" w:hAnsi="Times New Roman" w:eastAsia="宋体" w:cs="Times New Roman"/>
                <w:szCs w:val="21"/>
              </w:rPr>
              <w:t>渭滨区</w:t>
            </w:r>
            <w:r>
              <w:rPr>
                <w:rFonts w:ascii="Times New Roman" w:hAnsi="Times New Roman" w:eastAsia="宋体" w:cs="Times New Roman"/>
                <w:szCs w:val="21"/>
              </w:rPr>
              <w:t>分局进行备案。</w:t>
            </w:r>
          </w:p>
          <w:p w14:paraId="16A388D1">
            <w:pPr>
              <w:pStyle w:val="12"/>
              <w:rPr>
                <w:rFonts w:ascii="Times New Roman" w:hAnsi="Times New Roman" w:eastAsia="宋体" w:cs="Times New Roman"/>
                <w:sz w:val="21"/>
                <w:szCs w:val="21"/>
              </w:rPr>
            </w:pPr>
          </w:p>
          <w:p w14:paraId="63F03C2B">
            <w:pPr>
              <w:pStyle w:val="12"/>
              <w:rPr>
                <w:rFonts w:ascii="Times New Roman" w:hAnsi="Times New Roman" w:eastAsia="宋体" w:cs="Times New Roman"/>
                <w:sz w:val="21"/>
                <w:szCs w:val="21"/>
              </w:rPr>
            </w:pPr>
          </w:p>
          <w:p w14:paraId="60FC5722">
            <w:pPr>
              <w:pStyle w:val="12"/>
              <w:rPr>
                <w:rFonts w:ascii="Times New Roman" w:hAnsi="Times New Roman" w:eastAsia="宋体" w:cs="Times New Roman"/>
                <w:sz w:val="21"/>
                <w:szCs w:val="21"/>
              </w:rPr>
            </w:pPr>
          </w:p>
          <w:p w14:paraId="66510DCC">
            <w:pPr>
              <w:pStyle w:val="12"/>
              <w:rPr>
                <w:rFonts w:ascii="Times New Roman" w:hAnsi="Times New Roman" w:eastAsia="宋体" w:cs="Times New Roman"/>
                <w:sz w:val="21"/>
                <w:szCs w:val="21"/>
              </w:rPr>
            </w:pPr>
          </w:p>
          <w:p w14:paraId="736921DE">
            <w:pPr>
              <w:pStyle w:val="12"/>
              <w:rPr>
                <w:rFonts w:ascii="Times New Roman" w:hAnsi="Times New Roman" w:eastAsia="宋体" w:cs="Times New Roman"/>
                <w:sz w:val="21"/>
                <w:szCs w:val="21"/>
              </w:rPr>
            </w:pPr>
          </w:p>
          <w:p w14:paraId="1444AD79">
            <w:pPr>
              <w:pStyle w:val="12"/>
              <w:rPr>
                <w:rFonts w:ascii="Times New Roman" w:hAnsi="Times New Roman" w:eastAsia="宋体" w:cs="Times New Roman"/>
                <w:sz w:val="21"/>
                <w:szCs w:val="21"/>
              </w:rPr>
            </w:pPr>
          </w:p>
          <w:p w14:paraId="66A9050E">
            <w:pPr>
              <w:pStyle w:val="12"/>
              <w:rPr>
                <w:rFonts w:ascii="Times New Roman" w:hAnsi="Times New Roman" w:eastAsia="宋体" w:cs="Times New Roman"/>
                <w:sz w:val="21"/>
                <w:szCs w:val="21"/>
              </w:rPr>
            </w:pPr>
          </w:p>
          <w:p w14:paraId="07F0C4F2">
            <w:pPr>
              <w:pStyle w:val="12"/>
              <w:rPr>
                <w:rFonts w:ascii="Times New Roman" w:hAnsi="Times New Roman" w:eastAsia="宋体" w:cs="Times New Roman"/>
                <w:sz w:val="21"/>
                <w:szCs w:val="21"/>
              </w:rPr>
            </w:pPr>
          </w:p>
          <w:p w14:paraId="6BA63DFA">
            <w:pPr>
              <w:pStyle w:val="12"/>
              <w:rPr>
                <w:rFonts w:ascii="Times New Roman" w:hAnsi="Times New Roman" w:eastAsia="宋体" w:cs="Times New Roman"/>
                <w:sz w:val="21"/>
                <w:szCs w:val="21"/>
              </w:rPr>
            </w:pPr>
          </w:p>
          <w:p w14:paraId="5A33AC2D">
            <w:pPr>
              <w:pStyle w:val="12"/>
              <w:rPr>
                <w:rFonts w:ascii="Times New Roman" w:hAnsi="Times New Roman" w:eastAsia="宋体" w:cs="Times New Roman"/>
                <w:sz w:val="21"/>
                <w:szCs w:val="21"/>
              </w:rPr>
            </w:pPr>
          </w:p>
          <w:p w14:paraId="56F74945">
            <w:pPr>
              <w:pStyle w:val="12"/>
              <w:rPr>
                <w:rFonts w:ascii="Times New Roman" w:hAnsi="Times New Roman" w:eastAsia="宋体" w:cs="Times New Roman"/>
                <w:sz w:val="21"/>
                <w:szCs w:val="21"/>
              </w:rPr>
            </w:pPr>
          </w:p>
          <w:p w14:paraId="17395B50">
            <w:pPr>
              <w:pStyle w:val="12"/>
              <w:rPr>
                <w:rFonts w:ascii="Times New Roman" w:hAnsi="Times New Roman" w:eastAsia="宋体" w:cs="Times New Roman"/>
                <w:sz w:val="21"/>
                <w:szCs w:val="21"/>
              </w:rPr>
            </w:pPr>
          </w:p>
          <w:p w14:paraId="227F4DD8">
            <w:pPr>
              <w:pStyle w:val="12"/>
              <w:rPr>
                <w:rFonts w:ascii="Times New Roman" w:hAnsi="Times New Roman" w:eastAsia="宋体" w:cs="Times New Roman"/>
                <w:sz w:val="21"/>
                <w:szCs w:val="21"/>
              </w:rPr>
            </w:pPr>
          </w:p>
          <w:p w14:paraId="6302223B">
            <w:pPr>
              <w:pStyle w:val="12"/>
              <w:rPr>
                <w:rFonts w:ascii="Times New Roman" w:hAnsi="Times New Roman" w:eastAsia="宋体" w:cs="Times New Roman"/>
                <w:sz w:val="21"/>
                <w:szCs w:val="21"/>
              </w:rPr>
            </w:pPr>
          </w:p>
          <w:p w14:paraId="1FD55457">
            <w:pPr>
              <w:pStyle w:val="12"/>
              <w:rPr>
                <w:rFonts w:ascii="Times New Roman" w:hAnsi="Times New Roman" w:eastAsia="宋体" w:cs="Times New Roman"/>
                <w:sz w:val="21"/>
                <w:szCs w:val="21"/>
              </w:rPr>
            </w:pPr>
          </w:p>
          <w:p w14:paraId="647C73FE">
            <w:pPr>
              <w:pStyle w:val="12"/>
              <w:rPr>
                <w:rFonts w:ascii="Times New Roman" w:hAnsi="Times New Roman" w:eastAsia="宋体" w:cs="Times New Roman"/>
                <w:sz w:val="21"/>
                <w:szCs w:val="21"/>
              </w:rPr>
            </w:pPr>
          </w:p>
          <w:p w14:paraId="1B640AC3">
            <w:pPr>
              <w:pStyle w:val="12"/>
              <w:rPr>
                <w:rFonts w:ascii="Times New Roman" w:hAnsi="Times New Roman" w:eastAsia="宋体" w:cs="Times New Roman"/>
                <w:sz w:val="21"/>
                <w:szCs w:val="21"/>
              </w:rPr>
            </w:pPr>
          </w:p>
          <w:p w14:paraId="6B9A6CDC">
            <w:pPr>
              <w:pStyle w:val="12"/>
              <w:rPr>
                <w:rFonts w:ascii="Times New Roman" w:hAnsi="Times New Roman" w:eastAsia="宋体" w:cs="Times New Roman"/>
                <w:sz w:val="21"/>
                <w:szCs w:val="21"/>
              </w:rPr>
            </w:pPr>
          </w:p>
          <w:p w14:paraId="600E8018">
            <w:pPr>
              <w:pStyle w:val="12"/>
              <w:rPr>
                <w:rFonts w:ascii="Times New Roman" w:hAnsi="Times New Roman" w:eastAsia="宋体" w:cs="Times New Roman"/>
                <w:sz w:val="21"/>
                <w:szCs w:val="21"/>
              </w:rPr>
            </w:pPr>
          </w:p>
          <w:p w14:paraId="5B10D458">
            <w:pPr>
              <w:pStyle w:val="12"/>
              <w:rPr>
                <w:rFonts w:ascii="Times New Roman" w:hAnsi="Times New Roman" w:eastAsia="宋体" w:cs="Times New Roman"/>
                <w:sz w:val="21"/>
                <w:szCs w:val="21"/>
              </w:rPr>
            </w:pPr>
          </w:p>
          <w:p w14:paraId="4CEDB406">
            <w:pPr>
              <w:pStyle w:val="12"/>
              <w:rPr>
                <w:rFonts w:ascii="Times New Roman" w:hAnsi="Times New Roman" w:eastAsia="宋体" w:cs="Times New Roman"/>
                <w:sz w:val="21"/>
                <w:szCs w:val="21"/>
              </w:rPr>
            </w:pPr>
          </w:p>
          <w:p w14:paraId="30EEC141">
            <w:pPr>
              <w:adjustRightInd w:val="0"/>
              <w:snapToGrid w:val="0"/>
              <w:jc w:val="left"/>
              <w:rPr>
                <w:rFonts w:ascii="Times New Roman" w:hAnsi="Times New Roman" w:eastAsia="宋体" w:cs="Times New Roman"/>
                <w:szCs w:val="21"/>
              </w:rPr>
            </w:pPr>
          </w:p>
        </w:tc>
      </w:tr>
    </w:tbl>
    <w:p w14:paraId="1E9F0947">
      <w:pPr>
        <w:pStyle w:val="21"/>
        <w:jc w:val="center"/>
        <w:outlineLvl w:val="0"/>
        <w:rPr>
          <w:rFonts w:hint="default" w:ascii="Times New Roman" w:hAnsi="Times New Roman" w:eastAsia="黑体"/>
          <w:sz w:val="30"/>
          <w:szCs w:val="30"/>
        </w:rPr>
      </w:pPr>
      <w:r>
        <w:rPr>
          <w:rFonts w:hint="default" w:ascii="Times New Roman" w:hAnsi="Times New Roman"/>
          <w:snapToGrid w:val="0"/>
          <w:lang w:bidi="ar"/>
        </w:rPr>
        <w:br w:type="page"/>
      </w:r>
      <w:r>
        <w:rPr>
          <w:rFonts w:hint="default" w:ascii="Times New Roman" w:hAnsi="Times New Roman" w:eastAsia="黑体"/>
          <w:snapToGrid w:val="0"/>
          <w:sz w:val="30"/>
          <w:szCs w:val="30"/>
        </w:rPr>
        <w:t>六、结论</w:t>
      </w: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102716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tcBorders>
              <w:top w:val="single" w:color="auto" w:sz="8" w:space="0"/>
              <w:left w:val="single" w:color="auto" w:sz="8" w:space="0"/>
              <w:bottom w:val="single" w:color="auto" w:sz="8" w:space="0"/>
              <w:right w:val="single" w:color="auto" w:sz="8" w:space="0"/>
            </w:tcBorders>
            <w:shd w:val="clear" w:color="auto" w:fill="auto"/>
            <w:vAlign w:val="center"/>
          </w:tcPr>
          <w:p w14:paraId="496E6C04">
            <w:pPr>
              <w:widowControl/>
              <w:adjustRightInd w:val="0"/>
              <w:spacing w:line="360" w:lineRule="auto"/>
              <w:ind w:firstLine="480" w:firstLineChars="200"/>
              <w:rPr>
                <w:snapToGrid w:val="0"/>
                <w:kern w:val="0"/>
                <w:sz w:val="24"/>
              </w:rPr>
            </w:pPr>
            <w:r>
              <w:rPr>
                <w:snapToGrid w:val="0"/>
                <w:kern w:val="0"/>
                <w:sz w:val="24"/>
              </w:rPr>
              <w:t>项目</w:t>
            </w:r>
            <w:r>
              <w:rPr>
                <w:rFonts w:hint="eastAsia"/>
                <w:snapToGrid w:val="0"/>
                <w:kern w:val="0"/>
                <w:sz w:val="24"/>
              </w:rPr>
              <w:t>建设</w:t>
            </w:r>
            <w:r>
              <w:rPr>
                <w:snapToGrid w:val="0"/>
                <w:kern w:val="0"/>
                <w:sz w:val="24"/>
              </w:rPr>
              <w:t>符合国家产业政策和地方规划要求，总体布局较为合理，并具有较明显的社会、经济、环境综合效益</w:t>
            </w:r>
            <w:r>
              <w:rPr>
                <w:rFonts w:hint="eastAsia"/>
                <w:snapToGrid w:val="0"/>
                <w:kern w:val="0"/>
                <w:sz w:val="24"/>
              </w:rPr>
              <w:t>；采取的</w:t>
            </w:r>
            <w:r>
              <w:rPr>
                <w:snapToGrid w:val="0"/>
                <w:kern w:val="0"/>
                <w:sz w:val="24"/>
              </w:rPr>
              <w:t>污染防治措施</w:t>
            </w:r>
            <w:r>
              <w:rPr>
                <w:rFonts w:hint="eastAsia"/>
                <w:snapToGrid w:val="0"/>
                <w:kern w:val="0"/>
                <w:sz w:val="24"/>
              </w:rPr>
              <w:t>可行，落实</w:t>
            </w:r>
            <w:r>
              <w:rPr>
                <w:snapToGrid w:val="0"/>
                <w:kern w:val="0"/>
                <w:sz w:val="24"/>
              </w:rPr>
              <w:t>环评提出的各项要求，污染物可做到达标排放</w:t>
            </w:r>
            <w:r>
              <w:rPr>
                <w:rFonts w:hint="eastAsia"/>
                <w:snapToGrid w:val="0"/>
                <w:kern w:val="0"/>
                <w:sz w:val="24"/>
              </w:rPr>
              <w:t>和合理处置</w:t>
            </w:r>
            <w:r>
              <w:rPr>
                <w:snapToGrid w:val="0"/>
                <w:kern w:val="0"/>
                <w:sz w:val="24"/>
              </w:rPr>
              <w:t>，对环境影响较小</w:t>
            </w:r>
            <w:r>
              <w:rPr>
                <w:rFonts w:hint="eastAsia"/>
                <w:snapToGrid w:val="0"/>
                <w:kern w:val="0"/>
                <w:sz w:val="24"/>
              </w:rPr>
              <w:t>，</w:t>
            </w:r>
            <w:r>
              <w:rPr>
                <w:snapToGrid w:val="0"/>
                <w:kern w:val="0"/>
                <w:sz w:val="24"/>
              </w:rPr>
              <w:t>不会改变区域环境功能。</w:t>
            </w:r>
          </w:p>
          <w:p w14:paraId="6F04FA99">
            <w:pPr>
              <w:widowControl/>
              <w:adjustRightInd w:val="0"/>
              <w:spacing w:line="360" w:lineRule="auto"/>
              <w:ind w:firstLine="480" w:firstLineChars="200"/>
              <w:rPr>
                <w:snapToGrid w:val="0"/>
                <w:kern w:val="0"/>
                <w:sz w:val="24"/>
              </w:rPr>
            </w:pPr>
            <w:r>
              <w:rPr>
                <w:snapToGrid w:val="0"/>
                <w:kern w:val="0"/>
                <w:sz w:val="24"/>
              </w:rPr>
              <w:t>从环境</w:t>
            </w:r>
            <w:r>
              <w:rPr>
                <w:rFonts w:hint="eastAsia"/>
                <w:snapToGrid w:val="0"/>
                <w:kern w:val="0"/>
                <w:sz w:val="24"/>
              </w:rPr>
              <w:t>保护</w:t>
            </w:r>
            <w:r>
              <w:rPr>
                <w:snapToGrid w:val="0"/>
                <w:kern w:val="0"/>
                <w:sz w:val="24"/>
              </w:rPr>
              <w:t>的角度分析，项目建设</w:t>
            </w:r>
            <w:r>
              <w:rPr>
                <w:rFonts w:hint="eastAsia"/>
                <w:snapToGrid w:val="0"/>
                <w:kern w:val="0"/>
                <w:sz w:val="24"/>
              </w:rPr>
              <w:t>环境影响</w:t>
            </w:r>
            <w:r>
              <w:rPr>
                <w:snapToGrid w:val="0"/>
                <w:kern w:val="0"/>
                <w:sz w:val="24"/>
              </w:rPr>
              <w:t>是可行的。</w:t>
            </w:r>
          </w:p>
          <w:p w14:paraId="05B8E630">
            <w:pPr>
              <w:adjustRightInd w:val="0"/>
              <w:snapToGrid w:val="0"/>
              <w:spacing w:line="360" w:lineRule="auto"/>
              <w:ind w:firstLine="480" w:firstLineChars="200"/>
              <w:rPr>
                <w:rFonts w:ascii="Times New Roman" w:hAnsi="Times New Roman" w:eastAsia="宋体" w:cs="Times New Roman"/>
                <w:sz w:val="24"/>
              </w:rPr>
            </w:pPr>
          </w:p>
        </w:tc>
      </w:tr>
    </w:tbl>
    <w:p w14:paraId="2566AFA2">
      <w:pPr>
        <w:rPr>
          <w:rFonts w:ascii="Times New Roman" w:hAnsi="Times New Roman" w:eastAsia="宋体" w:cs="Times New Roman"/>
          <w:lang w:bidi="ar"/>
        </w:rPr>
        <w:sectPr>
          <w:pgSz w:w="11906" w:h="16838"/>
          <w:pgMar w:top="1417" w:right="1417" w:bottom="1417" w:left="1417" w:header="851" w:footer="850" w:gutter="0"/>
          <w:cols w:space="425" w:num="1"/>
          <w:docGrid w:type="lines" w:linePitch="312" w:charSpace="0"/>
        </w:sectPr>
      </w:pPr>
    </w:p>
    <w:p w14:paraId="1BD21F0A">
      <w:pPr>
        <w:pStyle w:val="21"/>
        <w:adjustRightInd w:val="0"/>
        <w:snapToGrid w:val="0"/>
        <w:spacing w:beforeAutospacing="0" w:afterAutospacing="0"/>
        <w:outlineLvl w:val="0"/>
        <w:rPr>
          <w:rFonts w:hint="default" w:ascii="Times New Roman" w:hAnsi="Times New Roman" w:eastAsia="黑体"/>
          <w:sz w:val="32"/>
          <w:szCs w:val="32"/>
        </w:rPr>
      </w:pPr>
      <w:r>
        <w:rPr>
          <w:rFonts w:hint="default" w:ascii="Times New Roman" w:hAnsi="Times New Roman" w:eastAsia="黑体"/>
          <w:snapToGrid w:val="0"/>
          <w:sz w:val="32"/>
          <w:szCs w:val="32"/>
        </w:rPr>
        <w:t>附表</w:t>
      </w:r>
    </w:p>
    <w:p w14:paraId="3F4078D5">
      <w:pPr>
        <w:pStyle w:val="21"/>
        <w:adjustRightInd w:val="0"/>
        <w:snapToGrid w:val="0"/>
        <w:spacing w:beforeAutospacing="0" w:afterAutospacing="0"/>
        <w:jc w:val="center"/>
        <w:outlineLvl w:val="0"/>
        <w:rPr>
          <w:rFonts w:hint="default" w:ascii="Times New Roman" w:hAnsi="Times New Roman" w:eastAsia="方正小标宋_GBK"/>
          <w:sz w:val="40"/>
          <w:szCs w:val="40"/>
        </w:rPr>
      </w:pPr>
      <w:r>
        <w:rPr>
          <w:rFonts w:hint="default" w:ascii="Times New Roman" w:hAnsi="Times New Roman" w:eastAsia="方正小标宋_GBK"/>
          <w:snapToGrid w:val="0"/>
          <w:sz w:val="40"/>
          <w:szCs w:val="40"/>
        </w:rPr>
        <w:t>建设项目污染物排放量汇总表</w:t>
      </w:r>
    </w:p>
    <w:tbl>
      <w:tblPr>
        <w:tblStyle w:val="26"/>
        <w:tblW w:w="4976"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1736"/>
        <w:gridCol w:w="1728"/>
        <w:gridCol w:w="1294"/>
        <w:gridCol w:w="1728"/>
        <w:gridCol w:w="1582"/>
        <w:gridCol w:w="1787"/>
        <w:gridCol w:w="1571"/>
        <w:gridCol w:w="1254"/>
      </w:tblGrid>
      <w:tr w14:paraId="1AFBC5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469" w:type="pct"/>
            <w:tcBorders>
              <w:tl2br w:val="nil"/>
              <w:tr2bl w:val="nil"/>
            </w:tcBorders>
            <w:shd w:val="clear" w:color="auto" w:fill="auto"/>
            <w:tcMar>
              <w:left w:w="28" w:type="dxa"/>
              <w:right w:w="28" w:type="dxa"/>
            </w:tcMar>
            <w:vAlign w:val="center"/>
          </w:tcPr>
          <w:p w14:paraId="039B7784">
            <w:pPr>
              <w:pStyle w:val="38"/>
              <w:widowControl/>
              <w:spacing w:before="31" w:line="240" w:lineRule="auto"/>
              <w:jc w:val="right"/>
              <w:rPr>
                <w:rFonts w:hint="default" w:ascii="Times New Roman" w:eastAsia="黑体"/>
                <w:spacing w:val="-6"/>
                <w:kern w:val="21"/>
                <w:szCs w:val="21"/>
              </w:rPr>
            </w:pPr>
            <w:r>
              <w:rPr>
                <w:rFonts w:hint="default" w:ascii="Times New Roman"/>
              </w:rPr>
              <mc:AlternateContent>
                <mc:Choice Requires="wps">
                  <w:drawing>
                    <wp:anchor distT="0" distB="0" distL="114300" distR="114300" simplePos="0" relativeHeight="251661312" behindDoc="0" locked="0" layoutInCell="1" allowOverlap="1">
                      <wp:simplePos x="0" y="0"/>
                      <wp:positionH relativeFrom="column">
                        <wp:posOffset>-11430</wp:posOffset>
                      </wp:positionH>
                      <wp:positionV relativeFrom="paragraph">
                        <wp:posOffset>11430</wp:posOffset>
                      </wp:positionV>
                      <wp:extent cx="814070" cy="487045"/>
                      <wp:effectExtent l="2540" t="3810" r="6350" b="12065"/>
                      <wp:wrapNone/>
                      <wp:docPr id="2" name="直接连接符 2"/>
                      <wp:cNvGraphicFramePr/>
                      <a:graphic xmlns:a="http://schemas.openxmlformats.org/drawingml/2006/main">
                        <a:graphicData uri="http://schemas.microsoft.com/office/word/2010/wordprocessingShape">
                          <wps:wsp>
                            <wps:cNvCnPr/>
                            <wps:spPr>
                              <a:xfrm>
                                <a:off x="1069340" y="2102485"/>
                                <a:ext cx="814070" cy="4870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9pt;margin-top:0.9pt;height:38.35pt;width:64.1pt;z-index:251661312;mso-width-relative:page;mso-height-relative:page;" filled="f" stroked="t" coordsize="21600,21600" o:gfxdata="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Jw48vVAAAABwEAAA8AAAAAAAAAAQAgAAAAIgAAAGRycy9kb3ducmV2LnhtbFBLAQIUABQA&#10;AAAIAIdO4kBp2txJ8wEAAMEDAAAOAAAAAAAAAAEAIAAAACQBAABkcnMvZTJvRG9jLnhtbFBLBQYA&#10;AAAABgAGAFkBAACJBQAAAAA=&#10;">
                      <v:fill on="f" focussize="0,0"/>
                      <v:stroke weight="0.5pt" color="#000000 [3213]" miterlimit="8" joinstyle="miter"/>
                      <v:imagedata o:title=""/>
                      <o:lock v:ext="edit" aspectratio="f"/>
                    </v:line>
                  </w:pict>
                </mc:Fallback>
              </mc:AlternateContent>
            </w:r>
            <w:r>
              <w:rPr>
                <w:rFonts w:hint="default" w:ascii="Times New Roman" w:eastAsia="黑体"/>
                <w:snapToGrid w:val="0"/>
                <w:spacing w:val="-6"/>
                <w:kern w:val="21"/>
                <w:szCs w:val="21"/>
              </w:rPr>
              <w:t>项目</w:t>
            </w:r>
          </w:p>
          <w:p w14:paraId="39A70723">
            <w:pPr>
              <w:pStyle w:val="38"/>
              <w:widowControl/>
              <w:spacing w:before="31" w:line="240" w:lineRule="auto"/>
              <w:jc w:val="left"/>
              <w:rPr>
                <w:rFonts w:hint="default" w:ascii="Times New Roman" w:eastAsia="黑体"/>
                <w:spacing w:val="-6"/>
                <w:kern w:val="21"/>
                <w:szCs w:val="21"/>
              </w:rPr>
            </w:pPr>
            <w:r>
              <w:rPr>
                <w:rFonts w:hint="default" w:ascii="Times New Roman" w:eastAsia="黑体"/>
                <w:snapToGrid w:val="0"/>
                <w:spacing w:val="-6"/>
                <w:kern w:val="21"/>
                <w:szCs w:val="21"/>
              </w:rPr>
              <w:t>分类</w:t>
            </w:r>
          </w:p>
        </w:tc>
        <w:tc>
          <w:tcPr>
            <w:tcW w:w="620" w:type="pct"/>
            <w:tcBorders>
              <w:tl2br w:val="nil"/>
              <w:tr2bl w:val="nil"/>
            </w:tcBorders>
            <w:shd w:val="clear" w:color="auto" w:fill="auto"/>
            <w:tcMar>
              <w:left w:w="28" w:type="dxa"/>
              <w:right w:w="28" w:type="dxa"/>
            </w:tcMar>
            <w:vAlign w:val="center"/>
          </w:tcPr>
          <w:p w14:paraId="43943EA1">
            <w:pPr>
              <w:pStyle w:val="38"/>
              <w:widowControl/>
              <w:spacing w:beforeLines="0" w:line="240" w:lineRule="auto"/>
              <w:ind w:firstLine="0"/>
              <w:rPr>
                <w:rFonts w:hint="default" w:ascii="Times New Roman" w:eastAsia="黑体"/>
                <w:spacing w:val="-6"/>
                <w:kern w:val="21"/>
                <w:szCs w:val="21"/>
              </w:rPr>
            </w:pPr>
            <w:r>
              <w:rPr>
                <w:rFonts w:hint="default" w:ascii="Times New Roman" w:eastAsia="黑体"/>
                <w:snapToGrid w:val="0"/>
                <w:spacing w:val="-6"/>
                <w:kern w:val="21"/>
                <w:szCs w:val="21"/>
              </w:rPr>
              <w:t>污染物名称</w:t>
            </w:r>
          </w:p>
        </w:tc>
        <w:tc>
          <w:tcPr>
            <w:tcW w:w="617" w:type="pct"/>
            <w:tcBorders>
              <w:tl2br w:val="nil"/>
              <w:tr2bl w:val="nil"/>
            </w:tcBorders>
            <w:shd w:val="clear" w:color="auto" w:fill="auto"/>
            <w:tcMar>
              <w:left w:w="28" w:type="dxa"/>
              <w:right w:w="28" w:type="dxa"/>
            </w:tcMar>
            <w:vAlign w:val="center"/>
          </w:tcPr>
          <w:p w14:paraId="377FE8A6">
            <w:pPr>
              <w:pStyle w:val="38"/>
              <w:widowControl/>
              <w:spacing w:beforeLines="0" w:line="240" w:lineRule="auto"/>
              <w:ind w:firstLine="0"/>
              <w:rPr>
                <w:rFonts w:hint="default" w:ascii="Times New Roman" w:eastAsia="黑体"/>
                <w:spacing w:val="-6"/>
                <w:kern w:val="21"/>
                <w:szCs w:val="21"/>
              </w:rPr>
            </w:pPr>
            <w:r>
              <w:rPr>
                <w:rFonts w:hint="default" w:ascii="Times New Roman" w:eastAsia="黑体"/>
                <w:snapToGrid w:val="0"/>
                <w:spacing w:val="-6"/>
                <w:kern w:val="21"/>
                <w:szCs w:val="21"/>
              </w:rPr>
              <w:t>现有工程</w:t>
            </w:r>
          </w:p>
          <w:p w14:paraId="08FE6F49">
            <w:pPr>
              <w:pStyle w:val="38"/>
              <w:widowControl/>
              <w:spacing w:beforeLines="0" w:line="240" w:lineRule="auto"/>
              <w:ind w:firstLine="0"/>
              <w:rPr>
                <w:rFonts w:hint="default" w:ascii="Times New Roman" w:eastAsia="黑体"/>
                <w:snapToGrid w:val="0"/>
                <w:spacing w:val="-6"/>
                <w:kern w:val="21"/>
                <w:szCs w:val="21"/>
              </w:rPr>
            </w:pPr>
            <w:r>
              <w:rPr>
                <w:rFonts w:hint="default" w:ascii="Times New Roman" w:eastAsia="黑体"/>
                <w:snapToGrid w:val="0"/>
                <w:spacing w:val="-6"/>
                <w:kern w:val="21"/>
                <w:szCs w:val="21"/>
              </w:rPr>
              <w:t>排放量（固体废物产生量）</w:t>
            </w:r>
            <w:r>
              <w:rPr>
                <w:rFonts w:hint="default" w:ascii="Times New Roman" w:eastAsia="黑体"/>
                <w:spacing w:val="-6"/>
                <w:kern w:val="21"/>
                <w:szCs w:val="21"/>
              </w:rPr>
              <w:fldChar w:fldCharType="begin"/>
            </w:r>
            <w:r>
              <w:rPr>
                <w:rFonts w:hint="default" w:ascii="Times New Roman" w:eastAsia="黑体"/>
                <w:snapToGrid w:val="0"/>
                <w:spacing w:val="-6"/>
                <w:kern w:val="21"/>
                <w:szCs w:val="21"/>
              </w:rPr>
              <w:instrText xml:space="preserve"> = 1 \* GB3 \* MERGEFORMAT </w:instrText>
            </w:r>
            <w:r>
              <w:rPr>
                <w:rFonts w:hint="default" w:ascii="Times New Roman" w:eastAsia="黑体"/>
                <w:spacing w:val="-6"/>
                <w:kern w:val="21"/>
                <w:szCs w:val="21"/>
              </w:rPr>
              <w:fldChar w:fldCharType="separate"/>
            </w:r>
            <w:r>
              <w:rPr>
                <w:rFonts w:hint="default" w:ascii="Times New Roman" w:eastAsia="黑体"/>
                <w:kern w:val="2"/>
                <w:szCs w:val="21"/>
              </w:rPr>
              <w:t>①</w:t>
            </w:r>
            <w:r>
              <w:rPr>
                <w:rFonts w:hint="default" w:ascii="Times New Roman" w:eastAsia="黑体"/>
                <w:spacing w:val="-6"/>
                <w:kern w:val="21"/>
                <w:szCs w:val="21"/>
              </w:rPr>
              <w:fldChar w:fldCharType="end"/>
            </w:r>
          </w:p>
        </w:tc>
        <w:tc>
          <w:tcPr>
            <w:tcW w:w="462" w:type="pct"/>
            <w:tcBorders>
              <w:tl2br w:val="nil"/>
              <w:tr2bl w:val="nil"/>
            </w:tcBorders>
            <w:shd w:val="clear" w:color="auto" w:fill="auto"/>
            <w:tcMar>
              <w:left w:w="28" w:type="dxa"/>
              <w:right w:w="28" w:type="dxa"/>
            </w:tcMar>
            <w:vAlign w:val="center"/>
          </w:tcPr>
          <w:p w14:paraId="26400C62">
            <w:pPr>
              <w:pStyle w:val="38"/>
              <w:widowControl/>
              <w:spacing w:beforeLines="0" w:line="240" w:lineRule="auto"/>
              <w:ind w:firstLine="0"/>
              <w:rPr>
                <w:rFonts w:hint="default" w:ascii="Times New Roman" w:eastAsia="黑体"/>
                <w:spacing w:val="-6"/>
                <w:kern w:val="21"/>
                <w:szCs w:val="21"/>
              </w:rPr>
            </w:pPr>
            <w:r>
              <w:rPr>
                <w:rFonts w:hint="default" w:ascii="Times New Roman" w:eastAsia="黑体"/>
                <w:snapToGrid w:val="0"/>
                <w:spacing w:val="-6"/>
                <w:kern w:val="21"/>
                <w:szCs w:val="21"/>
              </w:rPr>
              <w:t>现有工程</w:t>
            </w:r>
          </w:p>
          <w:p w14:paraId="63009201">
            <w:pPr>
              <w:pStyle w:val="38"/>
              <w:widowControl/>
              <w:spacing w:beforeLines="0" w:line="240" w:lineRule="auto"/>
              <w:ind w:firstLine="0"/>
              <w:rPr>
                <w:rFonts w:hint="default" w:ascii="Times New Roman" w:eastAsia="黑体"/>
                <w:spacing w:val="-6"/>
                <w:kern w:val="21"/>
                <w:szCs w:val="21"/>
              </w:rPr>
            </w:pPr>
            <w:r>
              <w:rPr>
                <w:rFonts w:hint="default" w:ascii="Times New Roman" w:eastAsia="黑体"/>
                <w:snapToGrid w:val="0"/>
                <w:spacing w:val="-6"/>
                <w:kern w:val="21"/>
                <w:szCs w:val="21"/>
              </w:rPr>
              <w:t>许可排放量</w:t>
            </w:r>
          </w:p>
          <w:p w14:paraId="38C0DA57">
            <w:pPr>
              <w:pStyle w:val="38"/>
              <w:widowControl/>
              <w:spacing w:beforeLines="0" w:line="240" w:lineRule="auto"/>
              <w:ind w:firstLine="0"/>
              <w:rPr>
                <w:rFonts w:hint="default" w:ascii="Times New Roman" w:eastAsia="黑体"/>
                <w:snapToGrid w:val="0"/>
                <w:spacing w:val="-6"/>
                <w:kern w:val="21"/>
                <w:szCs w:val="21"/>
              </w:rPr>
            </w:pPr>
            <w:r>
              <w:rPr>
                <w:rFonts w:hint="default" w:ascii="Times New Roman" w:eastAsia="黑体"/>
                <w:spacing w:val="-6"/>
                <w:kern w:val="21"/>
                <w:szCs w:val="21"/>
              </w:rPr>
              <w:fldChar w:fldCharType="begin"/>
            </w:r>
            <w:r>
              <w:rPr>
                <w:rFonts w:hint="default" w:ascii="Times New Roman" w:eastAsia="黑体"/>
                <w:spacing w:val="-6"/>
                <w:kern w:val="21"/>
                <w:szCs w:val="21"/>
              </w:rPr>
              <w:instrText xml:space="preserve"> </w:instrText>
            </w:r>
            <w:r>
              <w:rPr>
                <w:rFonts w:hint="default" w:ascii="Times New Roman" w:eastAsia="黑体"/>
                <w:snapToGrid w:val="0"/>
                <w:spacing w:val="-6"/>
                <w:kern w:val="21"/>
                <w:szCs w:val="21"/>
              </w:rPr>
              <w:instrText xml:space="preserve">= 2 \* GB3 \* MERGEFORMAT </w:instrText>
            </w:r>
            <w:r>
              <w:rPr>
                <w:rFonts w:hint="default" w:ascii="Times New Roman" w:eastAsia="黑体"/>
                <w:spacing w:val="-6"/>
                <w:kern w:val="21"/>
                <w:szCs w:val="21"/>
              </w:rPr>
              <w:fldChar w:fldCharType="separate"/>
            </w:r>
            <w:r>
              <w:rPr>
                <w:rFonts w:hint="default" w:ascii="Times New Roman" w:eastAsia="黑体"/>
                <w:snapToGrid w:val="0"/>
                <w:spacing w:val="-6"/>
                <w:kern w:val="21"/>
                <w:szCs w:val="21"/>
              </w:rPr>
              <w:t>②</w:t>
            </w:r>
            <w:r>
              <w:rPr>
                <w:rFonts w:hint="default" w:ascii="Times New Roman" w:eastAsia="黑体"/>
                <w:spacing w:val="-6"/>
                <w:kern w:val="21"/>
                <w:szCs w:val="21"/>
              </w:rPr>
              <w:fldChar w:fldCharType="end"/>
            </w:r>
          </w:p>
        </w:tc>
        <w:tc>
          <w:tcPr>
            <w:tcW w:w="617" w:type="pct"/>
            <w:tcBorders>
              <w:tl2br w:val="nil"/>
              <w:tr2bl w:val="nil"/>
            </w:tcBorders>
            <w:shd w:val="clear" w:color="auto" w:fill="auto"/>
            <w:tcMar>
              <w:left w:w="28" w:type="dxa"/>
              <w:right w:w="28" w:type="dxa"/>
            </w:tcMar>
            <w:vAlign w:val="center"/>
          </w:tcPr>
          <w:p w14:paraId="3973F91B">
            <w:pPr>
              <w:pStyle w:val="38"/>
              <w:widowControl/>
              <w:spacing w:beforeLines="0" w:line="240" w:lineRule="auto"/>
              <w:ind w:firstLine="0"/>
              <w:rPr>
                <w:rFonts w:hint="default" w:ascii="Times New Roman" w:eastAsia="黑体"/>
                <w:spacing w:val="-6"/>
                <w:kern w:val="21"/>
                <w:szCs w:val="21"/>
              </w:rPr>
            </w:pPr>
            <w:r>
              <w:rPr>
                <w:rFonts w:hint="default" w:ascii="Times New Roman" w:eastAsia="黑体"/>
                <w:snapToGrid w:val="0"/>
                <w:spacing w:val="-6"/>
                <w:kern w:val="21"/>
                <w:szCs w:val="21"/>
              </w:rPr>
              <w:t>在建工程</w:t>
            </w:r>
          </w:p>
          <w:p w14:paraId="1BF3AFAF">
            <w:pPr>
              <w:pStyle w:val="38"/>
              <w:widowControl/>
              <w:spacing w:beforeLines="0" w:line="240" w:lineRule="auto"/>
              <w:ind w:firstLine="0"/>
              <w:rPr>
                <w:rFonts w:hint="default" w:ascii="Times New Roman" w:eastAsia="黑体"/>
                <w:snapToGrid w:val="0"/>
                <w:spacing w:val="-6"/>
                <w:kern w:val="21"/>
                <w:szCs w:val="21"/>
              </w:rPr>
            </w:pPr>
            <w:r>
              <w:rPr>
                <w:rFonts w:hint="default" w:ascii="Times New Roman" w:eastAsia="黑体"/>
                <w:snapToGrid w:val="0"/>
                <w:spacing w:val="-6"/>
                <w:kern w:val="21"/>
                <w:szCs w:val="21"/>
              </w:rPr>
              <w:t>排放量（固体废物产生量）</w:t>
            </w:r>
            <w:r>
              <w:rPr>
                <w:rFonts w:hint="default" w:ascii="Times New Roman" w:eastAsia="黑体"/>
                <w:spacing w:val="-6"/>
                <w:kern w:val="21"/>
                <w:szCs w:val="21"/>
              </w:rPr>
              <w:fldChar w:fldCharType="begin"/>
            </w:r>
            <w:r>
              <w:rPr>
                <w:rFonts w:hint="default" w:ascii="Times New Roman" w:eastAsia="黑体"/>
                <w:snapToGrid w:val="0"/>
                <w:spacing w:val="-6"/>
                <w:kern w:val="21"/>
                <w:szCs w:val="21"/>
              </w:rPr>
              <w:instrText xml:space="preserve"> = 3 \* GB3 \* MERGEFORMAT </w:instrText>
            </w:r>
            <w:r>
              <w:rPr>
                <w:rFonts w:hint="default" w:ascii="Times New Roman" w:eastAsia="黑体"/>
                <w:spacing w:val="-6"/>
                <w:kern w:val="21"/>
                <w:szCs w:val="21"/>
              </w:rPr>
              <w:fldChar w:fldCharType="separate"/>
            </w:r>
            <w:r>
              <w:rPr>
                <w:rFonts w:hint="default" w:ascii="Times New Roman" w:eastAsia="黑体"/>
                <w:kern w:val="2"/>
                <w:szCs w:val="21"/>
              </w:rPr>
              <w:t>③</w:t>
            </w:r>
            <w:r>
              <w:rPr>
                <w:rFonts w:hint="default" w:ascii="Times New Roman" w:eastAsia="黑体"/>
                <w:spacing w:val="-6"/>
                <w:kern w:val="21"/>
                <w:szCs w:val="21"/>
              </w:rPr>
              <w:fldChar w:fldCharType="end"/>
            </w:r>
          </w:p>
        </w:tc>
        <w:tc>
          <w:tcPr>
            <w:tcW w:w="565" w:type="pct"/>
            <w:tcBorders>
              <w:tl2br w:val="nil"/>
              <w:tr2bl w:val="nil"/>
            </w:tcBorders>
            <w:shd w:val="clear" w:color="auto" w:fill="auto"/>
            <w:tcMar>
              <w:left w:w="28" w:type="dxa"/>
              <w:right w:w="28" w:type="dxa"/>
            </w:tcMar>
            <w:vAlign w:val="center"/>
          </w:tcPr>
          <w:p w14:paraId="7A334EE6">
            <w:pPr>
              <w:pStyle w:val="38"/>
              <w:widowControl/>
              <w:spacing w:beforeLines="0" w:line="240" w:lineRule="auto"/>
              <w:ind w:firstLine="0"/>
              <w:rPr>
                <w:rFonts w:hint="default" w:ascii="Times New Roman" w:eastAsia="黑体"/>
                <w:spacing w:val="-6"/>
                <w:kern w:val="21"/>
                <w:szCs w:val="21"/>
              </w:rPr>
            </w:pPr>
            <w:r>
              <w:rPr>
                <w:rFonts w:hint="default" w:ascii="Times New Roman" w:eastAsia="黑体"/>
                <w:snapToGrid w:val="0"/>
                <w:spacing w:val="-6"/>
                <w:kern w:val="21"/>
                <w:szCs w:val="21"/>
              </w:rPr>
              <w:t>本项目</w:t>
            </w:r>
          </w:p>
          <w:p w14:paraId="5F7E1AAC">
            <w:pPr>
              <w:pStyle w:val="38"/>
              <w:widowControl/>
              <w:spacing w:beforeLines="0" w:line="240" w:lineRule="auto"/>
              <w:ind w:firstLine="0"/>
              <w:rPr>
                <w:rFonts w:hint="default" w:ascii="Times New Roman" w:eastAsia="黑体"/>
                <w:snapToGrid w:val="0"/>
                <w:spacing w:val="-6"/>
                <w:kern w:val="21"/>
                <w:szCs w:val="21"/>
              </w:rPr>
            </w:pPr>
            <w:r>
              <w:rPr>
                <w:rFonts w:hint="default" w:ascii="Times New Roman" w:eastAsia="黑体"/>
                <w:snapToGrid w:val="0"/>
                <w:spacing w:val="-6"/>
                <w:kern w:val="21"/>
                <w:szCs w:val="21"/>
              </w:rPr>
              <w:t>排放量（固体废物产生量）</w:t>
            </w:r>
            <w:r>
              <w:rPr>
                <w:rFonts w:hint="default" w:ascii="Times New Roman" w:eastAsia="黑体"/>
                <w:spacing w:val="-6"/>
                <w:kern w:val="21"/>
                <w:szCs w:val="21"/>
              </w:rPr>
              <w:fldChar w:fldCharType="begin"/>
            </w:r>
            <w:r>
              <w:rPr>
                <w:rFonts w:hint="default" w:ascii="Times New Roman" w:eastAsia="黑体"/>
                <w:snapToGrid w:val="0"/>
                <w:spacing w:val="-6"/>
                <w:kern w:val="21"/>
                <w:szCs w:val="21"/>
              </w:rPr>
              <w:instrText xml:space="preserve"> = 4 \* GB3 \* MERGEFORMAT </w:instrText>
            </w:r>
            <w:r>
              <w:rPr>
                <w:rFonts w:hint="default" w:ascii="Times New Roman" w:eastAsia="黑体"/>
                <w:spacing w:val="-6"/>
                <w:kern w:val="21"/>
                <w:szCs w:val="21"/>
              </w:rPr>
              <w:fldChar w:fldCharType="separate"/>
            </w:r>
            <w:r>
              <w:rPr>
                <w:rFonts w:hint="default" w:ascii="Times New Roman" w:eastAsia="黑体"/>
                <w:kern w:val="2"/>
                <w:szCs w:val="21"/>
              </w:rPr>
              <w:t>④</w:t>
            </w:r>
            <w:r>
              <w:rPr>
                <w:rFonts w:hint="default" w:ascii="Times New Roman" w:eastAsia="黑体"/>
                <w:spacing w:val="-6"/>
                <w:kern w:val="21"/>
                <w:szCs w:val="21"/>
              </w:rPr>
              <w:fldChar w:fldCharType="end"/>
            </w:r>
          </w:p>
        </w:tc>
        <w:tc>
          <w:tcPr>
            <w:tcW w:w="638" w:type="pct"/>
            <w:tcBorders>
              <w:tl2br w:val="nil"/>
              <w:tr2bl w:val="nil"/>
            </w:tcBorders>
            <w:shd w:val="clear" w:color="auto" w:fill="auto"/>
            <w:tcMar>
              <w:left w:w="28" w:type="dxa"/>
              <w:right w:w="28" w:type="dxa"/>
            </w:tcMar>
            <w:vAlign w:val="center"/>
          </w:tcPr>
          <w:p w14:paraId="6362DBF0">
            <w:pPr>
              <w:pStyle w:val="38"/>
              <w:widowControl/>
              <w:spacing w:beforeLines="0" w:line="240" w:lineRule="auto"/>
              <w:ind w:firstLine="0"/>
              <w:rPr>
                <w:rFonts w:hint="default" w:ascii="Times New Roman" w:eastAsia="黑体"/>
                <w:spacing w:val="-16"/>
                <w:kern w:val="21"/>
                <w:szCs w:val="21"/>
              </w:rPr>
            </w:pPr>
            <w:r>
              <w:rPr>
                <w:rFonts w:hint="default" w:ascii="Times New Roman" w:eastAsia="黑体"/>
                <w:snapToGrid w:val="0"/>
                <w:spacing w:val="-16"/>
                <w:kern w:val="21"/>
                <w:szCs w:val="21"/>
              </w:rPr>
              <w:t>以新带老削减量</w:t>
            </w:r>
          </w:p>
          <w:p w14:paraId="58BBDBF3">
            <w:pPr>
              <w:pStyle w:val="38"/>
              <w:widowControl/>
              <w:spacing w:beforeLines="0" w:line="240" w:lineRule="auto"/>
              <w:ind w:firstLine="0"/>
              <w:rPr>
                <w:rFonts w:hint="default" w:ascii="Times New Roman" w:eastAsia="黑体"/>
                <w:snapToGrid w:val="0"/>
                <w:spacing w:val="-16"/>
                <w:kern w:val="21"/>
                <w:szCs w:val="21"/>
              </w:rPr>
            </w:pPr>
            <w:r>
              <w:rPr>
                <w:rFonts w:hint="default" w:ascii="Times New Roman" w:eastAsia="黑体"/>
                <w:snapToGrid w:val="0"/>
                <w:spacing w:val="-16"/>
                <w:kern w:val="21"/>
                <w:szCs w:val="21"/>
              </w:rPr>
              <w:t>（新建项目不填）</w:t>
            </w:r>
            <w:r>
              <w:rPr>
                <w:rFonts w:hint="default" w:ascii="Times New Roman" w:eastAsia="黑体"/>
                <w:spacing w:val="-16"/>
                <w:kern w:val="21"/>
                <w:szCs w:val="21"/>
              </w:rPr>
              <w:fldChar w:fldCharType="begin"/>
            </w:r>
            <w:r>
              <w:rPr>
                <w:rFonts w:hint="default" w:ascii="Times New Roman" w:eastAsia="黑体"/>
                <w:snapToGrid w:val="0"/>
                <w:spacing w:val="-16"/>
                <w:kern w:val="21"/>
                <w:szCs w:val="21"/>
              </w:rPr>
              <w:instrText xml:space="preserve"> = 5 \* GB3 \* MERGEFORMAT </w:instrText>
            </w:r>
            <w:r>
              <w:rPr>
                <w:rFonts w:hint="default" w:ascii="Times New Roman" w:eastAsia="黑体"/>
                <w:spacing w:val="-16"/>
                <w:kern w:val="21"/>
                <w:szCs w:val="21"/>
              </w:rPr>
              <w:fldChar w:fldCharType="separate"/>
            </w:r>
            <w:r>
              <w:rPr>
                <w:rFonts w:hint="default" w:ascii="Times New Roman" w:eastAsia="黑体"/>
                <w:kern w:val="2"/>
                <w:szCs w:val="21"/>
              </w:rPr>
              <w:t>⑤</w:t>
            </w:r>
            <w:r>
              <w:rPr>
                <w:rFonts w:hint="default" w:ascii="Times New Roman" w:eastAsia="黑体"/>
                <w:spacing w:val="-16"/>
                <w:kern w:val="21"/>
                <w:szCs w:val="21"/>
              </w:rPr>
              <w:fldChar w:fldCharType="end"/>
            </w:r>
          </w:p>
        </w:tc>
        <w:tc>
          <w:tcPr>
            <w:tcW w:w="561" w:type="pct"/>
            <w:tcBorders>
              <w:tl2br w:val="nil"/>
              <w:tr2bl w:val="nil"/>
            </w:tcBorders>
            <w:shd w:val="clear" w:color="auto" w:fill="auto"/>
            <w:tcMar>
              <w:left w:w="28" w:type="dxa"/>
              <w:right w:w="28" w:type="dxa"/>
            </w:tcMar>
            <w:vAlign w:val="center"/>
          </w:tcPr>
          <w:p w14:paraId="3F798C7B">
            <w:pPr>
              <w:pStyle w:val="38"/>
              <w:widowControl/>
              <w:spacing w:beforeLines="0" w:line="240" w:lineRule="auto"/>
              <w:ind w:firstLine="0"/>
              <w:rPr>
                <w:rFonts w:hint="default" w:ascii="Times New Roman" w:eastAsia="黑体"/>
                <w:spacing w:val="-16"/>
                <w:kern w:val="21"/>
                <w:szCs w:val="21"/>
              </w:rPr>
            </w:pPr>
            <w:r>
              <w:rPr>
                <w:rFonts w:hint="default" w:ascii="Times New Roman" w:eastAsia="黑体"/>
                <w:snapToGrid w:val="0"/>
                <w:spacing w:val="-16"/>
                <w:kern w:val="21"/>
                <w:szCs w:val="21"/>
              </w:rPr>
              <w:t>本项目建成后</w:t>
            </w:r>
          </w:p>
          <w:p w14:paraId="01FC3FB2">
            <w:pPr>
              <w:pStyle w:val="38"/>
              <w:widowControl/>
              <w:spacing w:beforeLines="0" w:line="240" w:lineRule="auto"/>
              <w:ind w:firstLine="0"/>
              <w:rPr>
                <w:rFonts w:hint="default" w:ascii="Times New Roman" w:eastAsia="黑体"/>
                <w:snapToGrid w:val="0"/>
                <w:spacing w:val="-16"/>
                <w:kern w:val="21"/>
                <w:szCs w:val="21"/>
              </w:rPr>
            </w:pPr>
            <w:r>
              <w:rPr>
                <w:rFonts w:hint="default" w:ascii="Times New Roman" w:eastAsia="黑体"/>
                <w:snapToGrid w:val="0"/>
                <w:spacing w:val="-16"/>
                <w:kern w:val="21"/>
                <w:szCs w:val="21"/>
              </w:rPr>
              <w:t>全厂排放量（固体废物产生量）</w:t>
            </w:r>
            <w:r>
              <w:rPr>
                <w:rFonts w:hint="default" w:ascii="Times New Roman" w:eastAsia="黑体"/>
                <w:spacing w:val="-16"/>
                <w:kern w:val="21"/>
                <w:szCs w:val="21"/>
              </w:rPr>
              <w:fldChar w:fldCharType="begin"/>
            </w:r>
            <w:r>
              <w:rPr>
                <w:rFonts w:hint="default" w:ascii="Times New Roman" w:eastAsia="黑体"/>
                <w:snapToGrid w:val="0"/>
                <w:spacing w:val="-16"/>
                <w:kern w:val="21"/>
                <w:szCs w:val="21"/>
              </w:rPr>
              <w:instrText xml:space="preserve"> = 6 \* GB3 \* MERGEFORMAT </w:instrText>
            </w:r>
            <w:r>
              <w:rPr>
                <w:rFonts w:hint="default" w:ascii="Times New Roman" w:eastAsia="黑体"/>
                <w:spacing w:val="-16"/>
                <w:kern w:val="21"/>
                <w:szCs w:val="21"/>
              </w:rPr>
              <w:fldChar w:fldCharType="separate"/>
            </w:r>
            <w:r>
              <w:rPr>
                <w:rFonts w:hint="default" w:ascii="Times New Roman" w:eastAsia="黑体"/>
                <w:kern w:val="2"/>
                <w:szCs w:val="21"/>
              </w:rPr>
              <w:t>⑥</w:t>
            </w:r>
            <w:r>
              <w:rPr>
                <w:rFonts w:hint="default" w:ascii="Times New Roman" w:eastAsia="黑体"/>
                <w:spacing w:val="-16"/>
                <w:kern w:val="21"/>
                <w:szCs w:val="21"/>
              </w:rPr>
              <w:fldChar w:fldCharType="end"/>
            </w:r>
          </w:p>
        </w:tc>
        <w:tc>
          <w:tcPr>
            <w:tcW w:w="448" w:type="pct"/>
            <w:tcBorders>
              <w:tl2br w:val="nil"/>
              <w:tr2bl w:val="nil"/>
            </w:tcBorders>
            <w:shd w:val="clear" w:color="auto" w:fill="auto"/>
            <w:tcMar>
              <w:left w:w="28" w:type="dxa"/>
              <w:right w:w="28" w:type="dxa"/>
            </w:tcMar>
            <w:vAlign w:val="center"/>
          </w:tcPr>
          <w:p w14:paraId="30E330F8">
            <w:pPr>
              <w:pStyle w:val="38"/>
              <w:widowControl/>
              <w:spacing w:beforeLines="0" w:line="240" w:lineRule="auto"/>
              <w:ind w:firstLine="0"/>
              <w:rPr>
                <w:rFonts w:hint="default" w:ascii="Times New Roman" w:eastAsia="黑体"/>
                <w:spacing w:val="-6"/>
                <w:kern w:val="21"/>
                <w:szCs w:val="21"/>
              </w:rPr>
            </w:pPr>
            <w:r>
              <w:rPr>
                <w:rFonts w:hint="default" w:ascii="Times New Roman" w:eastAsia="黑体"/>
                <w:snapToGrid w:val="0"/>
                <w:spacing w:val="-6"/>
                <w:kern w:val="21"/>
                <w:szCs w:val="21"/>
              </w:rPr>
              <w:t>变化量</w:t>
            </w:r>
          </w:p>
          <w:p w14:paraId="38FD2E60">
            <w:pPr>
              <w:pStyle w:val="38"/>
              <w:widowControl/>
              <w:spacing w:beforeLines="0" w:line="240" w:lineRule="auto"/>
              <w:ind w:firstLine="0"/>
              <w:rPr>
                <w:rFonts w:hint="default" w:ascii="Times New Roman" w:eastAsia="黑体"/>
                <w:snapToGrid w:val="0"/>
                <w:spacing w:val="-6"/>
                <w:kern w:val="21"/>
                <w:szCs w:val="21"/>
              </w:rPr>
            </w:pPr>
            <w:r>
              <w:rPr>
                <w:rFonts w:hint="default" w:ascii="Times New Roman" w:eastAsia="黑体"/>
                <w:spacing w:val="-6"/>
                <w:kern w:val="21"/>
                <w:szCs w:val="21"/>
              </w:rPr>
              <w:fldChar w:fldCharType="begin"/>
            </w:r>
            <w:r>
              <w:rPr>
                <w:rFonts w:hint="default" w:ascii="Times New Roman" w:eastAsia="黑体"/>
                <w:spacing w:val="-6"/>
                <w:kern w:val="21"/>
                <w:szCs w:val="21"/>
              </w:rPr>
              <w:instrText xml:space="preserve"> </w:instrText>
            </w:r>
            <w:r>
              <w:rPr>
                <w:rFonts w:hint="default" w:ascii="Times New Roman" w:eastAsia="黑体"/>
                <w:snapToGrid w:val="0"/>
                <w:spacing w:val="-6"/>
                <w:kern w:val="21"/>
                <w:szCs w:val="21"/>
              </w:rPr>
              <w:instrText xml:space="preserve">= 7 \* GB3 \* MERGEFORMAT </w:instrText>
            </w:r>
            <w:r>
              <w:rPr>
                <w:rFonts w:hint="default" w:ascii="Times New Roman" w:eastAsia="黑体"/>
                <w:spacing w:val="-6"/>
                <w:kern w:val="21"/>
                <w:szCs w:val="21"/>
              </w:rPr>
              <w:fldChar w:fldCharType="separate"/>
            </w:r>
            <w:r>
              <w:rPr>
                <w:rFonts w:hint="default" w:ascii="Times New Roman" w:eastAsia="黑体"/>
                <w:kern w:val="2"/>
                <w:szCs w:val="21"/>
              </w:rPr>
              <w:t>⑦</w:t>
            </w:r>
            <w:r>
              <w:rPr>
                <w:rFonts w:hint="default" w:ascii="Times New Roman" w:eastAsia="黑体"/>
                <w:spacing w:val="-6"/>
                <w:kern w:val="21"/>
                <w:szCs w:val="21"/>
              </w:rPr>
              <w:fldChar w:fldCharType="end"/>
            </w:r>
          </w:p>
        </w:tc>
      </w:tr>
      <w:tr w14:paraId="022C64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9" w:type="pct"/>
            <w:vMerge w:val="restart"/>
            <w:tcBorders>
              <w:tl2br w:val="nil"/>
              <w:tr2bl w:val="nil"/>
            </w:tcBorders>
            <w:shd w:val="clear" w:color="auto" w:fill="auto"/>
            <w:vAlign w:val="center"/>
          </w:tcPr>
          <w:p w14:paraId="2935B6B2">
            <w:pPr>
              <w:pStyle w:val="38"/>
              <w:widowControl/>
              <w:spacing w:before="31" w:line="240" w:lineRule="auto"/>
              <w:ind w:firstLine="0"/>
              <w:rPr>
                <w:rFonts w:hint="default" w:ascii="Times New Roman"/>
                <w:kern w:val="21"/>
                <w:szCs w:val="21"/>
              </w:rPr>
            </w:pPr>
            <w:r>
              <w:rPr>
                <w:rFonts w:hint="default" w:ascii="Times New Roman"/>
                <w:snapToGrid w:val="0"/>
                <w:kern w:val="21"/>
                <w:szCs w:val="21"/>
              </w:rPr>
              <w:t>废气</w:t>
            </w:r>
          </w:p>
        </w:tc>
        <w:tc>
          <w:tcPr>
            <w:tcW w:w="620" w:type="pct"/>
            <w:tcBorders>
              <w:tl2br w:val="nil"/>
              <w:tr2bl w:val="nil"/>
            </w:tcBorders>
            <w:shd w:val="clear" w:color="auto" w:fill="auto"/>
            <w:vAlign w:val="center"/>
          </w:tcPr>
          <w:p w14:paraId="0BD52E3B">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非甲烷总烃</w:t>
            </w:r>
          </w:p>
        </w:tc>
        <w:tc>
          <w:tcPr>
            <w:tcW w:w="617" w:type="pct"/>
            <w:tcBorders>
              <w:tl2br w:val="nil"/>
              <w:tr2bl w:val="nil"/>
            </w:tcBorders>
            <w:shd w:val="clear" w:color="auto" w:fill="auto"/>
            <w:vAlign w:val="bottom"/>
          </w:tcPr>
          <w:p w14:paraId="329B67D6">
            <w:pPr>
              <w:jc w:val="center"/>
              <w:rPr>
                <w:rFonts w:ascii="Times New Roman" w:hAnsi="Times New Roman" w:cs="Times New Roman"/>
                <w:snapToGrid w:val="0"/>
                <w:kern w:val="21"/>
                <w:szCs w:val="21"/>
              </w:rPr>
            </w:pPr>
            <w:r>
              <w:rPr>
                <w:rFonts w:hint="eastAsia" w:ascii="Times New Roman" w:hAnsi="Times New Roman" w:cs="Times New Roman"/>
              </w:rPr>
              <w:t>0.045</w:t>
            </w:r>
            <w:r>
              <w:rPr>
                <w:rFonts w:ascii="Times New Roman" w:hAnsi="Times New Roman" w:cs="Times New Roman"/>
                <w:szCs w:val="21"/>
              </w:rPr>
              <w:t>t/a</w:t>
            </w:r>
          </w:p>
        </w:tc>
        <w:tc>
          <w:tcPr>
            <w:tcW w:w="462" w:type="pct"/>
            <w:tcBorders>
              <w:tl2br w:val="nil"/>
              <w:tr2bl w:val="nil"/>
            </w:tcBorders>
            <w:shd w:val="clear" w:color="auto" w:fill="auto"/>
            <w:vAlign w:val="center"/>
          </w:tcPr>
          <w:p w14:paraId="0FE3950B">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617" w:type="pct"/>
            <w:tcBorders>
              <w:tl2br w:val="nil"/>
              <w:tr2bl w:val="nil"/>
            </w:tcBorders>
            <w:shd w:val="clear" w:color="auto" w:fill="auto"/>
            <w:vAlign w:val="center"/>
          </w:tcPr>
          <w:p w14:paraId="208B3FAA">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565" w:type="pct"/>
            <w:tcBorders>
              <w:tl2br w:val="nil"/>
              <w:tr2bl w:val="nil"/>
            </w:tcBorders>
            <w:shd w:val="clear" w:color="auto" w:fill="auto"/>
            <w:vAlign w:val="bottom"/>
          </w:tcPr>
          <w:p w14:paraId="791520C0">
            <w:pPr>
              <w:jc w:val="center"/>
              <w:rPr>
                <w:rFonts w:ascii="Times New Roman" w:hAnsi="Times New Roman" w:cs="Times New Roman"/>
                <w:snapToGrid w:val="0"/>
                <w:kern w:val="21"/>
                <w:szCs w:val="21"/>
              </w:rPr>
            </w:pPr>
            <w:r>
              <w:rPr>
                <w:rFonts w:hint="eastAsia" w:ascii="Times New Roman" w:hAnsi="Times New Roman" w:cs="Times New Roman"/>
              </w:rPr>
              <w:t>0.</w:t>
            </w:r>
            <w:r>
              <w:rPr>
                <w:rFonts w:hint="eastAsia" w:ascii="Times New Roman" w:hAnsi="Times New Roman" w:cs="Times New Roman"/>
                <w:lang w:val="en-US" w:eastAsia="zh-CN"/>
              </w:rPr>
              <w:t>356</w:t>
            </w:r>
            <w:r>
              <w:rPr>
                <w:rFonts w:ascii="Times New Roman" w:hAnsi="Times New Roman" w:cs="Times New Roman"/>
                <w:szCs w:val="21"/>
              </w:rPr>
              <w:t>t/a</w:t>
            </w:r>
          </w:p>
        </w:tc>
        <w:tc>
          <w:tcPr>
            <w:tcW w:w="638" w:type="pct"/>
            <w:tcBorders>
              <w:tl2br w:val="nil"/>
              <w:tr2bl w:val="nil"/>
            </w:tcBorders>
            <w:shd w:val="clear" w:color="auto" w:fill="auto"/>
            <w:vAlign w:val="bottom"/>
          </w:tcPr>
          <w:p w14:paraId="52848883">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561" w:type="pct"/>
            <w:tcBorders>
              <w:tl2br w:val="nil"/>
              <w:tr2bl w:val="nil"/>
            </w:tcBorders>
            <w:shd w:val="clear" w:color="auto" w:fill="auto"/>
            <w:vAlign w:val="bottom"/>
          </w:tcPr>
          <w:p w14:paraId="1DCE1AD4">
            <w:pPr>
              <w:jc w:val="center"/>
              <w:rPr>
                <w:rFonts w:ascii="Times New Roman" w:hAnsi="Times New Roman" w:eastAsia="等线" w:cs="Times New Roman"/>
                <w:szCs w:val="21"/>
              </w:rPr>
            </w:pPr>
            <w:r>
              <w:rPr>
                <w:rFonts w:hint="eastAsia" w:ascii="Times New Roman" w:hAnsi="Times New Roman" w:cs="Times New Roman"/>
              </w:rPr>
              <w:t>0.</w:t>
            </w:r>
            <w:r>
              <w:rPr>
                <w:rFonts w:hint="eastAsia" w:ascii="Times New Roman" w:hAnsi="Times New Roman" w:cs="Times New Roman"/>
                <w:lang w:val="en-US" w:eastAsia="zh-CN"/>
              </w:rPr>
              <w:t>401</w:t>
            </w:r>
            <w:r>
              <w:rPr>
                <w:rFonts w:ascii="Times New Roman" w:hAnsi="Times New Roman" w:cs="Times New Roman"/>
                <w:szCs w:val="21"/>
              </w:rPr>
              <w:t>t/a</w:t>
            </w:r>
          </w:p>
        </w:tc>
        <w:tc>
          <w:tcPr>
            <w:tcW w:w="448" w:type="pct"/>
            <w:tcBorders>
              <w:tl2br w:val="nil"/>
              <w:tr2bl w:val="nil"/>
            </w:tcBorders>
            <w:shd w:val="clear" w:color="auto" w:fill="auto"/>
            <w:vAlign w:val="bottom"/>
          </w:tcPr>
          <w:p w14:paraId="3393182C">
            <w:pPr>
              <w:jc w:val="center"/>
              <w:rPr>
                <w:rFonts w:ascii="Times New Roman" w:hAnsi="Times New Roman" w:cs="Times New Roman"/>
                <w:snapToGrid w:val="0"/>
                <w:kern w:val="21"/>
                <w:szCs w:val="21"/>
              </w:rPr>
            </w:pPr>
            <w:r>
              <w:rPr>
                <w:rFonts w:hint="eastAsia" w:ascii="Times New Roman" w:hAnsi="Times New Roman" w:eastAsia="等线" w:cs="Times New Roman"/>
                <w:szCs w:val="21"/>
              </w:rPr>
              <w:t>+</w:t>
            </w:r>
            <w:r>
              <w:rPr>
                <w:rFonts w:hint="eastAsia" w:ascii="Times New Roman" w:hAnsi="Times New Roman" w:cs="Times New Roman"/>
              </w:rPr>
              <w:t>0.</w:t>
            </w:r>
            <w:r>
              <w:rPr>
                <w:rFonts w:hint="eastAsia" w:ascii="Times New Roman" w:hAnsi="Times New Roman" w:cs="Times New Roman"/>
                <w:lang w:val="en-US" w:eastAsia="zh-CN"/>
              </w:rPr>
              <w:t>356</w:t>
            </w:r>
            <w:r>
              <w:rPr>
                <w:rFonts w:ascii="Times New Roman" w:hAnsi="Times New Roman" w:cs="Times New Roman"/>
                <w:szCs w:val="21"/>
              </w:rPr>
              <w:t>t/a</w:t>
            </w:r>
          </w:p>
        </w:tc>
      </w:tr>
      <w:tr w14:paraId="133D23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9" w:type="pct"/>
            <w:vMerge w:val="continue"/>
            <w:tcBorders>
              <w:tl2br w:val="nil"/>
              <w:tr2bl w:val="nil"/>
            </w:tcBorders>
            <w:shd w:val="clear" w:color="auto" w:fill="auto"/>
            <w:vAlign w:val="center"/>
          </w:tcPr>
          <w:p w14:paraId="6C91BA2F">
            <w:pPr>
              <w:jc w:val="center"/>
              <w:rPr>
                <w:rFonts w:ascii="Times New Roman" w:hAnsi="Times New Roman" w:eastAsia="宋体" w:cs="Times New Roman"/>
                <w:szCs w:val="22"/>
              </w:rPr>
            </w:pPr>
          </w:p>
        </w:tc>
        <w:tc>
          <w:tcPr>
            <w:tcW w:w="620" w:type="pct"/>
            <w:tcBorders>
              <w:tl2br w:val="nil"/>
              <w:tr2bl w:val="nil"/>
            </w:tcBorders>
            <w:shd w:val="clear" w:color="auto" w:fill="auto"/>
            <w:vAlign w:val="center"/>
          </w:tcPr>
          <w:p w14:paraId="304BCAB4">
            <w:pPr>
              <w:jc w:val="center"/>
              <w:rPr>
                <w:rFonts w:ascii="Times New Roman" w:hAnsi="Times New Roman" w:cs="Times New Roman"/>
                <w:snapToGrid w:val="0"/>
                <w:kern w:val="21"/>
                <w:szCs w:val="21"/>
              </w:rPr>
            </w:pPr>
            <w:r>
              <w:rPr>
                <w:rFonts w:ascii="Times New Roman" w:hAnsi="Times New Roman" w:cs="Times New Roman"/>
              </w:rPr>
              <w:t>颗粒物</w:t>
            </w:r>
          </w:p>
        </w:tc>
        <w:tc>
          <w:tcPr>
            <w:tcW w:w="617" w:type="pct"/>
            <w:tcBorders>
              <w:tl2br w:val="nil"/>
              <w:tr2bl w:val="nil"/>
            </w:tcBorders>
            <w:shd w:val="clear" w:color="auto" w:fill="auto"/>
            <w:vAlign w:val="center"/>
          </w:tcPr>
          <w:p w14:paraId="493222BA">
            <w:pPr>
              <w:jc w:val="center"/>
              <w:rPr>
                <w:rFonts w:ascii="Times New Roman" w:hAnsi="Times New Roman" w:eastAsia="等线" w:cs="Times New Roman"/>
                <w:szCs w:val="21"/>
              </w:rPr>
            </w:pPr>
            <w:r>
              <w:rPr>
                <w:rFonts w:hint="eastAsia" w:ascii="Times New Roman" w:hAnsi="Times New Roman" w:eastAsia="等线" w:cs="Times New Roman"/>
                <w:szCs w:val="21"/>
              </w:rPr>
              <w:t>0.2644</w:t>
            </w:r>
            <w:r>
              <w:rPr>
                <w:rFonts w:ascii="Times New Roman" w:hAnsi="Times New Roman" w:cs="Times New Roman"/>
                <w:szCs w:val="21"/>
              </w:rPr>
              <w:t>t/a</w:t>
            </w:r>
          </w:p>
        </w:tc>
        <w:tc>
          <w:tcPr>
            <w:tcW w:w="462" w:type="pct"/>
            <w:tcBorders>
              <w:tl2br w:val="nil"/>
              <w:tr2bl w:val="nil"/>
            </w:tcBorders>
            <w:shd w:val="clear" w:color="auto" w:fill="auto"/>
            <w:vAlign w:val="center"/>
          </w:tcPr>
          <w:p w14:paraId="0915C67E">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617" w:type="pct"/>
            <w:tcBorders>
              <w:tl2br w:val="nil"/>
              <w:tr2bl w:val="nil"/>
            </w:tcBorders>
            <w:shd w:val="clear" w:color="auto" w:fill="auto"/>
            <w:vAlign w:val="center"/>
          </w:tcPr>
          <w:p w14:paraId="4182382D">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565" w:type="pct"/>
            <w:tcBorders>
              <w:tl2br w:val="nil"/>
              <w:tr2bl w:val="nil"/>
            </w:tcBorders>
            <w:shd w:val="clear" w:color="auto" w:fill="auto"/>
            <w:vAlign w:val="center"/>
          </w:tcPr>
          <w:p w14:paraId="3393CCEF">
            <w:pPr>
              <w:jc w:val="center"/>
              <w:rPr>
                <w:rFonts w:ascii="Times New Roman" w:hAnsi="Times New Roman" w:eastAsia="等线" w:cs="Times New Roman"/>
                <w:szCs w:val="21"/>
              </w:rPr>
            </w:pPr>
            <w:r>
              <w:rPr>
                <w:rFonts w:hint="eastAsia" w:ascii="Times New Roman" w:hAnsi="Times New Roman" w:eastAsia="等线" w:cs="Times New Roman"/>
                <w:szCs w:val="21"/>
              </w:rPr>
              <w:t>0.</w:t>
            </w:r>
            <w:r>
              <w:rPr>
                <w:rFonts w:hint="eastAsia" w:ascii="Times New Roman" w:hAnsi="Times New Roman" w:eastAsia="等线" w:cs="Times New Roman"/>
                <w:szCs w:val="21"/>
                <w:lang w:val="en-US" w:eastAsia="zh-CN"/>
              </w:rPr>
              <w:t>3645</w:t>
            </w:r>
            <w:r>
              <w:rPr>
                <w:rFonts w:ascii="Times New Roman" w:hAnsi="Times New Roman" w:cs="Times New Roman"/>
                <w:szCs w:val="21"/>
              </w:rPr>
              <w:t>t/a</w:t>
            </w:r>
          </w:p>
        </w:tc>
        <w:tc>
          <w:tcPr>
            <w:tcW w:w="638" w:type="pct"/>
            <w:tcBorders>
              <w:tl2br w:val="nil"/>
              <w:tr2bl w:val="nil"/>
            </w:tcBorders>
            <w:shd w:val="clear" w:color="auto" w:fill="auto"/>
            <w:vAlign w:val="center"/>
          </w:tcPr>
          <w:p w14:paraId="2E088845">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561" w:type="pct"/>
            <w:tcBorders>
              <w:tl2br w:val="nil"/>
              <w:tr2bl w:val="nil"/>
            </w:tcBorders>
            <w:shd w:val="clear" w:color="auto" w:fill="auto"/>
            <w:vAlign w:val="center"/>
          </w:tcPr>
          <w:p w14:paraId="19D68E77">
            <w:pPr>
              <w:jc w:val="center"/>
              <w:rPr>
                <w:rFonts w:ascii="Times New Roman" w:hAnsi="Times New Roman" w:eastAsia="等线" w:cs="Times New Roman"/>
                <w:szCs w:val="21"/>
              </w:rPr>
            </w:pPr>
            <w:r>
              <w:rPr>
                <w:rFonts w:hint="eastAsia" w:ascii="Times New Roman" w:hAnsi="Times New Roman" w:eastAsia="等线" w:cs="Times New Roman"/>
                <w:szCs w:val="21"/>
              </w:rPr>
              <w:t>0.6</w:t>
            </w:r>
            <w:r>
              <w:rPr>
                <w:rFonts w:hint="eastAsia" w:ascii="Times New Roman" w:hAnsi="Times New Roman" w:eastAsia="等线" w:cs="Times New Roman"/>
                <w:szCs w:val="21"/>
                <w:lang w:val="en-US" w:eastAsia="zh-CN"/>
              </w:rPr>
              <w:t>289</w:t>
            </w:r>
            <w:r>
              <w:rPr>
                <w:rFonts w:ascii="Times New Roman" w:hAnsi="Times New Roman" w:cs="Times New Roman"/>
                <w:szCs w:val="21"/>
              </w:rPr>
              <w:t>t/a</w:t>
            </w:r>
          </w:p>
        </w:tc>
        <w:tc>
          <w:tcPr>
            <w:tcW w:w="448" w:type="pct"/>
            <w:tcBorders>
              <w:tl2br w:val="nil"/>
              <w:tr2bl w:val="nil"/>
            </w:tcBorders>
            <w:shd w:val="clear" w:color="auto" w:fill="auto"/>
            <w:vAlign w:val="center"/>
          </w:tcPr>
          <w:p w14:paraId="4776BD83">
            <w:pPr>
              <w:jc w:val="center"/>
              <w:rPr>
                <w:rFonts w:ascii="Times New Roman" w:hAnsi="Times New Roman" w:eastAsia="等线" w:cs="Times New Roman"/>
                <w:szCs w:val="21"/>
              </w:rPr>
            </w:pPr>
            <w:r>
              <w:rPr>
                <w:rFonts w:hint="eastAsia" w:ascii="Times New Roman" w:hAnsi="Times New Roman" w:eastAsia="等线" w:cs="Times New Roman"/>
                <w:szCs w:val="21"/>
              </w:rPr>
              <w:t>+0.</w:t>
            </w:r>
            <w:r>
              <w:rPr>
                <w:rFonts w:hint="eastAsia" w:ascii="Times New Roman" w:hAnsi="Times New Roman" w:eastAsia="等线" w:cs="Times New Roman"/>
                <w:szCs w:val="21"/>
                <w:lang w:val="en-US" w:eastAsia="zh-CN"/>
              </w:rPr>
              <w:t>3645</w:t>
            </w:r>
            <w:r>
              <w:rPr>
                <w:rFonts w:ascii="Times New Roman" w:hAnsi="Times New Roman" w:cs="Times New Roman"/>
                <w:szCs w:val="21"/>
              </w:rPr>
              <w:t>t/a</w:t>
            </w:r>
          </w:p>
        </w:tc>
      </w:tr>
      <w:tr w14:paraId="06CE4E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9" w:type="pct"/>
            <w:vMerge w:val="continue"/>
            <w:tcBorders>
              <w:tl2br w:val="nil"/>
              <w:tr2bl w:val="nil"/>
            </w:tcBorders>
            <w:shd w:val="clear" w:color="auto" w:fill="auto"/>
            <w:vAlign w:val="center"/>
          </w:tcPr>
          <w:p w14:paraId="7EB79077">
            <w:pPr>
              <w:jc w:val="center"/>
              <w:rPr>
                <w:rFonts w:ascii="Times New Roman" w:hAnsi="Times New Roman" w:eastAsia="宋体" w:cs="Times New Roman"/>
                <w:szCs w:val="22"/>
              </w:rPr>
            </w:pPr>
          </w:p>
        </w:tc>
        <w:tc>
          <w:tcPr>
            <w:tcW w:w="620" w:type="pct"/>
            <w:tcBorders>
              <w:tl2br w:val="nil"/>
              <w:tr2bl w:val="nil"/>
            </w:tcBorders>
            <w:shd w:val="clear" w:color="auto" w:fill="auto"/>
            <w:vAlign w:val="center"/>
          </w:tcPr>
          <w:p w14:paraId="7C3E092F">
            <w:pPr>
              <w:jc w:val="center"/>
              <w:rPr>
                <w:rFonts w:ascii="Times New Roman" w:hAnsi="Times New Roman" w:cs="Times New Roman"/>
              </w:rPr>
            </w:pPr>
            <w:r>
              <w:rPr>
                <w:rFonts w:hint="eastAsia" w:ascii="Times New Roman" w:hAnsi="Times New Roman" w:cs="Times New Roman"/>
              </w:rPr>
              <w:t>油雾颗粒</w:t>
            </w:r>
          </w:p>
        </w:tc>
        <w:tc>
          <w:tcPr>
            <w:tcW w:w="617" w:type="pct"/>
            <w:tcBorders>
              <w:tl2br w:val="nil"/>
              <w:tr2bl w:val="nil"/>
            </w:tcBorders>
            <w:shd w:val="clear" w:color="auto" w:fill="auto"/>
            <w:vAlign w:val="center"/>
          </w:tcPr>
          <w:p w14:paraId="40DE1776">
            <w:pPr>
              <w:jc w:val="center"/>
              <w:rPr>
                <w:rFonts w:ascii="Times New Roman" w:hAnsi="Times New Roman" w:eastAsia="等线" w:cs="Times New Roman"/>
                <w:szCs w:val="21"/>
              </w:rPr>
            </w:pPr>
            <w:r>
              <w:rPr>
                <w:rFonts w:hint="eastAsia" w:ascii="Times New Roman" w:hAnsi="Times New Roman" w:cs="Times New Roman"/>
                <w:szCs w:val="21"/>
              </w:rPr>
              <w:t>0.018</w:t>
            </w:r>
            <w:r>
              <w:rPr>
                <w:rFonts w:ascii="Times New Roman" w:hAnsi="Times New Roman" w:cs="Times New Roman"/>
                <w:szCs w:val="21"/>
              </w:rPr>
              <w:t>t/a</w:t>
            </w:r>
          </w:p>
        </w:tc>
        <w:tc>
          <w:tcPr>
            <w:tcW w:w="462" w:type="pct"/>
            <w:tcBorders>
              <w:tl2br w:val="nil"/>
              <w:tr2bl w:val="nil"/>
            </w:tcBorders>
            <w:shd w:val="clear" w:color="auto" w:fill="auto"/>
            <w:vAlign w:val="center"/>
          </w:tcPr>
          <w:p w14:paraId="3B437E19">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617" w:type="pct"/>
            <w:tcBorders>
              <w:tl2br w:val="nil"/>
              <w:tr2bl w:val="nil"/>
            </w:tcBorders>
            <w:shd w:val="clear" w:color="auto" w:fill="auto"/>
            <w:vAlign w:val="center"/>
          </w:tcPr>
          <w:p w14:paraId="39D37A16">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565" w:type="pct"/>
            <w:tcBorders>
              <w:tl2br w:val="nil"/>
              <w:tr2bl w:val="nil"/>
            </w:tcBorders>
            <w:shd w:val="clear" w:color="auto" w:fill="auto"/>
            <w:vAlign w:val="center"/>
          </w:tcPr>
          <w:p w14:paraId="6EB3FA18">
            <w:pPr>
              <w:jc w:val="center"/>
              <w:rPr>
                <w:rFonts w:ascii="Times New Roman" w:hAnsi="Times New Roman" w:eastAsia="等线" w:cs="Times New Roman"/>
                <w:szCs w:val="21"/>
              </w:rPr>
            </w:pPr>
            <w:r>
              <w:rPr>
                <w:rFonts w:hint="eastAsia" w:ascii="Times New Roman" w:hAnsi="Times New Roman" w:eastAsia="等线" w:cs="Times New Roman"/>
                <w:szCs w:val="21"/>
              </w:rPr>
              <w:t>/</w:t>
            </w:r>
          </w:p>
        </w:tc>
        <w:tc>
          <w:tcPr>
            <w:tcW w:w="638" w:type="pct"/>
            <w:tcBorders>
              <w:tl2br w:val="nil"/>
              <w:tr2bl w:val="nil"/>
            </w:tcBorders>
            <w:shd w:val="clear" w:color="auto" w:fill="auto"/>
            <w:vAlign w:val="center"/>
          </w:tcPr>
          <w:p w14:paraId="3F1CE2D3">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561" w:type="pct"/>
            <w:tcBorders>
              <w:tl2br w:val="nil"/>
              <w:tr2bl w:val="nil"/>
            </w:tcBorders>
            <w:shd w:val="clear" w:color="auto" w:fill="auto"/>
            <w:vAlign w:val="center"/>
          </w:tcPr>
          <w:p w14:paraId="2A804E81">
            <w:pPr>
              <w:jc w:val="center"/>
              <w:rPr>
                <w:rFonts w:ascii="Times New Roman" w:hAnsi="Times New Roman" w:eastAsia="等线" w:cs="Times New Roman"/>
                <w:szCs w:val="21"/>
              </w:rPr>
            </w:pPr>
            <w:r>
              <w:rPr>
                <w:rFonts w:hint="eastAsia" w:ascii="Times New Roman" w:hAnsi="Times New Roman" w:cs="Times New Roman"/>
                <w:szCs w:val="21"/>
              </w:rPr>
              <w:t>0.018</w:t>
            </w:r>
            <w:r>
              <w:rPr>
                <w:rFonts w:ascii="Times New Roman" w:hAnsi="Times New Roman" w:cs="Times New Roman"/>
                <w:szCs w:val="21"/>
              </w:rPr>
              <w:t>t/a</w:t>
            </w:r>
          </w:p>
        </w:tc>
        <w:tc>
          <w:tcPr>
            <w:tcW w:w="448" w:type="pct"/>
            <w:tcBorders>
              <w:tl2br w:val="nil"/>
              <w:tr2bl w:val="nil"/>
            </w:tcBorders>
            <w:shd w:val="clear" w:color="auto" w:fill="auto"/>
            <w:vAlign w:val="center"/>
          </w:tcPr>
          <w:p w14:paraId="256BD748">
            <w:pPr>
              <w:jc w:val="center"/>
              <w:rPr>
                <w:rFonts w:ascii="Times New Roman" w:hAnsi="Times New Roman" w:eastAsia="等线" w:cs="Times New Roman"/>
                <w:szCs w:val="21"/>
              </w:rPr>
            </w:pPr>
            <w:r>
              <w:rPr>
                <w:rFonts w:ascii="Times New Roman" w:hAnsi="Times New Roman" w:cs="Times New Roman"/>
                <w:snapToGrid w:val="0"/>
                <w:kern w:val="21"/>
                <w:szCs w:val="21"/>
              </w:rPr>
              <w:t>/</w:t>
            </w:r>
          </w:p>
        </w:tc>
      </w:tr>
      <w:tr w14:paraId="0A981C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9" w:type="pct"/>
            <w:vMerge w:val="restart"/>
            <w:tcBorders>
              <w:tl2br w:val="nil"/>
              <w:tr2bl w:val="nil"/>
            </w:tcBorders>
            <w:shd w:val="clear" w:color="auto" w:fill="auto"/>
            <w:vAlign w:val="center"/>
          </w:tcPr>
          <w:p w14:paraId="2A7A870E">
            <w:pPr>
              <w:pStyle w:val="38"/>
              <w:widowControl/>
              <w:spacing w:before="31" w:line="240" w:lineRule="auto"/>
              <w:ind w:firstLine="0"/>
              <w:rPr>
                <w:rFonts w:hint="default" w:ascii="Times New Roman"/>
                <w:kern w:val="21"/>
                <w:szCs w:val="21"/>
              </w:rPr>
            </w:pPr>
            <w:r>
              <w:rPr>
                <w:rFonts w:hint="default" w:ascii="Times New Roman"/>
                <w:snapToGrid w:val="0"/>
                <w:kern w:val="21"/>
                <w:szCs w:val="21"/>
              </w:rPr>
              <w:t>废水</w:t>
            </w:r>
          </w:p>
        </w:tc>
        <w:tc>
          <w:tcPr>
            <w:tcW w:w="620" w:type="pct"/>
            <w:tcBorders>
              <w:tl2br w:val="nil"/>
              <w:tr2bl w:val="nil"/>
            </w:tcBorders>
            <w:shd w:val="clear" w:color="auto" w:fill="auto"/>
            <w:vAlign w:val="center"/>
          </w:tcPr>
          <w:p w14:paraId="144C3B16">
            <w:pPr>
              <w:widowControl/>
              <w:adjustRightInd w:val="0"/>
              <w:snapToGrid w:val="0"/>
              <w:jc w:val="center"/>
              <w:rPr>
                <w:rFonts w:ascii="Times New Roman" w:hAnsi="Times New Roman" w:cs="Times New Roman"/>
                <w:szCs w:val="21"/>
              </w:rPr>
            </w:pPr>
            <w:r>
              <w:rPr>
                <w:rFonts w:hint="eastAsia" w:ascii="Times New Roman" w:hAnsi="Times New Roman" w:cs="Times New Roman"/>
                <w:szCs w:val="21"/>
              </w:rPr>
              <w:t>生活污水</w:t>
            </w:r>
          </w:p>
        </w:tc>
        <w:tc>
          <w:tcPr>
            <w:tcW w:w="617" w:type="pct"/>
            <w:tcBorders>
              <w:tl2br w:val="nil"/>
              <w:tr2bl w:val="nil"/>
            </w:tcBorders>
            <w:shd w:val="clear" w:color="auto" w:fill="auto"/>
            <w:vAlign w:val="center"/>
          </w:tcPr>
          <w:p w14:paraId="15902800">
            <w:pPr>
              <w:widowControl/>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252</w:t>
            </w:r>
            <w:r>
              <w:rPr>
                <w:rFonts w:ascii="Times New Roman" w:hAnsi="Times New Roman" w:cs="Times New Roman"/>
                <w:bCs/>
                <w:szCs w:val="21"/>
              </w:rPr>
              <w:t>t/a</w:t>
            </w:r>
          </w:p>
        </w:tc>
        <w:tc>
          <w:tcPr>
            <w:tcW w:w="462" w:type="pct"/>
            <w:tcBorders>
              <w:tl2br w:val="nil"/>
              <w:tr2bl w:val="nil"/>
            </w:tcBorders>
            <w:shd w:val="clear" w:color="auto" w:fill="auto"/>
            <w:vAlign w:val="center"/>
          </w:tcPr>
          <w:p w14:paraId="46B9C07B">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617" w:type="pct"/>
            <w:tcBorders>
              <w:tl2br w:val="nil"/>
              <w:tr2bl w:val="nil"/>
            </w:tcBorders>
            <w:shd w:val="clear" w:color="auto" w:fill="auto"/>
            <w:vAlign w:val="center"/>
          </w:tcPr>
          <w:p w14:paraId="448D8FF7">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565" w:type="pct"/>
            <w:tcBorders>
              <w:tl2br w:val="nil"/>
              <w:tr2bl w:val="nil"/>
            </w:tcBorders>
            <w:shd w:val="clear" w:color="auto" w:fill="auto"/>
            <w:vAlign w:val="center"/>
          </w:tcPr>
          <w:p w14:paraId="53858431">
            <w:pPr>
              <w:widowControl/>
              <w:adjustRightInd w:val="0"/>
              <w:snapToGrid w:val="0"/>
              <w:jc w:val="center"/>
              <w:rPr>
                <w:rFonts w:ascii="Times New Roman" w:hAnsi="Times New Roman" w:eastAsia="宋体" w:cs="Times New Roman"/>
                <w:szCs w:val="21"/>
              </w:rPr>
            </w:pPr>
            <w:r>
              <w:rPr>
                <w:rFonts w:hint="eastAsia" w:ascii="Times New Roman" w:hAnsi="Times New Roman" w:eastAsia="等线" w:cs="Times New Roman"/>
                <w:szCs w:val="21"/>
              </w:rPr>
              <w:t>/</w:t>
            </w:r>
          </w:p>
        </w:tc>
        <w:tc>
          <w:tcPr>
            <w:tcW w:w="638" w:type="pct"/>
            <w:tcBorders>
              <w:tl2br w:val="nil"/>
              <w:tr2bl w:val="nil"/>
            </w:tcBorders>
            <w:shd w:val="clear" w:color="auto" w:fill="auto"/>
            <w:vAlign w:val="bottom"/>
          </w:tcPr>
          <w:p w14:paraId="167B49FF">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561" w:type="pct"/>
            <w:tcBorders>
              <w:tl2br w:val="nil"/>
              <w:tr2bl w:val="nil"/>
            </w:tcBorders>
            <w:shd w:val="clear" w:color="auto" w:fill="auto"/>
            <w:vAlign w:val="center"/>
          </w:tcPr>
          <w:p w14:paraId="1994A653">
            <w:pPr>
              <w:widowControl/>
              <w:adjustRightInd w:val="0"/>
              <w:snapToGrid w:val="0"/>
              <w:jc w:val="center"/>
              <w:rPr>
                <w:rFonts w:ascii="Times New Roman" w:hAnsi="Times New Roman" w:eastAsia="等线" w:cs="Times New Roman"/>
                <w:szCs w:val="21"/>
              </w:rPr>
            </w:pPr>
            <w:r>
              <w:rPr>
                <w:rFonts w:hint="eastAsia" w:ascii="Times New Roman" w:hAnsi="Times New Roman" w:eastAsia="宋体" w:cs="Times New Roman"/>
                <w:szCs w:val="21"/>
              </w:rPr>
              <w:t>252</w:t>
            </w:r>
            <w:r>
              <w:rPr>
                <w:rFonts w:ascii="Times New Roman" w:hAnsi="Times New Roman" w:cs="Times New Roman"/>
                <w:bCs/>
                <w:szCs w:val="21"/>
              </w:rPr>
              <w:t>t/a</w:t>
            </w:r>
          </w:p>
        </w:tc>
        <w:tc>
          <w:tcPr>
            <w:tcW w:w="448" w:type="pct"/>
            <w:tcBorders>
              <w:tl2br w:val="nil"/>
              <w:tr2bl w:val="nil"/>
            </w:tcBorders>
            <w:shd w:val="clear" w:color="auto" w:fill="auto"/>
            <w:vAlign w:val="center"/>
          </w:tcPr>
          <w:p w14:paraId="2D60EB1C">
            <w:pPr>
              <w:jc w:val="center"/>
              <w:rPr>
                <w:rFonts w:ascii="Times New Roman" w:hAnsi="Times New Roman" w:eastAsia="等线" w:cs="Times New Roman"/>
                <w:szCs w:val="21"/>
              </w:rPr>
            </w:pPr>
            <w:r>
              <w:rPr>
                <w:rFonts w:hint="eastAsia" w:ascii="Times New Roman" w:hAnsi="Times New Roman" w:eastAsia="等线" w:cs="Times New Roman"/>
                <w:szCs w:val="21"/>
              </w:rPr>
              <w:t>/</w:t>
            </w:r>
          </w:p>
        </w:tc>
      </w:tr>
      <w:tr w14:paraId="2D9962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9" w:type="pct"/>
            <w:vMerge w:val="continue"/>
            <w:tcBorders>
              <w:tl2br w:val="nil"/>
              <w:tr2bl w:val="nil"/>
            </w:tcBorders>
            <w:shd w:val="clear" w:color="auto" w:fill="auto"/>
            <w:vAlign w:val="center"/>
          </w:tcPr>
          <w:p w14:paraId="27A0FE28">
            <w:pPr>
              <w:pStyle w:val="38"/>
              <w:widowControl/>
              <w:spacing w:before="31" w:line="240" w:lineRule="auto"/>
              <w:rPr>
                <w:rFonts w:hint="default" w:ascii="Times New Roman"/>
                <w:snapToGrid w:val="0"/>
                <w:kern w:val="21"/>
                <w:szCs w:val="21"/>
              </w:rPr>
            </w:pPr>
          </w:p>
        </w:tc>
        <w:tc>
          <w:tcPr>
            <w:tcW w:w="620" w:type="pct"/>
            <w:tcBorders>
              <w:tl2br w:val="nil"/>
              <w:tr2bl w:val="nil"/>
            </w:tcBorders>
            <w:shd w:val="clear" w:color="auto" w:fill="auto"/>
            <w:vAlign w:val="center"/>
          </w:tcPr>
          <w:p w14:paraId="4103F20B">
            <w:pPr>
              <w:widowControl/>
              <w:adjustRightInd w:val="0"/>
              <w:snapToGrid w:val="0"/>
              <w:jc w:val="center"/>
              <w:rPr>
                <w:rFonts w:ascii="Times New Roman" w:hAnsi="Times New Roman" w:cs="Times New Roman"/>
                <w:szCs w:val="21"/>
              </w:rPr>
            </w:pPr>
            <w:r>
              <w:rPr>
                <w:rFonts w:hint="eastAsia" w:ascii="Times New Roman" w:hAnsi="Times New Roman" w:cs="Times New Roman"/>
                <w:szCs w:val="21"/>
              </w:rPr>
              <w:t>生产废水</w:t>
            </w:r>
          </w:p>
        </w:tc>
        <w:tc>
          <w:tcPr>
            <w:tcW w:w="617" w:type="pct"/>
            <w:tcBorders>
              <w:tl2br w:val="nil"/>
              <w:tr2bl w:val="nil"/>
            </w:tcBorders>
            <w:shd w:val="clear" w:color="auto" w:fill="auto"/>
            <w:vAlign w:val="center"/>
          </w:tcPr>
          <w:p w14:paraId="561AC4FC">
            <w:pPr>
              <w:widowControl/>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462" w:type="pct"/>
            <w:tcBorders>
              <w:tl2br w:val="nil"/>
              <w:tr2bl w:val="nil"/>
            </w:tcBorders>
            <w:shd w:val="clear" w:color="auto" w:fill="auto"/>
            <w:vAlign w:val="center"/>
          </w:tcPr>
          <w:p w14:paraId="74793CE3">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617" w:type="pct"/>
            <w:tcBorders>
              <w:tl2br w:val="nil"/>
              <w:tr2bl w:val="nil"/>
            </w:tcBorders>
            <w:shd w:val="clear" w:color="auto" w:fill="auto"/>
            <w:vAlign w:val="center"/>
          </w:tcPr>
          <w:p w14:paraId="23D08581">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565" w:type="pct"/>
            <w:tcBorders>
              <w:tl2br w:val="nil"/>
              <w:tr2bl w:val="nil"/>
            </w:tcBorders>
            <w:shd w:val="clear" w:color="auto" w:fill="auto"/>
            <w:vAlign w:val="center"/>
          </w:tcPr>
          <w:p w14:paraId="22DA236E">
            <w:pPr>
              <w:widowControl/>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638" w:type="pct"/>
            <w:tcBorders>
              <w:tl2br w:val="nil"/>
              <w:tr2bl w:val="nil"/>
            </w:tcBorders>
            <w:shd w:val="clear" w:color="auto" w:fill="auto"/>
            <w:vAlign w:val="center"/>
          </w:tcPr>
          <w:p w14:paraId="037A873D">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561" w:type="pct"/>
            <w:tcBorders>
              <w:tl2br w:val="nil"/>
              <w:tr2bl w:val="nil"/>
            </w:tcBorders>
            <w:shd w:val="clear" w:color="auto" w:fill="auto"/>
            <w:vAlign w:val="center"/>
          </w:tcPr>
          <w:p w14:paraId="0316DD7A">
            <w:pPr>
              <w:widowControl/>
              <w:adjustRightInd w:val="0"/>
              <w:snapToGrid w:val="0"/>
              <w:jc w:val="center"/>
              <w:rPr>
                <w:rFonts w:ascii="Times New Roman" w:hAnsi="Times New Roman" w:eastAsia="等线" w:cs="Times New Roman"/>
                <w:szCs w:val="21"/>
              </w:rPr>
            </w:pPr>
            <w:r>
              <w:rPr>
                <w:rFonts w:hint="eastAsia" w:ascii="Times New Roman" w:hAnsi="Times New Roman" w:eastAsia="宋体" w:cs="Times New Roman"/>
                <w:szCs w:val="21"/>
              </w:rPr>
              <w:t>/</w:t>
            </w:r>
          </w:p>
        </w:tc>
        <w:tc>
          <w:tcPr>
            <w:tcW w:w="448" w:type="pct"/>
            <w:tcBorders>
              <w:tl2br w:val="nil"/>
              <w:tr2bl w:val="nil"/>
            </w:tcBorders>
            <w:shd w:val="clear" w:color="auto" w:fill="auto"/>
            <w:vAlign w:val="center"/>
          </w:tcPr>
          <w:p w14:paraId="6140CBA7">
            <w:pPr>
              <w:jc w:val="center"/>
              <w:rPr>
                <w:rFonts w:ascii="Times New Roman" w:hAnsi="Times New Roman" w:eastAsia="等线" w:cs="Times New Roman"/>
                <w:szCs w:val="21"/>
              </w:rPr>
            </w:pPr>
            <w:r>
              <w:rPr>
                <w:rFonts w:hint="eastAsia" w:ascii="Times New Roman" w:hAnsi="Times New Roman" w:eastAsia="等线" w:cs="Times New Roman"/>
                <w:szCs w:val="21"/>
              </w:rPr>
              <w:t>/</w:t>
            </w:r>
          </w:p>
        </w:tc>
      </w:tr>
      <w:tr w14:paraId="616678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9" w:type="pct"/>
            <w:vMerge w:val="restart"/>
            <w:tcBorders>
              <w:tl2br w:val="nil"/>
              <w:tr2bl w:val="nil"/>
            </w:tcBorders>
            <w:shd w:val="clear" w:color="auto" w:fill="auto"/>
            <w:vAlign w:val="center"/>
          </w:tcPr>
          <w:p w14:paraId="31E6870C">
            <w:pPr>
              <w:pStyle w:val="38"/>
              <w:widowControl/>
              <w:spacing w:before="31" w:line="240" w:lineRule="auto"/>
              <w:ind w:firstLine="0"/>
              <w:rPr>
                <w:rFonts w:hint="default" w:ascii="Times New Roman"/>
                <w:kern w:val="21"/>
                <w:szCs w:val="21"/>
              </w:rPr>
            </w:pPr>
            <w:r>
              <w:rPr>
                <w:rFonts w:hint="default" w:ascii="Times New Roman"/>
                <w:snapToGrid w:val="0"/>
                <w:kern w:val="21"/>
                <w:szCs w:val="21"/>
              </w:rPr>
              <w:t>一般工业固体废物</w:t>
            </w:r>
          </w:p>
        </w:tc>
        <w:tc>
          <w:tcPr>
            <w:tcW w:w="620" w:type="pct"/>
            <w:tcBorders>
              <w:tl2br w:val="nil"/>
              <w:tr2bl w:val="nil"/>
            </w:tcBorders>
            <w:shd w:val="clear" w:color="auto" w:fill="auto"/>
            <w:vAlign w:val="center"/>
          </w:tcPr>
          <w:p w14:paraId="3448A68A">
            <w:pPr>
              <w:widowControl/>
              <w:adjustRightInd w:val="0"/>
              <w:snapToGrid w:val="0"/>
              <w:jc w:val="center"/>
              <w:rPr>
                <w:rFonts w:ascii="Times New Roman" w:hAnsi="Times New Roman" w:cs="Times New Roman"/>
                <w:szCs w:val="21"/>
              </w:rPr>
            </w:pPr>
            <w:r>
              <w:rPr>
                <w:rFonts w:hint="eastAsia" w:ascii="Times New Roman" w:hAnsi="Times New Roman" w:cs="Times New Roman"/>
                <w:szCs w:val="21"/>
              </w:rPr>
              <w:t>生活垃圾</w:t>
            </w:r>
          </w:p>
        </w:tc>
        <w:tc>
          <w:tcPr>
            <w:tcW w:w="617" w:type="pct"/>
            <w:tcBorders>
              <w:tl2br w:val="nil"/>
              <w:tr2bl w:val="nil"/>
            </w:tcBorders>
            <w:shd w:val="clear" w:color="auto" w:fill="auto"/>
            <w:vAlign w:val="center"/>
          </w:tcPr>
          <w:p w14:paraId="57E23EAA">
            <w:pPr>
              <w:widowControl/>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4.5</w:t>
            </w:r>
            <w:r>
              <w:rPr>
                <w:rFonts w:ascii="Times New Roman" w:hAnsi="Times New Roman" w:cs="Times New Roman"/>
                <w:bCs/>
                <w:szCs w:val="21"/>
              </w:rPr>
              <w:t>t/a</w:t>
            </w:r>
          </w:p>
        </w:tc>
        <w:tc>
          <w:tcPr>
            <w:tcW w:w="462" w:type="pct"/>
            <w:tcBorders>
              <w:tl2br w:val="nil"/>
              <w:tr2bl w:val="nil"/>
            </w:tcBorders>
            <w:shd w:val="clear" w:color="auto" w:fill="auto"/>
            <w:vAlign w:val="center"/>
          </w:tcPr>
          <w:p w14:paraId="43473798">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617" w:type="pct"/>
            <w:tcBorders>
              <w:tl2br w:val="nil"/>
              <w:tr2bl w:val="nil"/>
            </w:tcBorders>
            <w:shd w:val="clear" w:color="auto" w:fill="auto"/>
            <w:vAlign w:val="center"/>
          </w:tcPr>
          <w:p w14:paraId="7C54E775">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565" w:type="pct"/>
            <w:tcBorders>
              <w:tl2br w:val="nil"/>
              <w:tr2bl w:val="nil"/>
            </w:tcBorders>
            <w:shd w:val="clear" w:color="auto" w:fill="auto"/>
            <w:vAlign w:val="center"/>
          </w:tcPr>
          <w:p w14:paraId="76B86AE2">
            <w:pPr>
              <w:widowControl/>
              <w:adjustRightInd w:val="0"/>
              <w:snapToGrid w:val="0"/>
              <w:jc w:val="center"/>
              <w:rPr>
                <w:rFonts w:ascii="Times New Roman" w:hAnsi="Times New Roman" w:eastAsia="宋体" w:cs="Times New Roman"/>
                <w:szCs w:val="21"/>
              </w:rPr>
            </w:pPr>
            <w:r>
              <w:rPr>
                <w:rFonts w:hint="eastAsia" w:ascii="Times New Roman" w:hAnsi="Times New Roman" w:eastAsia="等线" w:cs="Times New Roman"/>
                <w:szCs w:val="21"/>
              </w:rPr>
              <w:t>/</w:t>
            </w:r>
          </w:p>
        </w:tc>
        <w:tc>
          <w:tcPr>
            <w:tcW w:w="638" w:type="pct"/>
            <w:tcBorders>
              <w:tl2br w:val="nil"/>
              <w:tr2bl w:val="nil"/>
            </w:tcBorders>
            <w:shd w:val="clear" w:color="auto" w:fill="auto"/>
            <w:vAlign w:val="center"/>
          </w:tcPr>
          <w:p w14:paraId="48138762">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561" w:type="pct"/>
            <w:tcBorders>
              <w:tl2br w:val="nil"/>
              <w:tr2bl w:val="nil"/>
            </w:tcBorders>
            <w:shd w:val="clear" w:color="auto" w:fill="auto"/>
            <w:vAlign w:val="center"/>
          </w:tcPr>
          <w:p w14:paraId="117294CE">
            <w:pPr>
              <w:widowControl/>
              <w:adjustRightInd w:val="0"/>
              <w:snapToGrid w:val="0"/>
              <w:jc w:val="center"/>
              <w:rPr>
                <w:rFonts w:ascii="Times New Roman" w:hAnsi="Times New Roman" w:eastAsia="等线" w:cs="Times New Roman"/>
                <w:szCs w:val="21"/>
              </w:rPr>
            </w:pPr>
            <w:r>
              <w:rPr>
                <w:rFonts w:hint="eastAsia" w:ascii="Times New Roman" w:hAnsi="Times New Roman" w:eastAsia="宋体" w:cs="Times New Roman"/>
                <w:szCs w:val="21"/>
              </w:rPr>
              <w:t>4.5</w:t>
            </w:r>
            <w:r>
              <w:rPr>
                <w:rFonts w:ascii="Times New Roman" w:hAnsi="Times New Roman" w:cs="Times New Roman"/>
                <w:bCs/>
                <w:szCs w:val="21"/>
              </w:rPr>
              <w:t>t/a</w:t>
            </w:r>
          </w:p>
        </w:tc>
        <w:tc>
          <w:tcPr>
            <w:tcW w:w="448" w:type="pct"/>
            <w:tcBorders>
              <w:tl2br w:val="nil"/>
              <w:tr2bl w:val="nil"/>
            </w:tcBorders>
            <w:shd w:val="clear" w:color="auto" w:fill="auto"/>
            <w:vAlign w:val="center"/>
          </w:tcPr>
          <w:p w14:paraId="2244A7E5">
            <w:pPr>
              <w:jc w:val="center"/>
              <w:rPr>
                <w:rFonts w:ascii="Times New Roman" w:hAnsi="Times New Roman" w:eastAsia="等线" w:cs="Times New Roman"/>
                <w:szCs w:val="21"/>
              </w:rPr>
            </w:pPr>
            <w:r>
              <w:rPr>
                <w:rFonts w:ascii="Times New Roman" w:hAnsi="Times New Roman" w:cs="Times New Roman"/>
                <w:snapToGrid w:val="0"/>
                <w:kern w:val="21"/>
                <w:szCs w:val="21"/>
              </w:rPr>
              <w:t>/</w:t>
            </w:r>
          </w:p>
        </w:tc>
      </w:tr>
      <w:tr w14:paraId="6C335D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9" w:type="pct"/>
            <w:vMerge w:val="continue"/>
            <w:tcBorders>
              <w:tl2br w:val="nil"/>
              <w:tr2bl w:val="nil"/>
            </w:tcBorders>
            <w:shd w:val="clear" w:color="auto" w:fill="auto"/>
            <w:vAlign w:val="center"/>
          </w:tcPr>
          <w:p w14:paraId="1519D8AF">
            <w:pPr>
              <w:pStyle w:val="38"/>
              <w:widowControl/>
              <w:spacing w:before="31" w:line="240" w:lineRule="auto"/>
              <w:rPr>
                <w:rFonts w:hint="default" w:ascii="Times New Roman"/>
                <w:snapToGrid w:val="0"/>
                <w:kern w:val="21"/>
                <w:szCs w:val="21"/>
              </w:rPr>
            </w:pPr>
          </w:p>
        </w:tc>
        <w:tc>
          <w:tcPr>
            <w:tcW w:w="620" w:type="pct"/>
            <w:tcBorders>
              <w:tl2br w:val="nil"/>
              <w:tr2bl w:val="nil"/>
            </w:tcBorders>
            <w:shd w:val="clear" w:color="auto" w:fill="auto"/>
            <w:vAlign w:val="center"/>
          </w:tcPr>
          <w:p w14:paraId="11536F6B">
            <w:pPr>
              <w:widowControl/>
              <w:adjustRightInd w:val="0"/>
              <w:snapToGrid w:val="0"/>
              <w:jc w:val="center"/>
              <w:rPr>
                <w:rFonts w:ascii="Times New Roman" w:hAnsi="Times New Roman" w:cs="Times New Roman"/>
                <w:szCs w:val="21"/>
              </w:rPr>
            </w:pPr>
            <w:r>
              <w:rPr>
                <w:rFonts w:hint="eastAsia" w:ascii="Times New Roman" w:hAnsi="Times New Roman" w:cs="Times New Roman"/>
                <w:szCs w:val="21"/>
              </w:rPr>
              <w:t>废砂</w:t>
            </w:r>
          </w:p>
        </w:tc>
        <w:tc>
          <w:tcPr>
            <w:tcW w:w="617" w:type="pct"/>
            <w:tcBorders>
              <w:tl2br w:val="nil"/>
              <w:tr2bl w:val="nil"/>
            </w:tcBorders>
            <w:shd w:val="clear" w:color="auto" w:fill="auto"/>
            <w:vAlign w:val="center"/>
          </w:tcPr>
          <w:p w14:paraId="2614232F">
            <w:pPr>
              <w:widowControl/>
              <w:adjustRightInd w:val="0"/>
              <w:snapToGrid w:val="0"/>
              <w:jc w:val="center"/>
              <w:rPr>
                <w:rFonts w:ascii="Times New Roman" w:hAnsi="Times New Roman" w:eastAsia="宋体" w:cs="Times New Roman"/>
                <w:szCs w:val="21"/>
              </w:rPr>
            </w:pPr>
            <w:r>
              <w:rPr>
                <w:rFonts w:ascii="Times New Roman" w:hAnsi="Times New Roman" w:cs="Times New Roman"/>
                <w:snapToGrid w:val="0"/>
                <w:kern w:val="21"/>
                <w:szCs w:val="21"/>
              </w:rPr>
              <w:t>/</w:t>
            </w:r>
          </w:p>
        </w:tc>
        <w:tc>
          <w:tcPr>
            <w:tcW w:w="462" w:type="pct"/>
            <w:tcBorders>
              <w:tl2br w:val="nil"/>
              <w:tr2bl w:val="nil"/>
            </w:tcBorders>
            <w:shd w:val="clear" w:color="auto" w:fill="auto"/>
            <w:vAlign w:val="center"/>
          </w:tcPr>
          <w:p w14:paraId="54895DA7">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617" w:type="pct"/>
            <w:tcBorders>
              <w:tl2br w:val="nil"/>
              <w:tr2bl w:val="nil"/>
            </w:tcBorders>
            <w:shd w:val="clear" w:color="auto" w:fill="auto"/>
            <w:vAlign w:val="center"/>
          </w:tcPr>
          <w:p w14:paraId="57D0A818">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565" w:type="pct"/>
            <w:tcBorders>
              <w:tl2br w:val="nil"/>
              <w:tr2bl w:val="nil"/>
            </w:tcBorders>
            <w:shd w:val="clear" w:color="auto" w:fill="auto"/>
            <w:vAlign w:val="center"/>
          </w:tcPr>
          <w:p w14:paraId="2A0DEBAE">
            <w:pPr>
              <w:widowControl/>
              <w:adjustRightInd w:val="0"/>
              <w:snapToGrid w:val="0"/>
              <w:jc w:val="center"/>
              <w:rPr>
                <w:rFonts w:ascii="Times New Roman" w:hAnsi="Times New Roman" w:cs="Times New Roman"/>
                <w:bCs/>
                <w:szCs w:val="21"/>
              </w:rPr>
            </w:pPr>
            <w:r>
              <w:rPr>
                <w:rFonts w:hint="eastAsia" w:ascii="Times New Roman" w:hAnsi="Times New Roman" w:cs="Times New Roman"/>
                <w:bCs/>
                <w:szCs w:val="21"/>
              </w:rPr>
              <w:t>15</w:t>
            </w:r>
            <w:r>
              <w:rPr>
                <w:rFonts w:ascii="Times New Roman" w:hAnsi="Times New Roman" w:cs="Times New Roman"/>
                <w:bCs/>
                <w:szCs w:val="21"/>
              </w:rPr>
              <w:t>t/a</w:t>
            </w:r>
          </w:p>
        </w:tc>
        <w:tc>
          <w:tcPr>
            <w:tcW w:w="638" w:type="pct"/>
            <w:tcBorders>
              <w:tl2br w:val="nil"/>
              <w:tr2bl w:val="nil"/>
            </w:tcBorders>
            <w:shd w:val="clear" w:color="auto" w:fill="auto"/>
            <w:vAlign w:val="center"/>
          </w:tcPr>
          <w:p w14:paraId="6CE06508">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561" w:type="pct"/>
            <w:tcBorders>
              <w:tl2br w:val="nil"/>
              <w:tr2bl w:val="nil"/>
            </w:tcBorders>
            <w:shd w:val="clear" w:color="auto" w:fill="auto"/>
            <w:vAlign w:val="center"/>
          </w:tcPr>
          <w:p w14:paraId="434FAD8D">
            <w:pPr>
              <w:widowControl/>
              <w:adjustRightInd w:val="0"/>
              <w:snapToGrid w:val="0"/>
              <w:jc w:val="center"/>
              <w:rPr>
                <w:rFonts w:ascii="Times New Roman" w:hAnsi="Times New Roman" w:eastAsia="宋体" w:cs="Times New Roman"/>
                <w:szCs w:val="21"/>
              </w:rPr>
            </w:pPr>
            <w:r>
              <w:rPr>
                <w:rFonts w:hint="eastAsia" w:ascii="Times New Roman" w:hAnsi="Times New Roman" w:cs="Times New Roman"/>
                <w:bCs/>
                <w:szCs w:val="21"/>
              </w:rPr>
              <w:t>15</w:t>
            </w:r>
            <w:r>
              <w:rPr>
                <w:rFonts w:ascii="Times New Roman" w:hAnsi="Times New Roman" w:cs="Times New Roman"/>
                <w:bCs/>
                <w:szCs w:val="21"/>
              </w:rPr>
              <w:t>t/a</w:t>
            </w:r>
          </w:p>
        </w:tc>
        <w:tc>
          <w:tcPr>
            <w:tcW w:w="448" w:type="pct"/>
            <w:tcBorders>
              <w:tl2br w:val="nil"/>
              <w:tr2bl w:val="nil"/>
            </w:tcBorders>
            <w:shd w:val="clear" w:color="auto" w:fill="auto"/>
            <w:vAlign w:val="center"/>
          </w:tcPr>
          <w:p w14:paraId="3F5D52C8">
            <w:pPr>
              <w:jc w:val="center"/>
              <w:rPr>
                <w:rFonts w:ascii="Times New Roman" w:hAnsi="Times New Roman" w:eastAsia="等线" w:cs="Times New Roman"/>
                <w:szCs w:val="21"/>
              </w:rPr>
            </w:pPr>
            <w:r>
              <w:rPr>
                <w:rFonts w:hint="eastAsia" w:ascii="Times New Roman" w:hAnsi="Times New Roman" w:eastAsia="等线" w:cs="Times New Roman"/>
                <w:szCs w:val="21"/>
              </w:rPr>
              <w:t>+</w:t>
            </w:r>
            <w:r>
              <w:rPr>
                <w:rFonts w:hint="eastAsia" w:ascii="Times New Roman" w:hAnsi="Times New Roman" w:cs="Times New Roman"/>
                <w:bCs/>
                <w:szCs w:val="21"/>
              </w:rPr>
              <w:t>15</w:t>
            </w:r>
            <w:r>
              <w:rPr>
                <w:rFonts w:ascii="Times New Roman" w:hAnsi="Times New Roman" w:cs="Times New Roman"/>
                <w:bCs/>
                <w:szCs w:val="21"/>
              </w:rPr>
              <w:t>t/a</w:t>
            </w:r>
          </w:p>
        </w:tc>
      </w:tr>
      <w:tr w14:paraId="15E841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9" w:type="pct"/>
            <w:vMerge w:val="continue"/>
            <w:tcBorders>
              <w:tl2br w:val="nil"/>
              <w:tr2bl w:val="nil"/>
            </w:tcBorders>
            <w:shd w:val="clear" w:color="auto" w:fill="auto"/>
            <w:vAlign w:val="center"/>
          </w:tcPr>
          <w:p w14:paraId="0387A1B2">
            <w:pPr>
              <w:pStyle w:val="38"/>
              <w:widowControl/>
              <w:spacing w:before="31" w:line="240" w:lineRule="auto"/>
              <w:rPr>
                <w:rFonts w:hint="default" w:ascii="Times New Roman"/>
                <w:snapToGrid w:val="0"/>
                <w:kern w:val="21"/>
                <w:szCs w:val="21"/>
              </w:rPr>
            </w:pPr>
          </w:p>
        </w:tc>
        <w:tc>
          <w:tcPr>
            <w:tcW w:w="620" w:type="pct"/>
            <w:tcBorders>
              <w:tl2br w:val="nil"/>
              <w:tr2bl w:val="nil"/>
            </w:tcBorders>
            <w:shd w:val="clear" w:color="auto" w:fill="auto"/>
            <w:vAlign w:val="center"/>
          </w:tcPr>
          <w:p w14:paraId="6D33F513">
            <w:pPr>
              <w:widowControl/>
              <w:adjustRightInd w:val="0"/>
              <w:snapToGrid w:val="0"/>
              <w:jc w:val="center"/>
              <w:rPr>
                <w:rFonts w:ascii="Times New Roman" w:hAnsi="Times New Roman" w:cs="Times New Roman"/>
                <w:szCs w:val="21"/>
              </w:rPr>
            </w:pPr>
            <w:r>
              <w:rPr>
                <w:rFonts w:hint="eastAsia" w:ascii="Times New Roman" w:hAnsi="Times New Roman" w:cs="Times New Roman"/>
                <w:szCs w:val="21"/>
              </w:rPr>
              <w:t>除尘灰</w:t>
            </w:r>
          </w:p>
        </w:tc>
        <w:tc>
          <w:tcPr>
            <w:tcW w:w="617" w:type="pct"/>
            <w:tcBorders>
              <w:tl2br w:val="nil"/>
              <w:tr2bl w:val="nil"/>
            </w:tcBorders>
            <w:shd w:val="clear" w:color="auto" w:fill="auto"/>
            <w:vAlign w:val="center"/>
          </w:tcPr>
          <w:p w14:paraId="4C81BD36">
            <w:pPr>
              <w:widowControl/>
              <w:adjustRightInd w:val="0"/>
              <w:snapToGrid w:val="0"/>
              <w:jc w:val="center"/>
              <w:rPr>
                <w:rFonts w:ascii="Times New Roman" w:hAnsi="Times New Roman" w:cs="Times New Roman"/>
                <w:snapToGrid w:val="0"/>
                <w:kern w:val="21"/>
                <w:szCs w:val="21"/>
              </w:rPr>
            </w:pPr>
          </w:p>
        </w:tc>
        <w:tc>
          <w:tcPr>
            <w:tcW w:w="462" w:type="pct"/>
            <w:tcBorders>
              <w:tl2br w:val="nil"/>
              <w:tr2bl w:val="nil"/>
            </w:tcBorders>
            <w:shd w:val="clear" w:color="auto" w:fill="auto"/>
            <w:vAlign w:val="center"/>
          </w:tcPr>
          <w:p w14:paraId="62F2E927">
            <w:pPr>
              <w:widowControl/>
              <w:spacing w:before="31" w:beforeLines="10"/>
              <w:jc w:val="center"/>
              <w:rPr>
                <w:rFonts w:ascii="Times New Roman" w:hAnsi="Times New Roman" w:cs="Times New Roman"/>
                <w:snapToGrid w:val="0"/>
                <w:kern w:val="21"/>
                <w:szCs w:val="21"/>
              </w:rPr>
            </w:pPr>
          </w:p>
        </w:tc>
        <w:tc>
          <w:tcPr>
            <w:tcW w:w="617" w:type="pct"/>
            <w:tcBorders>
              <w:tl2br w:val="nil"/>
              <w:tr2bl w:val="nil"/>
            </w:tcBorders>
            <w:shd w:val="clear" w:color="auto" w:fill="auto"/>
            <w:vAlign w:val="center"/>
          </w:tcPr>
          <w:p w14:paraId="6B5C835E">
            <w:pPr>
              <w:widowControl/>
              <w:spacing w:before="31" w:beforeLines="10"/>
              <w:jc w:val="center"/>
              <w:rPr>
                <w:rFonts w:ascii="Times New Roman" w:hAnsi="Times New Roman" w:cs="Times New Roman"/>
                <w:snapToGrid w:val="0"/>
                <w:kern w:val="21"/>
                <w:szCs w:val="21"/>
              </w:rPr>
            </w:pPr>
          </w:p>
        </w:tc>
        <w:tc>
          <w:tcPr>
            <w:tcW w:w="565" w:type="pct"/>
            <w:tcBorders>
              <w:tl2br w:val="nil"/>
              <w:tr2bl w:val="nil"/>
            </w:tcBorders>
            <w:shd w:val="clear" w:color="auto" w:fill="auto"/>
            <w:vAlign w:val="center"/>
          </w:tcPr>
          <w:p w14:paraId="1EAE973C">
            <w:pPr>
              <w:widowControl/>
              <w:adjustRightInd w:val="0"/>
              <w:snapToGrid w:val="0"/>
              <w:jc w:val="center"/>
              <w:rPr>
                <w:rFonts w:ascii="Times New Roman" w:hAnsi="Times New Roman" w:cs="Times New Roman"/>
                <w:bCs/>
                <w:szCs w:val="21"/>
              </w:rPr>
            </w:pPr>
            <w:r>
              <w:rPr>
                <w:rFonts w:hint="eastAsia" w:ascii="Times New Roman" w:hAnsi="Times New Roman" w:cs="Times New Roman"/>
                <w:szCs w:val="21"/>
              </w:rPr>
              <w:t>2.0805</w:t>
            </w:r>
            <w:r>
              <w:rPr>
                <w:rFonts w:ascii="Times New Roman" w:hAnsi="Times New Roman" w:eastAsia="等线" w:cs="Times New Roman"/>
                <w:szCs w:val="21"/>
              </w:rPr>
              <w:t>t/a</w:t>
            </w:r>
          </w:p>
        </w:tc>
        <w:tc>
          <w:tcPr>
            <w:tcW w:w="638" w:type="pct"/>
            <w:tcBorders>
              <w:tl2br w:val="nil"/>
              <w:tr2bl w:val="nil"/>
            </w:tcBorders>
            <w:shd w:val="clear" w:color="auto" w:fill="auto"/>
            <w:vAlign w:val="center"/>
          </w:tcPr>
          <w:p w14:paraId="41C315A4">
            <w:pPr>
              <w:jc w:val="center"/>
              <w:rPr>
                <w:rFonts w:ascii="Times New Roman" w:hAnsi="Times New Roman" w:cs="Times New Roman"/>
                <w:snapToGrid w:val="0"/>
                <w:kern w:val="21"/>
                <w:szCs w:val="21"/>
              </w:rPr>
            </w:pPr>
          </w:p>
        </w:tc>
        <w:tc>
          <w:tcPr>
            <w:tcW w:w="561" w:type="pct"/>
            <w:tcBorders>
              <w:tl2br w:val="nil"/>
              <w:tr2bl w:val="nil"/>
            </w:tcBorders>
            <w:shd w:val="clear" w:color="auto" w:fill="auto"/>
            <w:vAlign w:val="center"/>
          </w:tcPr>
          <w:p w14:paraId="2699076C">
            <w:pPr>
              <w:widowControl/>
              <w:adjustRightInd w:val="0"/>
              <w:snapToGrid w:val="0"/>
              <w:jc w:val="center"/>
              <w:rPr>
                <w:rFonts w:ascii="Times New Roman" w:hAnsi="Times New Roman" w:cs="Times New Roman"/>
                <w:bCs/>
                <w:szCs w:val="21"/>
              </w:rPr>
            </w:pPr>
          </w:p>
        </w:tc>
        <w:tc>
          <w:tcPr>
            <w:tcW w:w="448" w:type="pct"/>
            <w:tcBorders>
              <w:tl2br w:val="nil"/>
              <w:tr2bl w:val="nil"/>
            </w:tcBorders>
            <w:shd w:val="clear" w:color="auto" w:fill="auto"/>
            <w:vAlign w:val="center"/>
          </w:tcPr>
          <w:p w14:paraId="727FD292">
            <w:pPr>
              <w:jc w:val="center"/>
              <w:rPr>
                <w:rFonts w:ascii="Times New Roman" w:hAnsi="Times New Roman" w:eastAsia="等线" w:cs="Times New Roman"/>
                <w:szCs w:val="21"/>
              </w:rPr>
            </w:pPr>
            <w:r>
              <w:rPr>
                <w:rFonts w:hint="eastAsia" w:ascii="Times New Roman" w:hAnsi="Times New Roman" w:eastAsia="等线" w:cs="Times New Roman"/>
                <w:szCs w:val="21"/>
              </w:rPr>
              <w:t>+</w:t>
            </w:r>
            <w:r>
              <w:rPr>
                <w:rFonts w:hint="eastAsia" w:ascii="Times New Roman" w:hAnsi="Times New Roman" w:cs="Times New Roman"/>
                <w:szCs w:val="21"/>
              </w:rPr>
              <w:t>2.0805</w:t>
            </w:r>
            <w:r>
              <w:rPr>
                <w:rFonts w:ascii="Times New Roman" w:hAnsi="Times New Roman" w:eastAsia="等线" w:cs="Times New Roman"/>
                <w:szCs w:val="21"/>
              </w:rPr>
              <w:t>t/a</w:t>
            </w:r>
          </w:p>
        </w:tc>
      </w:tr>
      <w:tr w14:paraId="5D441F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9" w:type="pct"/>
            <w:vMerge w:val="continue"/>
            <w:tcBorders>
              <w:tl2br w:val="nil"/>
              <w:tr2bl w:val="nil"/>
            </w:tcBorders>
            <w:shd w:val="clear" w:color="auto" w:fill="auto"/>
            <w:vAlign w:val="center"/>
          </w:tcPr>
          <w:p w14:paraId="682B0F30">
            <w:pPr>
              <w:pStyle w:val="38"/>
              <w:widowControl/>
              <w:spacing w:before="31" w:line="240" w:lineRule="auto"/>
              <w:rPr>
                <w:rFonts w:hint="default" w:ascii="Times New Roman"/>
                <w:kern w:val="21"/>
                <w:szCs w:val="21"/>
              </w:rPr>
            </w:pPr>
          </w:p>
        </w:tc>
        <w:tc>
          <w:tcPr>
            <w:tcW w:w="620" w:type="pct"/>
            <w:tcBorders>
              <w:tl2br w:val="nil"/>
              <w:tr2bl w:val="nil"/>
            </w:tcBorders>
            <w:shd w:val="clear" w:color="auto" w:fill="auto"/>
            <w:vAlign w:val="center"/>
          </w:tcPr>
          <w:p w14:paraId="25383517">
            <w:pPr>
              <w:adjustRightInd w:val="0"/>
              <w:snapToGrid w:val="0"/>
              <w:jc w:val="center"/>
              <w:rPr>
                <w:rFonts w:ascii="Times New Roman" w:hAnsi="Times New Roman" w:cs="Times New Roman"/>
                <w:snapToGrid w:val="0"/>
                <w:kern w:val="21"/>
                <w:szCs w:val="21"/>
              </w:rPr>
            </w:pPr>
            <w:r>
              <w:rPr>
                <w:rFonts w:hint="eastAsia" w:ascii="Times New Roman" w:hAnsi="Times New Roman" w:cs="Times New Roman"/>
                <w:snapToGrid w:val="0"/>
                <w:kern w:val="21"/>
                <w:szCs w:val="21"/>
              </w:rPr>
              <w:t>废钢丸</w:t>
            </w:r>
          </w:p>
        </w:tc>
        <w:tc>
          <w:tcPr>
            <w:tcW w:w="617" w:type="pct"/>
            <w:tcBorders>
              <w:tl2br w:val="nil"/>
              <w:tr2bl w:val="nil"/>
            </w:tcBorders>
            <w:shd w:val="clear" w:color="auto" w:fill="auto"/>
            <w:vAlign w:val="center"/>
          </w:tcPr>
          <w:p w14:paraId="452D56C6">
            <w:pPr>
              <w:pStyle w:val="11"/>
              <w:adjustRightInd w:val="0"/>
              <w:snapToGrid w:val="0"/>
              <w:spacing w:line="240" w:lineRule="auto"/>
              <w:ind w:firstLine="0"/>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2</w:t>
            </w:r>
            <w:r>
              <w:rPr>
                <w:rFonts w:ascii="Times New Roman" w:hAnsi="Times New Roman" w:eastAsia="等线" w:cs="Times New Roman"/>
                <w:sz w:val="21"/>
                <w:szCs w:val="21"/>
              </w:rPr>
              <w:t>t/a</w:t>
            </w:r>
          </w:p>
        </w:tc>
        <w:tc>
          <w:tcPr>
            <w:tcW w:w="462" w:type="pct"/>
            <w:tcBorders>
              <w:tl2br w:val="nil"/>
              <w:tr2bl w:val="nil"/>
            </w:tcBorders>
            <w:shd w:val="clear" w:color="auto" w:fill="auto"/>
            <w:vAlign w:val="center"/>
          </w:tcPr>
          <w:p w14:paraId="495C05AC">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617" w:type="pct"/>
            <w:tcBorders>
              <w:tl2br w:val="nil"/>
              <w:tr2bl w:val="nil"/>
            </w:tcBorders>
            <w:shd w:val="clear" w:color="auto" w:fill="auto"/>
            <w:vAlign w:val="center"/>
          </w:tcPr>
          <w:p w14:paraId="79253C43">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565" w:type="pct"/>
            <w:tcBorders>
              <w:tl2br w:val="nil"/>
              <w:tr2bl w:val="nil"/>
            </w:tcBorders>
            <w:shd w:val="clear" w:color="auto" w:fill="auto"/>
            <w:vAlign w:val="center"/>
          </w:tcPr>
          <w:p w14:paraId="3037681B">
            <w:pPr>
              <w:adjustRightInd w:val="0"/>
              <w:snapToGrid w:val="0"/>
              <w:jc w:val="center"/>
              <w:rPr>
                <w:rFonts w:ascii="Times New Roman" w:hAnsi="Times New Roman" w:eastAsia="等线" w:cs="Times New Roman"/>
                <w:szCs w:val="21"/>
              </w:rPr>
            </w:pPr>
            <w:r>
              <w:rPr>
                <w:rFonts w:ascii="Times New Roman" w:hAnsi="Times New Roman" w:cs="Times New Roman"/>
                <w:snapToGrid w:val="0"/>
                <w:kern w:val="21"/>
                <w:szCs w:val="21"/>
              </w:rPr>
              <w:t>/</w:t>
            </w:r>
          </w:p>
        </w:tc>
        <w:tc>
          <w:tcPr>
            <w:tcW w:w="638" w:type="pct"/>
            <w:tcBorders>
              <w:tl2br w:val="nil"/>
              <w:tr2bl w:val="nil"/>
            </w:tcBorders>
            <w:shd w:val="clear" w:color="auto" w:fill="auto"/>
            <w:vAlign w:val="center"/>
          </w:tcPr>
          <w:p w14:paraId="46BE3C07">
            <w:pPr>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561" w:type="pct"/>
            <w:tcBorders>
              <w:tl2br w:val="nil"/>
              <w:tr2bl w:val="nil"/>
            </w:tcBorders>
            <w:shd w:val="clear" w:color="auto" w:fill="auto"/>
            <w:vAlign w:val="center"/>
          </w:tcPr>
          <w:p w14:paraId="4E342DC6">
            <w:pPr>
              <w:pStyle w:val="11"/>
              <w:adjustRightInd w:val="0"/>
              <w:snapToGrid w:val="0"/>
              <w:spacing w:line="240" w:lineRule="auto"/>
              <w:ind w:firstLine="0"/>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2</w:t>
            </w:r>
            <w:r>
              <w:rPr>
                <w:rFonts w:ascii="Times New Roman" w:hAnsi="Times New Roman" w:eastAsia="等线" w:cs="Times New Roman"/>
                <w:sz w:val="21"/>
                <w:szCs w:val="21"/>
              </w:rPr>
              <w:t>t/a</w:t>
            </w:r>
          </w:p>
        </w:tc>
        <w:tc>
          <w:tcPr>
            <w:tcW w:w="448" w:type="pct"/>
            <w:tcBorders>
              <w:tl2br w:val="nil"/>
              <w:tr2bl w:val="nil"/>
            </w:tcBorders>
            <w:shd w:val="clear" w:color="auto" w:fill="auto"/>
            <w:vAlign w:val="center"/>
          </w:tcPr>
          <w:p w14:paraId="33FA1F88">
            <w:pPr>
              <w:adjustRightInd w:val="0"/>
              <w:snapToGrid w:val="0"/>
              <w:jc w:val="center"/>
              <w:rPr>
                <w:rFonts w:ascii="Times New Roman" w:hAnsi="Times New Roman" w:eastAsia="等线" w:cs="Times New Roman"/>
                <w:szCs w:val="21"/>
              </w:rPr>
            </w:pPr>
            <w:r>
              <w:rPr>
                <w:rFonts w:hint="eastAsia" w:ascii="Times New Roman" w:hAnsi="Times New Roman" w:eastAsia="等线" w:cs="Times New Roman"/>
                <w:szCs w:val="21"/>
              </w:rPr>
              <w:t>/</w:t>
            </w:r>
          </w:p>
        </w:tc>
      </w:tr>
      <w:tr w14:paraId="6C8E04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9" w:type="pct"/>
            <w:vMerge w:val="continue"/>
            <w:tcBorders>
              <w:tl2br w:val="nil"/>
              <w:tr2bl w:val="nil"/>
            </w:tcBorders>
            <w:shd w:val="clear" w:color="auto" w:fill="auto"/>
            <w:vAlign w:val="center"/>
          </w:tcPr>
          <w:p w14:paraId="47DE542A">
            <w:pPr>
              <w:pStyle w:val="38"/>
              <w:widowControl/>
              <w:spacing w:before="31" w:line="240" w:lineRule="auto"/>
              <w:rPr>
                <w:rFonts w:hint="default" w:ascii="Times New Roman"/>
                <w:snapToGrid w:val="0"/>
                <w:kern w:val="21"/>
                <w:szCs w:val="21"/>
              </w:rPr>
            </w:pPr>
          </w:p>
        </w:tc>
        <w:tc>
          <w:tcPr>
            <w:tcW w:w="620" w:type="pct"/>
            <w:tcBorders>
              <w:tl2br w:val="nil"/>
              <w:tr2bl w:val="nil"/>
            </w:tcBorders>
            <w:shd w:val="clear" w:color="auto" w:fill="auto"/>
            <w:vAlign w:val="center"/>
          </w:tcPr>
          <w:p w14:paraId="350CD28A">
            <w:pPr>
              <w:pStyle w:val="11"/>
              <w:adjustRightInd w:val="0"/>
              <w:snapToGrid w:val="0"/>
              <w:spacing w:line="240" w:lineRule="auto"/>
              <w:ind w:firstLine="0"/>
              <w:jc w:val="center"/>
              <w:rPr>
                <w:rFonts w:ascii="Times New Roman" w:hAnsi="Times New Roman" w:cs="Times New Roman"/>
                <w:snapToGrid w:val="0"/>
                <w:kern w:val="21"/>
                <w:sz w:val="21"/>
                <w:szCs w:val="21"/>
              </w:rPr>
            </w:pPr>
            <w:r>
              <w:rPr>
                <w:rFonts w:hint="eastAsia" w:ascii="Times New Roman" w:hAnsi="Times New Roman" w:cs="Times New Roman"/>
                <w:snapToGrid w:val="0"/>
                <w:kern w:val="21"/>
                <w:sz w:val="21"/>
                <w:szCs w:val="21"/>
              </w:rPr>
              <w:t>废包装材料</w:t>
            </w:r>
          </w:p>
        </w:tc>
        <w:tc>
          <w:tcPr>
            <w:tcW w:w="617" w:type="pct"/>
            <w:tcBorders>
              <w:tl2br w:val="nil"/>
              <w:tr2bl w:val="nil"/>
            </w:tcBorders>
            <w:shd w:val="clear" w:color="auto" w:fill="auto"/>
            <w:vAlign w:val="center"/>
          </w:tcPr>
          <w:p w14:paraId="7189365D">
            <w:pPr>
              <w:pStyle w:val="11"/>
              <w:adjustRightInd w:val="0"/>
              <w:snapToGrid w:val="0"/>
              <w:spacing w:line="240" w:lineRule="auto"/>
              <w:ind w:firstLine="0"/>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0.1</w:t>
            </w:r>
            <w:r>
              <w:rPr>
                <w:rFonts w:ascii="Times New Roman" w:hAnsi="Times New Roman" w:eastAsia="等线" w:cs="Times New Roman"/>
                <w:sz w:val="21"/>
                <w:szCs w:val="21"/>
              </w:rPr>
              <w:t>t/a</w:t>
            </w:r>
          </w:p>
        </w:tc>
        <w:tc>
          <w:tcPr>
            <w:tcW w:w="462" w:type="pct"/>
            <w:tcBorders>
              <w:tl2br w:val="nil"/>
              <w:tr2bl w:val="nil"/>
            </w:tcBorders>
            <w:shd w:val="clear" w:color="auto" w:fill="auto"/>
            <w:vAlign w:val="center"/>
          </w:tcPr>
          <w:p w14:paraId="2D081DCC">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617" w:type="pct"/>
            <w:tcBorders>
              <w:tl2br w:val="nil"/>
              <w:tr2bl w:val="nil"/>
            </w:tcBorders>
            <w:shd w:val="clear" w:color="auto" w:fill="auto"/>
            <w:vAlign w:val="center"/>
          </w:tcPr>
          <w:p w14:paraId="5A69E1CA">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565" w:type="pct"/>
            <w:tcBorders>
              <w:tl2br w:val="nil"/>
              <w:tr2bl w:val="nil"/>
            </w:tcBorders>
            <w:shd w:val="clear" w:color="auto" w:fill="auto"/>
            <w:vAlign w:val="center"/>
          </w:tcPr>
          <w:p w14:paraId="2AF12203">
            <w:pPr>
              <w:adjustRightInd w:val="0"/>
              <w:snapToGrid w:val="0"/>
              <w:jc w:val="center"/>
              <w:rPr>
                <w:rFonts w:ascii="Times New Roman" w:hAnsi="Times New Roman" w:eastAsia="等线" w:cs="Times New Roman"/>
                <w:szCs w:val="21"/>
              </w:rPr>
            </w:pPr>
            <w:r>
              <w:rPr>
                <w:rFonts w:ascii="Times New Roman" w:hAnsi="Times New Roman" w:cs="Times New Roman"/>
                <w:snapToGrid w:val="0"/>
                <w:kern w:val="21"/>
                <w:szCs w:val="21"/>
              </w:rPr>
              <w:t>/</w:t>
            </w:r>
          </w:p>
        </w:tc>
        <w:tc>
          <w:tcPr>
            <w:tcW w:w="638" w:type="pct"/>
            <w:tcBorders>
              <w:tl2br w:val="nil"/>
              <w:tr2bl w:val="nil"/>
            </w:tcBorders>
            <w:shd w:val="clear" w:color="auto" w:fill="auto"/>
            <w:vAlign w:val="center"/>
          </w:tcPr>
          <w:p w14:paraId="402A2861">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561" w:type="pct"/>
            <w:tcBorders>
              <w:tl2br w:val="nil"/>
              <w:tr2bl w:val="nil"/>
            </w:tcBorders>
            <w:shd w:val="clear" w:color="auto" w:fill="auto"/>
            <w:vAlign w:val="center"/>
          </w:tcPr>
          <w:p w14:paraId="78BBC9DD">
            <w:pPr>
              <w:pStyle w:val="11"/>
              <w:adjustRightInd w:val="0"/>
              <w:snapToGrid w:val="0"/>
              <w:spacing w:line="240" w:lineRule="auto"/>
              <w:ind w:firstLine="0"/>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0.1</w:t>
            </w:r>
            <w:r>
              <w:rPr>
                <w:rFonts w:ascii="Times New Roman" w:hAnsi="Times New Roman" w:eastAsia="等线" w:cs="Times New Roman"/>
                <w:sz w:val="21"/>
                <w:szCs w:val="21"/>
              </w:rPr>
              <w:t>t/a</w:t>
            </w:r>
          </w:p>
        </w:tc>
        <w:tc>
          <w:tcPr>
            <w:tcW w:w="448" w:type="pct"/>
            <w:tcBorders>
              <w:tl2br w:val="nil"/>
              <w:tr2bl w:val="nil"/>
            </w:tcBorders>
            <w:shd w:val="clear" w:color="auto" w:fill="auto"/>
            <w:vAlign w:val="center"/>
          </w:tcPr>
          <w:p w14:paraId="44A5BF45">
            <w:pPr>
              <w:adjustRightInd w:val="0"/>
              <w:snapToGrid w:val="0"/>
              <w:jc w:val="center"/>
              <w:rPr>
                <w:rFonts w:ascii="Times New Roman" w:hAnsi="Times New Roman" w:eastAsia="等线" w:cs="Times New Roman"/>
                <w:szCs w:val="21"/>
              </w:rPr>
            </w:pPr>
            <w:r>
              <w:rPr>
                <w:rFonts w:hint="eastAsia" w:ascii="Times New Roman" w:hAnsi="Times New Roman" w:eastAsia="等线" w:cs="Times New Roman"/>
                <w:szCs w:val="21"/>
              </w:rPr>
              <w:t>/</w:t>
            </w:r>
          </w:p>
        </w:tc>
      </w:tr>
      <w:tr w14:paraId="37AFD2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9" w:type="pct"/>
            <w:vMerge w:val="restart"/>
            <w:tcBorders>
              <w:tl2br w:val="nil"/>
              <w:tr2bl w:val="nil"/>
            </w:tcBorders>
            <w:shd w:val="clear" w:color="auto" w:fill="auto"/>
            <w:vAlign w:val="center"/>
          </w:tcPr>
          <w:p w14:paraId="25945ABD">
            <w:pPr>
              <w:pStyle w:val="38"/>
              <w:widowControl/>
              <w:spacing w:before="31" w:line="240" w:lineRule="auto"/>
              <w:ind w:firstLine="0"/>
              <w:rPr>
                <w:rFonts w:hint="default" w:ascii="Times New Roman"/>
                <w:kern w:val="21"/>
                <w:szCs w:val="21"/>
              </w:rPr>
            </w:pPr>
            <w:r>
              <w:rPr>
                <w:rFonts w:hint="default" w:ascii="Times New Roman"/>
                <w:snapToGrid w:val="0"/>
                <w:kern w:val="21"/>
                <w:szCs w:val="21"/>
              </w:rPr>
              <w:t>危险废物</w:t>
            </w:r>
          </w:p>
        </w:tc>
        <w:tc>
          <w:tcPr>
            <w:tcW w:w="620" w:type="pct"/>
            <w:tcBorders>
              <w:tl2br w:val="nil"/>
              <w:tr2bl w:val="nil"/>
            </w:tcBorders>
            <w:shd w:val="clear" w:color="auto" w:fill="auto"/>
            <w:vAlign w:val="center"/>
          </w:tcPr>
          <w:p w14:paraId="6FAFB5B7">
            <w:pPr>
              <w:pStyle w:val="11"/>
              <w:adjustRightInd w:val="0"/>
              <w:snapToGrid w:val="0"/>
              <w:spacing w:line="240" w:lineRule="auto"/>
              <w:ind w:firstLine="0"/>
              <w:jc w:val="center"/>
              <w:rPr>
                <w:rFonts w:ascii="Times New Roman" w:hAnsi="Times New Roman" w:cs="Times New Roman"/>
                <w:snapToGrid w:val="0"/>
                <w:kern w:val="21"/>
                <w:szCs w:val="21"/>
              </w:rPr>
            </w:pPr>
            <w:r>
              <w:rPr>
                <w:rFonts w:ascii="Times New Roman" w:hAnsi="Times New Roman" w:cs="Times New Roman"/>
                <w:sz w:val="21"/>
                <w:szCs w:val="21"/>
              </w:rPr>
              <w:t>废活性炭</w:t>
            </w:r>
          </w:p>
        </w:tc>
        <w:tc>
          <w:tcPr>
            <w:tcW w:w="617" w:type="pct"/>
            <w:tcBorders>
              <w:tl2br w:val="nil"/>
              <w:tr2bl w:val="nil"/>
            </w:tcBorders>
            <w:shd w:val="clear" w:color="auto" w:fill="auto"/>
            <w:vAlign w:val="center"/>
          </w:tcPr>
          <w:p w14:paraId="5C6F16DB">
            <w:pPr>
              <w:pStyle w:val="11"/>
              <w:adjustRightInd w:val="0"/>
              <w:snapToGrid w:val="0"/>
              <w:spacing w:line="240" w:lineRule="auto"/>
              <w:ind w:firstLine="0"/>
              <w:jc w:val="center"/>
              <w:rPr>
                <w:rFonts w:ascii="Times New Roman" w:hAnsi="Times New Roman" w:eastAsia="等线" w:cs="Times New Roman"/>
                <w:sz w:val="21"/>
                <w:szCs w:val="21"/>
              </w:rPr>
            </w:pPr>
            <w:r>
              <w:rPr>
                <w:rFonts w:ascii="Times New Roman" w:hAnsi="Times New Roman" w:cs="Times New Roman"/>
                <w:sz w:val="21"/>
                <w:szCs w:val="21"/>
              </w:rPr>
              <w:t>0.</w:t>
            </w:r>
            <w:r>
              <w:rPr>
                <w:rFonts w:hint="eastAsia" w:ascii="Times New Roman" w:hAnsi="Times New Roman" w:cs="Times New Roman"/>
                <w:sz w:val="21"/>
                <w:szCs w:val="21"/>
              </w:rPr>
              <w:t>816</w:t>
            </w:r>
            <w:r>
              <w:rPr>
                <w:rFonts w:ascii="Times New Roman" w:hAnsi="Times New Roman" w:eastAsia="等线" w:cs="Times New Roman"/>
                <w:sz w:val="21"/>
                <w:szCs w:val="21"/>
              </w:rPr>
              <w:t>t/a</w:t>
            </w:r>
          </w:p>
        </w:tc>
        <w:tc>
          <w:tcPr>
            <w:tcW w:w="462" w:type="pct"/>
            <w:tcBorders>
              <w:tl2br w:val="nil"/>
              <w:tr2bl w:val="nil"/>
            </w:tcBorders>
            <w:shd w:val="clear" w:color="auto" w:fill="auto"/>
            <w:vAlign w:val="center"/>
          </w:tcPr>
          <w:p w14:paraId="6925822D">
            <w:pPr>
              <w:widowControl/>
              <w:spacing w:before="31" w:beforeLines="10"/>
              <w:jc w:val="center"/>
              <w:rPr>
                <w:rFonts w:ascii="Times New Roman" w:hAnsi="Times New Roman" w:eastAsia="等线" w:cs="Times New Roman"/>
                <w:szCs w:val="21"/>
              </w:rPr>
            </w:pPr>
            <w:r>
              <w:rPr>
                <w:rFonts w:ascii="Times New Roman" w:hAnsi="Times New Roman" w:cs="Times New Roman"/>
                <w:snapToGrid w:val="0"/>
                <w:kern w:val="21"/>
                <w:szCs w:val="21"/>
              </w:rPr>
              <w:t>/</w:t>
            </w:r>
          </w:p>
        </w:tc>
        <w:tc>
          <w:tcPr>
            <w:tcW w:w="617" w:type="pct"/>
            <w:tcBorders>
              <w:tl2br w:val="nil"/>
              <w:tr2bl w:val="nil"/>
            </w:tcBorders>
            <w:shd w:val="clear" w:color="auto" w:fill="auto"/>
            <w:vAlign w:val="center"/>
          </w:tcPr>
          <w:p w14:paraId="5460CFC3">
            <w:pPr>
              <w:widowControl/>
              <w:spacing w:before="31" w:beforeLines="10"/>
              <w:jc w:val="center"/>
              <w:rPr>
                <w:rFonts w:ascii="Times New Roman" w:hAnsi="Times New Roman" w:eastAsia="等线" w:cs="Times New Roman"/>
                <w:szCs w:val="21"/>
              </w:rPr>
            </w:pPr>
            <w:r>
              <w:rPr>
                <w:rFonts w:ascii="Times New Roman" w:hAnsi="Times New Roman" w:cs="Times New Roman"/>
                <w:snapToGrid w:val="0"/>
                <w:kern w:val="21"/>
                <w:szCs w:val="21"/>
              </w:rPr>
              <w:t>/</w:t>
            </w:r>
          </w:p>
        </w:tc>
        <w:tc>
          <w:tcPr>
            <w:tcW w:w="565" w:type="pct"/>
            <w:tcBorders>
              <w:tl2br w:val="nil"/>
              <w:tr2bl w:val="nil"/>
            </w:tcBorders>
            <w:shd w:val="clear" w:color="auto" w:fill="auto"/>
            <w:vAlign w:val="center"/>
          </w:tcPr>
          <w:p w14:paraId="0D1E607E">
            <w:pPr>
              <w:pStyle w:val="11"/>
              <w:adjustRightInd w:val="0"/>
              <w:snapToGrid w:val="0"/>
              <w:spacing w:line="240" w:lineRule="auto"/>
              <w:ind w:firstLine="0"/>
              <w:jc w:val="center"/>
              <w:rPr>
                <w:rFonts w:ascii="Times New Roman" w:hAnsi="Times New Roman" w:eastAsia="等线" w:cs="Times New Roman"/>
                <w:sz w:val="21"/>
                <w:szCs w:val="21"/>
              </w:rPr>
            </w:pPr>
            <w:r>
              <w:rPr>
                <w:rFonts w:hint="eastAsia" w:ascii="Times New Roman" w:hAnsi="Times New Roman" w:cs="Times New Roman"/>
                <w:sz w:val="21"/>
                <w:szCs w:val="21"/>
              </w:rPr>
              <w:t>3.316</w:t>
            </w:r>
            <w:r>
              <w:rPr>
                <w:rFonts w:ascii="Times New Roman" w:hAnsi="Times New Roman" w:eastAsia="等线" w:cs="Times New Roman"/>
                <w:sz w:val="21"/>
                <w:szCs w:val="21"/>
              </w:rPr>
              <w:t>t/a</w:t>
            </w:r>
          </w:p>
        </w:tc>
        <w:tc>
          <w:tcPr>
            <w:tcW w:w="638" w:type="pct"/>
            <w:tcBorders>
              <w:tl2br w:val="nil"/>
              <w:tr2bl w:val="nil"/>
            </w:tcBorders>
            <w:shd w:val="clear" w:color="auto" w:fill="auto"/>
            <w:vAlign w:val="center"/>
          </w:tcPr>
          <w:p w14:paraId="3BCF5969">
            <w:pPr>
              <w:widowControl/>
              <w:spacing w:before="31" w:beforeLines="10"/>
              <w:jc w:val="center"/>
              <w:rPr>
                <w:rFonts w:ascii="Times New Roman" w:hAnsi="Times New Roman" w:eastAsia="等线" w:cs="Times New Roman"/>
                <w:szCs w:val="21"/>
              </w:rPr>
            </w:pPr>
            <w:r>
              <w:rPr>
                <w:rFonts w:ascii="Times New Roman" w:hAnsi="Times New Roman" w:cs="Times New Roman"/>
                <w:snapToGrid w:val="0"/>
                <w:kern w:val="21"/>
                <w:szCs w:val="21"/>
              </w:rPr>
              <w:t>/</w:t>
            </w:r>
          </w:p>
        </w:tc>
        <w:tc>
          <w:tcPr>
            <w:tcW w:w="561" w:type="pct"/>
            <w:tcBorders>
              <w:tl2br w:val="nil"/>
              <w:tr2bl w:val="nil"/>
            </w:tcBorders>
            <w:shd w:val="clear" w:color="auto" w:fill="auto"/>
            <w:vAlign w:val="center"/>
          </w:tcPr>
          <w:p w14:paraId="7E889A18">
            <w:pPr>
              <w:pStyle w:val="11"/>
              <w:adjustRightInd w:val="0"/>
              <w:snapToGrid w:val="0"/>
              <w:spacing w:line="240" w:lineRule="auto"/>
              <w:ind w:firstLine="0"/>
              <w:jc w:val="center"/>
              <w:rPr>
                <w:rFonts w:ascii="Times New Roman" w:hAnsi="Times New Roman" w:eastAsia="等线" w:cs="Times New Roman"/>
                <w:sz w:val="21"/>
                <w:szCs w:val="21"/>
              </w:rPr>
            </w:pPr>
            <w:r>
              <w:rPr>
                <w:rFonts w:hint="eastAsia" w:ascii="Times New Roman" w:hAnsi="Times New Roman" w:cs="Times New Roman"/>
                <w:sz w:val="21"/>
                <w:szCs w:val="21"/>
              </w:rPr>
              <w:t>4.132</w:t>
            </w:r>
            <w:r>
              <w:rPr>
                <w:rFonts w:ascii="Times New Roman" w:hAnsi="Times New Roman" w:eastAsia="等线" w:cs="Times New Roman"/>
                <w:sz w:val="21"/>
                <w:szCs w:val="21"/>
              </w:rPr>
              <w:t>t/a</w:t>
            </w:r>
          </w:p>
        </w:tc>
        <w:tc>
          <w:tcPr>
            <w:tcW w:w="448" w:type="pct"/>
            <w:tcBorders>
              <w:tl2br w:val="nil"/>
              <w:tr2bl w:val="nil"/>
            </w:tcBorders>
            <w:shd w:val="clear" w:color="auto" w:fill="auto"/>
            <w:vAlign w:val="center"/>
          </w:tcPr>
          <w:p w14:paraId="1B523C98">
            <w:pPr>
              <w:pStyle w:val="11"/>
              <w:adjustRightInd w:val="0"/>
              <w:snapToGrid w:val="0"/>
              <w:spacing w:line="240" w:lineRule="auto"/>
              <w:ind w:firstLine="0"/>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w:t>
            </w:r>
            <w:r>
              <w:rPr>
                <w:rFonts w:hint="eastAsia" w:ascii="Times New Roman" w:hAnsi="Times New Roman" w:cs="Times New Roman"/>
                <w:sz w:val="21"/>
                <w:szCs w:val="21"/>
              </w:rPr>
              <w:t>3.316</w:t>
            </w:r>
            <w:r>
              <w:rPr>
                <w:rFonts w:ascii="Times New Roman" w:hAnsi="Times New Roman" w:eastAsia="等线" w:cs="Times New Roman"/>
                <w:sz w:val="21"/>
                <w:szCs w:val="21"/>
              </w:rPr>
              <w:t>t/a</w:t>
            </w:r>
          </w:p>
        </w:tc>
      </w:tr>
      <w:tr w14:paraId="0E698B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9" w:type="pct"/>
            <w:vMerge w:val="continue"/>
            <w:tcBorders>
              <w:tl2br w:val="nil"/>
              <w:tr2bl w:val="nil"/>
            </w:tcBorders>
            <w:shd w:val="clear" w:color="auto" w:fill="auto"/>
            <w:vAlign w:val="center"/>
          </w:tcPr>
          <w:p w14:paraId="0D65010B">
            <w:pPr>
              <w:pStyle w:val="38"/>
              <w:widowControl/>
              <w:spacing w:before="31" w:line="240" w:lineRule="auto"/>
              <w:rPr>
                <w:rFonts w:hint="default" w:ascii="Times New Roman"/>
                <w:snapToGrid w:val="0"/>
                <w:kern w:val="21"/>
                <w:szCs w:val="21"/>
              </w:rPr>
            </w:pPr>
          </w:p>
        </w:tc>
        <w:tc>
          <w:tcPr>
            <w:tcW w:w="620" w:type="pct"/>
            <w:tcBorders>
              <w:tl2br w:val="nil"/>
              <w:tr2bl w:val="nil"/>
            </w:tcBorders>
            <w:shd w:val="clear" w:color="auto" w:fill="auto"/>
            <w:vAlign w:val="center"/>
          </w:tcPr>
          <w:p w14:paraId="52F75414">
            <w:pPr>
              <w:pStyle w:val="11"/>
              <w:adjustRightInd w:val="0"/>
              <w:snapToGrid w:val="0"/>
              <w:spacing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含锌除尘灰</w:t>
            </w:r>
          </w:p>
        </w:tc>
        <w:tc>
          <w:tcPr>
            <w:tcW w:w="617" w:type="pct"/>
            <w:tcBorders>
              <w:tl2br w:val="nil"/>
              <w:tr2bl w:val="nil"/>
            </w:tcBorders>
            <w:shd w:val="clear" w:color="auto" w:fill="auto"/>
            <w:vAlign w:val="center"/>
          </w:tcPr>
          <w:p w14:paraId="348BAA27">
            <w:pPr>
              <w:pStyle w:val="11"/>
              <w:adjustRightInd w:val="0"/>
              <w:snapToGrid w:val="0"/>
              <w:spacing w:line="240" w:lineRule="auto"/>
              <w:ind w:firstLine="0"/>
              <w:jc w:val="center"/>
              <w:rPr>
                <w:rFonts w:ascii="Times New Roman" w:hAnsi="Times New Roman" w:cs="Times New Roman"/>
                <w:sz w:val="21"/>
                <w:szCs w:val="21"/>
              </w:rPr>
            </w:pPr>
            <w:r>
              <w:rPr>
                <w:rFonts w:hint="eastAsia" w:ascii="Times New Roman" w:hAnsi="Times New Roman" w:eastAsia="等线" w:cs="Times New Roman"/>
                <w:sz w:val="21"/>
                <w:szCs w:val="21"/>
              </w:rPr>
              <w:t>3.2236</w:t>
            </w:r>
            <w:r>
              <w:rPr>
                <w:rFonts w:ascii="Times New Roman" w:hAnsi="Times New Roman" w:eastAsia="等线" w:cs="Times New Roman"/>
                <w:sz w:val="21"/>
                <w:szCs w:val="21"/>
              </w:rPr>
              <w:t>t/a</w:t>
            </w:r>
          </w:p>
        </w:tc>
        <w:tc>
          <w:tcPr>
            <w:tcW w:w="462" w:type="pct"/>
            <w:tcBorders>
              <w:tl2br w:val="nil"/>
              <w:tr2bl w:val="nil"/>
            </w:tcBorders>
            <w:shd w:val="clear" w:color="auto" w:fill="auto"/>
            <w:vAlign w:val="center"/>
          </w:tcPr>
          <w:p w14:paraId="55B397A7">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617" w:type="pct"/>
            <w:tcBorders>
              <w:tl2br w:val="nil"/>
              <w:tr2bl w:val="nil"/>
            </w:tcBorders>
            <w:shd w:val="clear" w:color="auto" w:fill="auto"/>
            <w:vAlign w:val="center"/>
          </w:tcPr>
          <w:p w14:paraId="2C3A75AD">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565" w:type="pct"/>
            <w:tcBorders>
              <w:tl2br w:val="nil"/>
              <w:tr2bl w:val="nil"/>
            </w:tcBorders>
            <w:shd w:val="clear" w:color="auto" w:fill="auto"/>
            <w:vAlign w:val="center"/>
          </w:tcPr>
          <w:p w14:paraId="421444E2">
            <w:pPr>
              <w:pStyle w:val="11"/>
              <w:adjustRightInd w:val="0"/>
              <w:snapToGrid w:val="0"/>
              <w:spacing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638" w:type="pct"/>
            <w:tcBorders>
              <w:tl2br w:val="nil"/>
              <w:tr2bl w:val="nil"/>
            </w:tcBorders>
            <w:shd w:val="clear" w:color="auto" w:fill="auto"/>
            <w:vAlign w:val="center"/>
          </w:tcPr>
          <w:p w14:paraId="5F4E4F36">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561" w:type="pct"/>
            <w:tcBorders>
              <w:tl2br w:val="nil"/>
              <w:tr2bl w:val="nil"/>
            </w:tcBorders>
            <w:shd w:val="clear" w:color="auto" w:fill="auto"/>
            <w:vAlign w:val="center"/>
          </w:tcPr>
          <w:p w14:paraId="6D39BC3F">
            <w:pPr>
              <w:pStyle w:val="11"/>
              <w:adjustRightInd w:val="0"/>
              <w:snapToGrid w:val="0"/>
              <w:spacing w:line="240" w:lineRule="auto"/>
              <w:ind w:firstLine="0"/>
              <w:jc w:val="center"/>
              <w:rPr>
                <w:rFonts w:ascii="Times New Roman" w:hAnsi="Times New Roman" w:cs="Times New Roman"/>
                <w:sz w:val="21"/>
                <w:szCs w:val="21"/>
              </w:rPr>
            </w:pPr>
            <w:r>
              <w:rPr>
                <w:rFonts w:hint="eastAsia" w:ascii="Times New Roman" w:hAnsi="Times New Roman" w:eastAsia="等线" w:cs="Times New Roman"/>
                <w:sz w:val="21"/>
                <w:szCs w:val="21"/>
              </w:rPr>
              <w:t>3.2236</w:t>
            </w:r>
            <w:r>
              <w:rPr>
                <w:rFonts w:ascii="Times New Roman" w:hAnsi="Times New Roman" w:eastAsia="等线" w:cs="Times New Roman"/>
                <w:sz w:val="21"/>
                <w:szCs w:val="21"/>
              </w:rPr>
              <w:t>t/a</w:t>
            </w:r>
          </w:p>
        </w:tc>
        <w:tc>
          <w:tcPr>
            <w:tcW w:w="448" w:type="pct"/>
            <w:tcBorders>
              <w:tl2br w:val="nil"/>
              <w:tr2bl w:val="nil"/>
            </w:tcBorders>
            <w:shd w:val="clear" w:color="auto" w:fill="auto"/>
            <w:vAlign w:val="center"/>
          </w:tcPr>
          <w:p w14:paraId="015157A3">
            <w:pPr>
              <w:pStyle w:val="11"/>
              <w:adjustRightInd w:val="0"/>
              <w:snapToGrid w:val="0"/>
              <w:spacing w:line="240" w:lineRule="auto"/>
              <w:ind w:firstLine="0"/>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w:t>
            </w:r>
          </w:p>
        </w:tc>
      </w:tr>
      <w:tr w14:paraId="025FF3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9" w:type="pct"/>
            <w:vMerge w:val="continue"/>
            <w:tcBorders>
              <w:tl2br w:val="nil"/>
              <w:tr2bl w:val="nil"/>
            </w:tcBorders>
            <w:shd w:val="clear" w:color="auto" w:fill="auto"/>
            <w:vAlign w:val="center"/>
          </w:tcPr>
          <w:p w14:paraId="0A687BBF">
            <w:pPr>
              <w:pStyle w:val="38"/>
              <w:widowControl/>
              <w:spacing w:before="31" w:line="240" w:lineRule="auto"/>
              <w:rPr>
                <w:rFonts w:hint="default" w:ascii="Times New Roman"/>
                <w:snapToGrid w:val="0"/>
                <w:kern w:val="21"/>
                <w:szCs w:val="21"/>
              </w:rPr>
            </w:pPr>
          </w:p>
        </w:tc>
        <w:tc>
          <w:tcPr>
            <w:tcW w:w="620" w:type="pct"/>
            <w:tcBorders>
              <w:tl2br w:val="nil"/>
              <w:tr2bl w:val="nil"/>
            </w:tcBorders>
            <w:shd w:val="clear" w:color="auto" w:fill="auto"/>
            <w:vAlign w:val="center"/>
          </w:tcPr>
          <w:p w14:paraId="452BA0E5">
            <w:pPr>
              <w:widowControl/>
              <w:adjustRightInd w:val="0"/>
              <w:snapToGrid w:val="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废水性漆桶</w:t>
            </w:r>
          </w:p>
        </w:tc>
        <w:tc>
          <w:tcPr>
            <w:tcW w:w="617" w:type="pct"/>
            <w:tcBorders>
              <w:tl2br w:val="nil"/>
              <w:tr2bl w:val="nil"/>
            </w:tcBorders>
            <w:shd w:val="clear" w:color="auto" w:fill="auto"/>
            <w:vAlign w:val="center"/>
          </w:tcPr>
          <w:p w14:paraId="333E2B23">
            <w:pPr>
              <w:widowControl/>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0.3</w:t>
            </w:r>
            <w:r>
              <w:rPr>
                <w:rFonts w:ascii="Times New Roman" w:hAnsi="Times New Roman" w:cs="Times New Roman"/>
                <w:bCs/>
                <w:szCs w:val="21"/>
              </w:rPr>
              <w:t>t/a</w:t>
            </w:r>
          </w:p>
        </w:tc>
        <w:tc>
          <w:tcPr>
            <w:tcW w:w="462" w:type="pct"/>
            <w:tcBorders>
              <w:tl2br w:val="nil"/>
              <w:tr2bl w:val="nil"/>
            </w:tcBorders>
            <w:shd w:val="clear" w:color="auto" w:fill="auto"/>
            <w:vAlign w:val="center"/>
          </w:tcPr>
          <w:p w14:paraId="4B79E3E7">
            <w:pPr>
              <w:widowControl/>
              <w:spacing w:before="31" w:beforeLines="10"/>
              <w:jc w:val="center"/>
              <w:rPr>
                <w:rFonts w:ascii="Times New Roman" w:hAnsi="Times New Roman" w:cs="Times New Roman" w:eastAsiaTheme="minorEastAsia"/>
                <w:snapToGrid w:val="0"/>
                <w:kern w:val="21"/>
                <w:sz w:val="21"/>
                <w:szCs w:val="21"/>
                <w:lang w:val="en-US" w:eastAsia="zh-CN" w:bidi="ar-SA"/>
              </w:rPr>
            </w:pPr>
            <w:r>
              <w:rPr>
                <w:rFonts w:ascii="Times New Roman" w:hAnsi="Times New Roman" w:cs="Times New Roman"/>
                <w:snapToGrid w:val="0"/>
                <w:kern w:val="21"/>
                <w:szCs w:val="21"/>
              </w:rPr>
              <w:t>/</w:t>
            </w:r>
          </w:p>
        </w:tc>
        <w:tc>
          <w:tcPr>
            <w:tcW w:w="617" w:type="pct"/>
            <w:tcBorders>
              <w:tl2br w:val="nil"/>
              <w:tr2bl w:val="nil"/>
            </w:tcBorders>
            <w:shd w:val="clear" w:color="auto" w:fill="auto"/>
            <w:vAlign w:val="center"/>
          </w:tcPr>
          <w:p w14:paraId="332B113E">
            <w:pPr>
              <w:widowControl/>
              <w:spacing w:before="31" w:beforeLines="10"/>
              <w:jc w:val="center"/>
              <w:rPr>
                <w:rFonts w:ascii="Times New Roman" w:hAnsi="Times New Roman" w:cs="Times New Roman" w:eastAsiaTheme="minorEastAsia"/>
                <w:snapToGrid w:val="0"/>
                <w:kern w:val="21"/>
                <w:sz w:val="21"/>
                <w:szCs w:val="21"/>
                <w:lang w:val="en-US" w:eastAsia="zh-CN" w:bidi="ar-SA"/>
              </w:rPr>
            </w:pPr>
            <w:r>
              <w:rPr>
                <w:rFonts w:ascii="Times New Roman" w:hAnsi="Times New Roman" w:cs="Times New Roman"/>
                <w:snapToGrid w:val="0"/>
                <w:kern w:val="21"/>
                <w:szCs w:val="21"/>
              </w:rPr>
              <w:t>/</w:t>
            </w:r>
          </w:p>
        </w:tc>
        <w:tc>
          <w:tcPr>
            <w:tcW w:w="565" w:type="pct"/>
            <w:tcBorders>
              <w:tl2br w:val="nil"/>
              <w:tr2bl w:val="nil"/>
            </w:tcBorders>
            <w:shd w:val="clear" w:color="auto" w:fill="auto"/>
            <w:vAlign w:val="center"/>
          </w:tcPr>
          <w:p w14:paraId="00821AAC">
            <w:pPr>
              <w:widowControl/>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bCs/>
                <w:szCs w:val="21"/>
              </w:rPr>
              <w:t>0.86</w:t>
            </w:r>
            <w:r>
              <w:rPr>
                <w:rFonts w:ascii="Times New Roman" w:hAnsi="Times New Roman" w:cs="Times New Roman"/>
                <w:bCs/>
                <w:szCs w:val="21"/>
              </w:rPr>
              <w:t>t/a</w:t>
            </w:r>
          </w:p>
        </w:tc>
        <w:tc>
          <w:tcPr>
            <w:tcW w:w="638" w:type="pct"/>
            <w:tcBorders>
              <w:tl2br w:val="nil"/>
              <w:tr2bl w:val="nil"/>
            </w:tcBorders>
            <w:shd w:val="clear" w:color="auto" w:fill="auto"/>
            <w:vAlign w:val="center"/>
          </w:tcPr>
          <w:p w14:paraId="676A5DC9">
            <w:pPr>
              <w:jc w:val="center"/>
              <w:rPr>
                <w:rFonts w:ascii="Times New Roman" w:hAnsi="Times New Roman" w:cs="Times New Roman" w:eastAsiaTheme="minorEastAsia"/>
                <w:snapToGrid w:val="0"/>
                <w:kern w:val="21"/>
                <w:sz w:val="21"/>
                <w:szCs w:val="21"/>
                <w:lang w:val="en-US" w:eastAsia="zh-CN" w:bidi="ar-SA"/>
              </w:rPr>
            </w:pPr>
            <w:r>
              <w:rPr>
                <w:rFonts w:ascii="Times New Roman" w:hAnsi="Times New Roman" w:cs="Times New Roman"/>
                <w:snapToGrid w:val="0"/>
                <w:kern w:val="21"/>
                <w:szCs w:val="21"/>
              </w:rPr>
              <w:t>/</w:t>
            </w:r>
          </w:p>
        </w:tc>
        <w:tc>
          <w:tcPr>
            <w:tcW w:w="561" w:type="pct"/>
            <w:tcBorders>
              <w:tl2br w:val="nil"/>
              <w:tr2bl w:val="nil"/>
            </w:tcBorders>
            <w:shd w:val="clear" w:color="auto" w:fill="auto"/>
            <w:vAlign w:val="center"/>
          </w:tcPr>
          <w:p w14:paraId="6E7FA65A">
            <w:pPr>
              <w:widowControl/>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1.16</w:t>
            </w:r>
            <w:r>
              <w:rPr>
                <w:rFonts w:ascii="Times New Roman" w:hAnsi="Times New Roman" w:cs="Times New Roman"/>
                <w:bCs/>
                <w:szCs w:val="21"/>
              </w:rPr>
              <w:t>t/a</w:t>
            </w:r>
          </w:p>
        </w:tc>
        <w:tc>
          <w:tcPr>
            <w:tcW w:w="448" w:type="pct"/>
            <w:tcBorders>
              <w:tl2br w:val="nil"/>
              <w:tr2bl w:val="nil"/>
            </w:tcBorders>
            <w:shd w:val="clear" w:color="auto" w:fill="auto"/>
            <w:vAlign w:val="center"/>
          </w:tcPr>
          <w:p w14:paraId="6CF10672">
            <w:pPr>
              <w:jc w:val="center"/>
              <w:rPr>
                <w:rFonts w:hint="eastAsia" w:ascii="Times New Roman" w:hAnsi="Times New Roman" w:eastAsia="等线" w:cs="Times New Roman"/>
                <w:kern w:val="2"/>
                <w:sz w:val="21"/>
                <w:szCs w:val="21"/>
                <w:lang w:val="en-US" w:eastAsia="zh-CN" w:bidi="ar-SA"/>
              </w:rPr>
            </w:pPr>
            <w:r>
              <w:rPr>
                <w:rFonts w:hint="eastAsia" w:ascii="Times New Roman" w:hAnsi="Times New Roman" w:eastAsia="等线" w:cs="Times New Roman"/>
                <w:szCs w:val="21"/>
              </w:rPr>
              <w:t>+</w:t>
            </w:r>
            <w:r>
              <w:rPr>
                <w:rFonts w:hint="eastAsia" w:ascii="Times New Roman" w:hAnsi="Times New Roman" w:cs="Times New Roman"/>
                <w:bCs/>
                <w:szCs w:val="21"/>
              </w:rPr>
              <w:t>0.86</w:t>
            </w:r>
            <w:r>
              <w:rPr>
                <w:rFonts w:ascii="Times New Roman" w:hAnsi="Times New Roman" w:cs="Times New Roman"/>
                <w:bCs/>
                <w:szCs w:val="21"/>
              </w:rPr>
              <w:t>t/a</w:t>
            </w:r>
          </w:p>
        </w:tc>
      </w:tr>
      <w:tr w14:paraId="55604A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9" w:type="pct"/>
            <w:vMerge w:val="continue"/>
            <w:tcBorders>
              <w:tl2br w:val="nil"/>
              <w:tr2bl w:val="nil"/>
            </w:tcBorders>
            <w:shd w:val="clear" w:color="auto" w:fill="auto"/>
            <w:vAlign w:val="center"/>
          </w:tcPr>
          <w:p w14:paraId="4CDDA40B">
            <w:pPr>
              <w:pStyle w:val="38"/>
              <w:widowControl/>
              <w:spacing w:before="31" w:line="240" w:lineRule="auto"/>
              <w:rPr>
                <w:rFonts w:hint="default" w:ascii="Times New Roman"/>
                <w:snapToGrid w:val="0"/>
                <w:kern w:val="21"/>
                <w:szCs w:val="21"/>
              </w:rPr>
            </w:pPr>
          </w:p>
        </w:tc>
        <w:tc>
          <w:tcPr>
            <w:tcW w:w="620" w:type="pct"/>
            <w:tcBorders>
              <w:tl2br w:val="nil"/>
              <w:tr2bl w:val="nil"/>
            </w:tcBorders>
            <w:shd w:val="clear" w:color="auto" w:fill="auto"/>
            <w:vAlign w:val="center"/>
          </w:tcPr>
          <w:p w14:paraId="1C12C6A3">
            <w:pPr>
              <w:widowControl/>
              <w:adjustRightInd w:val="0"/>
              <w:snapToGrid w:val="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漆渣</w:t>
            </w:r>
          </w:p>
        </w:tc>
        <w:tc>
          <w:tcPr>
            <w:tcW w:w="617" w:type="pct"/>
            <w:tcBorders>
              <w:tl2br w:val="nil"/>
              <w:tr2bl w:val="nil"/>
            </w:tcBorders>
            <w:shd w:val="clear" w:color="auto" w:fill="auto"/>
            <w:vAlign w:val="center"/>
          </w:tcPr>
          <w:p w14:paraId="5CBD9002">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0.367</w:t>
            </w:r>
            <w:r>
              <w:rPr>
                <w:rFonts w:ascii="Times New Roman" w:hAnsi="Times New Roman" w:cs="Times New Roman"/>
                <w:bCs/>
                <w:szCs w:val="21"/>
              </w:rPr>
              <w:t>t/a</w:t>
            </w:r>
          </w:p>
        </w:tc>
        <w:tc>
          <w:tcPr>
            <w:tcW w:w="462" w:type="pct"/>
            <w:tcBorders>
              <w:tl2br w:val="nil"/>
              <w:tr2bl w:val="nil"/>
            </w:tcBorders>
            <w:shd w:val="clear" w:color="auto" w:fill="auto"/>
            <w:vAlign w:val="center"/>
          </w:tcPr>
          <w:p w14:paraId="55924D4E">
            <w:pPr>
              <w:widowControl/>
              <w:spacing w:before="31" w:beforeLines="10"/>
              <w:jc w:val="center"/>
              <w:rPr>
                <w:rFonts w:ascii="Times New Roman" w:hAnsi="Times New Roman" w:cs="Times New Roman" w:eastAsiaTheme="minorEastAsia"/>
                <w:snapToGrid w:val="0"/>
                <w:kern w:val="21"/>
                <w:sz w:val="21"/>
                <w:szCs w:val="21"/>
                <w:lang w:val="en-US" w:eastAsia="zh-CN" w:bidi="ar-SA"/>
              </w:rPr>
            </w:pPr>
            <w:r>
              <w:rPr>
                <w:rFonts w:hint="eastAsia" w:ascii="Times New Roman" w:hAnsi="Times New Roman" w:eastAsia="等线" w:cs="Times New Roman"/>
                <w:szCs w:val="21"/>
              </w:rPr>
              <w:t>/</w:t>
            </w:r>
          </w:p>
        </w:tc>
        <w:tc>
          <w:tcPr>
            <w:tcW w:w="617" w:type="pct"/>
            <w:tcBorders>
              <w:tl2br w:val="nil"/>
              <w:tr2bl w:val="nil"/>
            </w:tcBorders>
            <w:shd w:val="clear" w:color="auto" w:fill="auto"/>
            <w:vAlign w:val="center"/>
          </w:tcPr>
          <w:p w14:paraId="5718828B">
            <w:pPr>
              <w:widowControl/>
              <w:spacing w:before="31" w:beforeLines="10"/>
              <w:jc w:val="center"/>
              <w:rPr>
                <w:rFonts w:ascii="Times New Roman" w:hAnsi="Times New Roman" w:cs="Times New Roman" w:eastAsiaTheme="minorEastAsia"/>
                <w:snapToGrid w:val="0"/>
                <w:kern w:val="21"/>
                <w:sz w:val="21"/>
                <w:szCs w:val="21"/>
                <w:lang w:val="en-US" w:eastAsia="zh-CN" w:bidi="ar-SA"/>
              </w:rPr>
            </w:pPr>
            <w:r>
              <w:rPr>
                <w:rFonts w:hint="eastAsia" w:ascii="Times New Roman" w:hAnsi="Times New Roman" w:eastAsia="等线" w:cs="Times New Roman"/>
                <w:szCs w:val="21"/>
              </w:rPr>
              <w:t>/</w:t>
            </w:r>
          </w:p>
        </w:tc>
        <w:tc>
          <w:tcPr>
            <w:tcW w:w="565" w:type="pct"/>
            <w:tcBorders>
              <w:tl2br w:val="nil"/>
              <w:tr2bl w:val="nil"/>
            </w:tcBorders>
            <w:shd w:val="clear" w:color="auto" w:fill="auto"/>
            <w:vAlign w:val="center"/>
          </w:tcPr>
          <w:p w14:paraId="2EBB574B">
            <w:pPr>
              <w:widowControl/>
              <w:adjustRightInd w:val="0"/>
              <w:snapToGrid w:val="0"/>
              <w:jc w:val="center"/>
              <w:rPr>
                <w:rFonts w:hint="eastAsia" w:ascii="Times New Roman" w:hAnsi="Times New Roman" w:cs="Times New Roman" w:eastAsiaTheme="minorEastAsia"/>
                <w:bCs/>
                <w:kern w:val="2"/>
                <w:sz w:val="21"/>
                <w:szCs w:val="21"/>
                <w:lang w:val="en-US" w:eastAsia="zh-CN" w:bidi="ar-SA"/>
              </w:rPr>
            </w:pPr>
            <w:r>
              <w:rPr>
                <w:rFonts w:hint="eastAsia" w:ascii="Times New Roman" w:hAnsi="Times New Roman" w:cs="Times New Roman"/>
                <w:bCs/>
                <w:szCs w:val="21"/>
                <w:lang w:val="en-US" w:eastAsia="zh-CN"/>
              </w:rPr>
              <w:t>1.222</w:t>
            </w:r>
            <w:r>
              <w:rPr>
                <w:rFonts w:ascii="Times New Roman" w:hAnsi="Times New Roman" w:cs="Times New Roman"/>
                <w:bCs/>
                <w:szCs w:val="21"/>
              </w:rPr>
              <w:t>t/a</w:t>
            </w:r>
          </w:p>
        </w:tc>
        <w:tc>
          <w:tcPr>
            <w:tcW w:w="638" w:type="pct"/>
            <w:tcBorders>
              <w:tl2br w:val="nil"/>
              <w:tr2bl w:val="nil"/>
            </w:tcBorders>
            <w:shd w:val="clear" w:color="auto" w:fill="auto"/>
            <w:vAlign w:val="center"/>
          </w:tcPr>
          <w:p w14:paraId="71BAB293">
            <w:pPr>
              <w:jc w:val="center"/>
              <w:rPr>
                <w:rFonts w:ascii="Times New Roman" w:hAnsi="Times New Roman" w:cs="Times New Roman" w:eastAsiaTheme="minorEastAsia"/>
                <w:snapToGrid w:val="0"/>
                <w:kern w:val="21"/>
                <w:sz w:val="21"/>
                <w:szCs w:val="21"/>
                <w:lang w:val="en-US" w:eastAsia="zh-CN" w:bidi="ar-SA"/>
              </w:rPr>
            </w:pPr>
          </w:p>
        </w:tc>
        <w:tc>
          <w:tcPr>
            <w:tcW w:w="561" w:type="pct"/>
            <w:tcBorders>
              <w:tl2br w:val="nil"/>
              <w:tr2bl w:val="nil"/>
            </w:tcBorders>
            <w:shd w:val="clear" w:color="auto" w:fill="auto"/>
            <w:vAlign w:val="center"/>
          </w:tcPr>
          <w:p w14:paraId="0DFC5563">
            <w:pPr>
              <w:widowControl/>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1.589</w:t>
            </w:r>
            <w:r>
              <w:rPr>
                <w:rFonts w:ascii="Times New Roman" w:hAnsi="Times New Roman" w:cs="Times New Roman"/>
                <w:bCs/>
                <w:szCs w:val="21"/>
              </w:rPr>
              <w:t>t/a</w:t>
            </w:r>
          </w:p>
        </w:tc>
        <w:tc>
          <w:tcPr>
            <w:tcW w:w="448" w:type="pct"/>
            <w:tcBorders>
              <w:tl2br w:val="nil"/>
              <w:tr2bl w:val="nil"/>
            </w:tcBorders>
            <w:shd w:val="clear" w:color="auto" w:fill="auto"/>
            <w:vAlign w:val="center"/>
          </w:tcPr>
          <w:p w14:paraId="2A8A8021">
            <w:pPr>
              <w:jc w:val="center"/>
              <w:rPr>
                <w:rFonts w:hint="eastAsia" w:ascii="Times New Roman" w:hAnsi="Times New Roman" w:eastAsia="等线" w:cs="Times New Roman"/>
                <w:kern w:val="2"/>
                <w:sz w:val="21"/>
                <w:szCs w:val="21"/>
                <w:lang w:val="en-US" w:eastAsia="zh-CN" w:bidi="ar-SA"/>
              </w:rPr>
            </w:pPr>
            <w:r>
              <w:rPr>
                <w:rFonts w:hint="eastAsia" w:ascii="Times New Roman" w:hAnsi="Times New Roman" w:eastAsia="等线" w:cs="Times New Roman"/>
                <w:szCs w:val="21"/>
              </w:rPr>
              <w:t>+</w:t>
            </w:r>
            <w:r>
              <w:rPr>
                <w:rFonts w:hint="eastAsia" w:ascii="Times New Roman" w:hAnsi="Times New Roman" w:eastAsia="等线" w:cs="Times New Roman"/>
                <w:szCs w:val="21"/>
                <w:lang w:val="en-US" w:eastAsia="zh-CN"/>
              </w:rPr>
              <w:t>1.222</w:t>
            </w:r>
            <w:r>
              <w:rPr>
                <w:rFonts w:ascii="Times New Roman" w:hAnsi="Times New Roman" w:cs="Times New Roman"/>
                <w:bCs/>
                <w:szCs w:val="21"/>
              </w:rPr>
              <w:t>t/a</w:t>
            </w:r>
          </w:p>
        </w:tc>
      </w:tr>
      <w:tr w14:paraId="6DB5B1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9" w:type="pct"/>
            <w:vMerge w:val="continue"/>
            <w:tcBorders>
              <w:tl2br w:val="nil"/>
              <w:tr2bl w:val="nil"/>
            </w:tcBorders>
            <w:shd w:val="clear" w:color="auto" w:fill="auto"/>
            <w:vAlign w:val="center"/>
          </w:tcPr>
          <w:p w14:paraId="03F36731">
            <w:pPr>
              <w:pStyle w:val="38"/>
              <w:widowControl/>
              <w:spacing w:before="31" w:line="240" w:lineRule="auto"/>
              <w:rPr>
                <w:rFonts w:hint="default" w:ascii="Times New Roman"/>
                <w:snapToGrid w:val="0"/>
                <w:kern w:val="21"/>
                <w:szCs w:val="21"/>
              </w:rPr>
            </w:pPr>
          </w:p>
        </w:tc>
        <w:tc>
          <w:tcPr>
            <w:tcW w:w="620" w:type="pct"/>
            <w:tcBorders>
              <w:tl2br w:val="nil"/>
              <w:tr2bl w:val="nil"/>
            </w:tcBorders>
            <w:shd w:val="clear" w:color="auto" w:fill="auto"/>
            <w:vAlign w:val="center"/>
          </w:tcPr>
          <w:p w14:paraId="6A2225E3">
            <w:pPr>
              <w:pStyle w:val="11"/>
              <w:adjustRightInd w:val="0"/>
              <w:snapToGrid w:val="0"/>
              <w:spacing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废过滤棉</w:t>
            </w:r>
          </w:p>
        </w:tc>
        <w:tc>
          <w:tcPr>
            <w:tcW w:w="617" w:type="pct"/>
            <w:tcBorders>
              <w:tl2br w:val="nil"/>
              <w:tr2bl w:val="nil"/>
            </w:tcBorders>
            <w:shd w:val="clear" w:color="auto" w:fill="auto"/>
            <w:vAlign w:val="center"/>
          </w:tcPr>
          <w:p w14:paraId="3AE69585">
            <w:pPr>
              <w:pStyle w:val="11"/>
              <w:adjustRightInd w:val="0"/>
              <w:snapToGrid w:val="0"/>
              <w:spacing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0.4</w:t>
            </w:r>
            <w:r>
              <w:rPr>
                <w:rFonts w:ascii="Times New Roman" w:hAnsi="Times New Roman" w:eastAsia="等线" w:cs="Times New Roman"/>
                <w:sz w:val="21"/>
                <w:szCs w:val="21"/>
              </w:rPr>
              <w:t>t/a</w:t>
            </w:r>
          </w:p>
        </w:tc>
        <w:tc>
          <w:tcPr>
            <w:tcW w:w="462" w:type="pct"/>
            <w:tcBorders>
              <w:tl2br w:val="nil"/>
              <w:tr2bl w:val="nil"/>
            </w:tcBorders>
            <w:shd w:val="clear" w:color="auto" w:fill="auto"/>
            <w:vAlign w:val="center"/>
          </w:tcPr>
          <w:p w14:paraId="449D65F6">
            <w:pPr>
              <w:widowControl/>
              <w:spacing w:before="31" w:beforeLines="10"/>
              <w:jc w:val="center"/>
              <w:rPr>
                <w:rFonts w:ascii="Times New Roman" w:hAnsi="Times New Roman" w:cs="Times New Roman"/>
                <w:snapToGrid w:val="0"/>
                <w:kern w:val="21"/>
                <w:szCs w:val="21"/>
              </w:rPr>
            </w:pPr>
          </w:p>
        </w:tc>
        <w:tc>
          <w:tcPr>
            <w:tcW w:w="617" w:type="pct"/>
            <w:tcBorders>
              <w:tl2br w:val="nil"/>
              <w:tr2bl w:val="nil"/>
            </w:tcBorders>
            <w:shd w:val="clear" w:color="auto" w:fill="auto"/>
            <w:vAlign w:val="center"/>
          </w:tcPr>
          <w:p w14:paraId="3E78D723">
            <w:pPr>
              <w:widowControl/>
              <w:spacing w:before="31" w:beforeLines="10"/>
              <w:jc w:val="center"/>
              <w:rPr>
                <w:rFonts w:ascii="Times New Roman" w:hAnsi="Times New Roman" w:cs="Times New Roman"/>
                <w:snapToGrid w:val="0"/>
                <w:kern w:val="21"/>
                <w:szCs w:val="21"/>
              </w:rPr>
            </w:pPr>
          </w:p>
        </w:tc>
        <w:tc>
          <w:tcPr>
            <w:tcW w:w="565" w:type="pct"/>
            <w:tcBorders>
              <w:tl2br w:val="nil"/>
              <w:tr2bl w:val="nil"/>
            </w:tcBorders>
            <w:shd w:val="clear" w:color="auto" w:fill="auto"/>
            <w:vAlign w:val="center"/>
          </w:tcPr>
          <w:p w14:paraId="0B7B4CAF">
            <w:pPr>
              <w:pStyle w:val="11"/>
              <w:adjustRightInd w:val="0"/>
              <w:snapToGrid w:val="0"/>
              <w:spacing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1.6</w:t>
            </w:r>
            <w:r>
              <w:rPr>
                <w:rFonts w:ascii="Times New Roman" w:hAnsi="Times New Roman" w:eastAsia="等线" w:cs="Times New Roman"/>
                <w:sz w:val="21"/>
                <w:szCs w:val="21"/>
              </w:rPr>
              <w:t>t/a</w:t>
            </w:r>
          </w:p>
        </w:tc>
        <w:tc>
          <w:tcPr>
            <w:tcW w:w="638" w:type="pct"/>
            <w:tcBorders>
              <w:tl2br w:val="nil"/>
              <w:tr2bl w:val="nil"/>
            </w:tcBorders>
            <w:shd w:val="clear" w:color="auto" w:fill="auto"/>
            <w:vAlign w:val="center"/>
          </w:tcPr>
          <w:p w14:paraId="42AF5A1D">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561" w:type="pct"/>
            <w:tcBorders>
              <w:tl2br w:val="nil"/>
              <w:tr2bl w:val="nil"/>
            </w:tcBorders>
            <w:shd w:val="clear" w:color="auto" w:fill="auto"/>
            <w:vAlign w:val="center"/>
          </w:tcPr>
          <w:p w14:paraId="31B210F8">
            <w:pPr>
              <w:pStyle w:val="11"/>
              <w:adjustRightInd w:val="0"/>
              <w:snapToGrid w:val="0"/>
              <w:spacing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eastAsia="等线" w:cs="Times New Roman"/>
                <w:sz w:val="21"/>
                <w:szCs w:val="21"/>
              </w:rPr>
              <w:t>t/a</w:t>
            </w:r>
          </w:p>
        </w:tc>
        <w:tc>
          <w:tcPr>
            <w:tcW w:w="448" w:type="pct"/>
            <w:tcBorders>
              <w:tl2br w:val="nil"/>
              <w:tr2bl w:val="nil"/>
            </w:tcBorders>
            <w:shd w:val="clear" w:color="auto" w:fill="auto"/>
            <w:vAlign w:val="center"/>
          </w:tcPr>
          <w:p w14:paraId="6DF31CF4">
            <w:pPr>
              <w:pStyle w:val="11"/>
              <w:adjustRightInd w:val="0"/>
              <w:snapToGrid w:val="0"/>
              <w:spacing w:line="240" w:lineRule="auto"/>
              <w:ind w:firstLine="0"/>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w:t>
            </w:r>
            <w:r>
              <w:rPr>
                <w:rFonts w:hint="eastAsia" w:ascii="Times New Roman" w:hAnsi="Times New Roman" w:cs="Times New Roman"/>
                <w:sz w:val="21"/>
                <w:szCs w:val="21"/>
              </w:rPr>
              <w:t>1.6</w:t>
            </w:r>
            <w:r>
              <w:rPr>
                <w:rFonts w:ascii="Times New Roman" w:hAnsi="Times New Roman" w:eastAsia="等线" w:cs="Times New Roman"/>
                <w:sz w:val="21"/>
                <w:szCs w:val="21"/>
              </w:rPr>
              <w:t>t/a</w:t>
            </w:r>
          </w:p>
        </w:tc>
      </w:tr>
      <w:tr w14:paraId="7D7FE5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9" w:type="pct"/>
            <w:vMerge w:val="continue"/>
            <w:tcBorders>
              <w:tl2br w:val="nil"/>
              <w:tr2bl w:val="nil"/>
            </w:tcBorders>
            <w:shd w:val="clear" w:color="auto" w:fill="auto"/>
            <w:vAlign w:val="center"/>
          </w:tcPr>
          <w:p w14:paraId="795E217E">
            <w:pPr>
              <w:pStyle w:val="38"/>
              <w:widowControl/>
              <w:spacing w:before="31" w:line="240" w:lineRule="auto"/>
              <w:rPr>
                <w:rFonts w:hint="default" w:ascii="Times New Roman"/>
                <w:snapToGrid w:val="0"/>
                <w:kern w:val="21"/>
                <w:szCs w:val="21"/>
              </w:rPr>
            </w:pPr>
          </w:p>
        </w:tc>
        <w:tc>
          <w:tcPr>
            <w:tcW w:w="620" w:type="pct"/>
            <w:tcBorders>
              <w:tl2br w:val="nil"/>
              <w:tr2bl w:val="nil"/>
            </w:tcBorders>
            <w:shd w:val="clear" w:color="auto" w:fill="auto"/>
            <w:vAlign w:val="center"/>
          </w:tcPr>
          <w:p w14:paraId="38A1087D">
            <w:pPr>
              <w:pStyle w:val="11"/>
              <w:adjustRightInd w:val="0"/>
              <w:snapToGrid w:val="0"/>
              <w:spacing w:line="240" w:lineRule="auto"/>
              <w:ind w:firstLine="0"/>
              <w:jc w:val="center"/>
              <w:rPr>
                <w:rFonts w:ascii="Times New Roman" w:hAnsi="Times New Roman" w:cs="Times New Roman"/>
              </w:rPr>
            </w:pPr>
            <w:r>
              <w:rPr>
                <w:rFonts w:ascii="Times New Roman" w:hAnsi="Times New Roman" w:cs="Times New Roman"/>
                <w:sz w:val="21"/>
                <w:szCs w:val="21"/>
              </w:rPr>
              <w:t>废机油</w:t>
            </w:r>
          </w:p>
        </w:tc>
        <w:tc>
          <w:tcPr>
            <w:tcW w:w="617" w:type="pct"/>
            <w:tcBorders>
              <w:tl2br w:val="nil"/>
              <w:tr2bl w:val="nil"/>
            </w:tcBorders>
            <w:shd w:val="clear" w:color="auto" w:fill="auto"/>
            <w:vAlign w:val="center"/>
          </w:tcPr>
          <w:p w14:paraId="078A20AE">
            <w:pPr>
              <w:pStyle w:val="11"/>
              <w:adjustRightInd w:val="0"/>
              <w:snapToGrid w:val="0"/>
              <w:spacing w:line="240" w:lineRule="auto"/>
              <w:ind w:firstLine="0"/>
              <w:jc w:val="center"/>
              <w:rPr>
                <w:rFonts w:ascii="Times New Roman" w:hAnsi="Times New Roman" w:eastAsia="等线" w:cs="Times New Roman"/>
                <w:sz w:val="21"/>
                <w:szCs w:val="21"/>
              </w:rPr>
            </w:pPr>
            <w:r>
              <w:rPr>
                <w:rFonts w:ascii="Times New Roman" w:hAnsi="Times New Roman" w:eastAsia="等线" w:cs="Times New Roman"/>
                <w:sz w:val="21"/>
                <w:szCs w:val="21"/>
              </w:rPr>
              <w:t>0.0</w:t>
            </w:r>
            <w:r>
              <w:rPr>
                <w:rFonts w:hint="eastAsia" w:ascii="Times New Roman" w:hAnsi="Times New Roman" w:eastAsia="等线" w:cs="Times New Roman"/>
                <w:sz w:val="21"/>
                <w:szCs w:val="21"/>
              </w:rPr>
              <w:t>2</w:t>
            </w:r>
            <w:r>
              <w:rPr>
                <w:rFonts w:ascii="Times New Roman" w:hAnsi="Times New Roman" w:eastAsia="等线" w:cs="Times New Roman"/>
                <w:sz w:val="21"/>
                <w:szCs w:val="21"/>
              </w:rPr>
              <w:t>t/a</w:t>
            </w:r>
          </w:p>
        </w:tc>
        <w:tc>
          <w:tcPr>
            <w:tcW w:w="462" w:type="pct"/>
            <w:tcBorders>
              <w:tl2br w:val="nil"/>
              <w:tr2bl w:val="nil"/>
            </w:tcBorders>
            <w:shd w:val="clear" w:color="auto" w:fill="auto"/>
            <w:vAlign w:val="center"/>
          </w:tcPr>
          <w:p w14:paraId="4C35C5E9">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617" w:type="pct"/>
            <w:tcBorders>
              <w:tl2br w:val="nil"/>
              <w:tr2bl w:val="nil"/>
            </w:tcBorders>
            <w:shd w:val="clear" w:color="auto" w:fill="auto"/>
            <w:vAlign w:val="center"/>
          </w:tcPr>
          <w:p w14:paraId="45129B4D">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565" w:type="pct"/>
            <w:tcBorders>
              <w:tl2br w:val="nil"/>
              <w:tr2bl w:val="nil"/>
            </w:tcBorders>
            <w:shd w:val="clear" w:color="auto" w:fill="auto"/>
            <w:vAlign w:val="center"/>
          </w:tcPr>
          <w:p w14:paraId="43F19DA0">
            <w:pPr>
              <w:adjustRightInd w:val="0"/>
              <w:snapToGrid w:val="0"/>
              <w:jc w:val="center"/>
              <w:rPr>
                <w:rFonts w:ascii="Times New Roman" w:hAnsi="Times New Roman" w:eastAsia="等线" w:cs="Times New Roman"/>
                <w:szCs w:val="21"/>
              </w:rPr>
            </w:pPr>
            <w:r>
              <w:rPr>
                <w:rFonts w:hint="eastAsia" w:ascii="Times New Roman" w:hAnsi="Times New Roman" w:eastAsia="等线" w:cs="Times New Roman"/>
                <w:szCs w:val="21"/>
              </w:rPr>
              <w:t>/</w:t>
            </w:r>
          </w:p>
        </w:tc>
        <w:tc>
          <w:tcPr>
            <w:tcW w:w="638" w:type="pct"/>
            <w:tcBorders>
              <w:tl2br w:val="nil"/>
              <w:tr2bl w:val="nil"/>
            </w:tcBorders>
            <w:shd w:val="clear" w:color="auto" w:fill="auto"/>
            <w:vAlign w:val="center"/>
          </w:tcPr>
          <w:p w14:paraId="7315C867">
            <w:pPr>
              <w:widowControl/>
              <w:spacing w:before="31" w:beforeLines="10"/>
              <w:jc w:val="center"/>
              <w:rPr>
                <w:rFonts w:ascii="Times New Roman" w:hAnsi="Times New Roman" w:eastAsia="等线" w:cs="Times New Roman"/>
                <w:szCs w:val="21"/>
              </w:rPr>
            </w:pPr>
            <w:r>
              <w:rPr>
                <w:rFonts w:ascii="Times New Roman" w:hAnsi="Times New Roman" w:cs="Times New Roman"/>
                <w:snapToGrid w:val="0"/>
                <w:kern w:val="21"/>
                <w:szCs w:val="21"/>
              </w:rPr>
              <w:t>/</w:t>
            </w:r>
          </w:p>
        </w:tc>
        <w:tc>
          <w:tcPr>
            <w:tcW w:w="561" w:type="pct"/>
            <w:tcBorders>
              <w:tl2br w:val="nil"/>
              <w:tr2bl w:val="nil"/>
            </w:tcBorders>
            <w:shd w:val="clear" w:color="auto" w:fill="auto"/>
            <w:vAlign w:val="center"/>
          </w:tcPr>
          <w:p w14:paraId="2B094239">
            <w:pPr>
              <w:pStyle w:val="11"/>
              <w:adjustRightInd w:val="0"/>
              <w:snapToGrid w:val="0"/>
              <w:spacing w:line="240" w:lineRule="auto"/>
              <w:ind w:firstLine="0"/>
              <w:jc w:val="center"/>
              <w:rPr>
                <w:rFonts w:ascii="Times New Roman" w:hAnsi="Times New Roman" w:eastAsia="等线" w:cs="Times New Roman"/>
                <w:sz w:val="21"/>
                <w:szCs w:val="21"/>
              </w:rPr>
            </w:pPr>
            <w:r>
              <w:rPr>
                <w:rFonts w:ascii="Times New Roman" w:hAnsi="Times New Roman" w:eastAsia="等线" w:cs="Times New Roman"/>
                <w:sz w:val="21"/>
                <w:szCs w:val="21"/>
              </w:rPr>
              <w:t>0.0</w:t>
            </w:r>
            <w:r>
              <w:rPr>
                <w:rFonts w:hint="eastAsia" w:ascii="Times New Roman" w:hAnsi="Times New Roman" w:eastAsia="等线" w:cs="Times New Roman"/>
                <w:sz w:val="21"/>
                <w:szCs w:val="21"/>
              </w:rPr>
              <w:t>2</w:t>
            </w:r>
            <w:r>
              <w:rPr>
                <w:rFonts w:ascii="Times New Roman" w:hAnsi="Times New Roman" w:eastAsia="等线" w:cs="Times New Roman"/>
                <w:sz w:val="21"/>
                <w:szCs w:val="21"/>
              </w:rPr>
              <w:t>t/a</w:t>
            </w:r>
          </w:p>
        </w:tc>
        <w:tc>
          <w:tcPr>
            <w:tcW w:w="448" w:type="pct"/>
            <w:tcBorders>
              <w:tl2br w:val="nil"/>
              <w:tr2bl w:val="nil"/>
            </w:tcBorders>
            <w:shd w:val="clear" w:color="auto" w:fill="auto"/>
            <w:vAlign w:val="center"/>
          </w:tcPr>
          <w:p w14:paraId="766A81D8">
            <w:pPr>
              <w:adjustRightInd w:val="0"/>
              <w:snapToGrid w:val="0"/>
              <w:jc w:val="center"/>
              <w:rPr>
                <w:rFonts w:ascii="Times New Roman" w:hAnsi="Times New Roman" w:eastAsia="等线" w:cs="Times New Roman"/>
                <w:szCs w:val="21"/>
              </w:rPr>
            </w:pPr>
            <w:r>
              <w:rPr>
                <w:rFonts w:ascii="Times New Roman" w:hAnsi="Times New Roman" w:cs="Times New Roman"/>
                <w:snapToGrid w:val="0"/>
                <w:kern w:val="21"/>
                <w:szCs w:val="21"/>
              </w:rPr>
              <w:t>/</w:t>
            </w:r>
          </w:p>
        </w:tc>
      </w:tr>
      <w:tr w14:paraId="1AFE51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9" w:type="pct"/>
            <w:vMerge w:val="continue"/>
            <w:tcBorders>
              <w:tl2br w:val="nil"/>
              <w:tr2bl w:val="nil"/>
            </w:tcBorders>
            <w:shd w:val="clear" w:color="auto" w:fill="auto"/>
            <w:vAlign w:val="center"/>
          </w:tcPr>
          <w:p w14:paraId="12B098BD">
            <w:pPr>
              <w:pStyle w:val="38"/>
              <w:widowControl/>
              <w:spacing w:before="31" w:line="240" w:lineRule="auto"/>
              <w:rPr>
                <w:rFonts w:hint="default" w:ascii="Times New Roman"/>
                <w:snapToGrid w:val="0"/>
                <w:kern w:val="21"/>
                <w:szCs w:val="21"/>
              </w:rPr>
            </w:pPr>
          </w:p>
        </w:tc>
        <w:tc>
          <w:tcPr>
            <w:tcW w:w="620" w:type="pct"/>
            <w:tcBorders>
              <w:tl2br w:val="nil"/>
              <w:tr2bl w:val="nil"/>
            </w:tcBorders>
            <w:shd w:val="clear" w:color="auto" w:fill="auto"/>
            <w:vAlign w:val="center"/>
          </w:tcPr>
          <w:p w14:paraId="30FA3480">
            <w:pPr>
              <w:pStyle w:val="11"/>
              <w:adjustRightInd w:val="0"/>
              <w:snapToGrid w:val="0"/>
              <w:spacing w:line="240" w:lineRule="auto"/>
              <w:ind w:firstLine="0"/>
              <w:jc w:val="center"/>
              <w:rPr>
                <w:rFonts w:ascii="Times New Roman" w:hAnsi="Times New Roman" w:cs="Times New Roman"/>
              </w:rPr>
            </w:pPr>
            <w:r>
              <w:rPr>
                <w:rFonts w:ascii="Times New Roman" w:hAnsi="Times New Roman" w:cs="Times New Roman"/>
                <w:sz w:val="21"/>
                <w:szCs w:val="21"/>
              </w:rPr>
              <w:t>废油桶</w:t>
            </w:r>
          </w:p>
        </w:tc>
        <w:tc>
          <w:tcPr>
            <w:tcW w:w="617" w:type="pct"/>
            <w:tcBorders>
              <w:tl2br w:val="nil"/>
              <w:tr2bl w:val="nil"/>
            </w:tcBorders>
            <w:shd w:val="clear" w:color="auto" w:fill="auto"/>
            <w:vAlign w:val="center"/>
          </w:tcPr>
          <w:p w14:paraId="2869E0E5">
            <w:pPr>
              <w:pStyle w:val="11"/>
              <w:adjustRightInd w:val="0"/>
              <w:snapToGrid w:val="0"/>
              <w:spacing w:line="240" w:lineRule="auto"/>
              <w:ind w:firstLine="0"/>
              <w:jc w:val="center"/>
              <w:rPr>
                <w:rFonts w:ascii="Times New Roman" w:hAnsi="Times New Roman" w:eastAsia="等线" w:cs="Times New Roman"/>
                <w:sz w:val="21"/>
                <w:szCs w:val="21"/>
              </w:rPr>
            </w:pPr>
            <w:r>
              <w:rPr>
                <w:rFonts w:ascii="Times New Roman" w:hAnsi="Times New Roman" w:eastAsia="等线" w:cs="Times New Roman"/>
                <w:sz w:val="21"/>
                <w:szCs w:val="21"/>
              </w:rPr>
              <w:t>0.05t/a</w:t>
            </w:r>
          </w:p>
        </w:tc>
        <w:tc>
          <w:tcPr>
            <w:tcW w:w="462" w:type="pct"/>
            <w:tcBorders>
              <w:tl2br w:val="nil"/>
              <w:tr2bl w:val="nil"/>
            </w:tcBorders>
            <w:shd w:val="clear" w:color="auto" w:fill="auto"/>
            <w:vAlign w:val="center"/>
          </w:tcPr>
          <w:p w14:paraId="5E5EAE5A">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617" w:type="pct"/>
            <w:tcBorders>
              <w:tl2br w:val="nil"/>
              <w:tr2bl w:val="nil"/>
            </w:tcBorders>
            <w:shd w:val="clear" w:color="auto" w:fill="auto"/>
            <w:vAlign w:val="center"/>
          </w:tcPr>
          <w:p w14:paraId="6EAF9BE4">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565" w:type="pct"/>
            <w:tcBorders>
              <w:tl2br w:val="nil"/>
              <w:tr2bl w:val="nil"/>
            </w:tcBorders>
            <w:shd w:val="clear" w:color="auto" w:fill="auto"/>
            <w:vAlign w:val="center"/>
          </w:tcPr>
          <w:p w14:paraId="796BC976">
            <w:pPr>
              <w:adjustRightInd w:val="0"/>
              <w:snapToGrid w:val="0"/>
              <w:jc w:val="center"/>
              <w:rPr>
                <w:rFonts w:ascii="Times New Roman" w:hAnsi="Times New Roman" w:eastAsia="等线" w:cs="Times New Roman"/>
                <w:szCs w:val="21"/>
              </w:rPr>
            </w:pPr>
            <w:r>
              <w:rPr>
                <w:rFonts w:hint="eastAsia" w:ascii="Times New Roman" w:hAnsi="Times New Roman" w:eastAsia="等线" w:cs="Times New Roman"/>
                <w:szCs w:val="21"/>
              </w:rPr>
              <w:t>/</w:t>
            </w:r>
          </w:p>
        </w:tc>
        <w:tc>
          <w:tcPr>
            <w:tcW w:w="638" w:type="pct"/>
            <w:tcBorders>
              <w:tl2br w:val="nil"/>
              <w:tr2bl w:val="nil"/>
            </w:tcBorders>
            <w:shd w:val="clear" w:color="auto" w:fill="auto"/>
            <w:vAlign w:val="center"/>
          </w:tcPr>
          <w:p w14:paraId="173CE756">
            <w:pPr>
              <w:widowControl/>
              <w:spacing w:before="31" w:beforeLines="10"/>
              <w:jc w:val="center"/>
              <w:rPr>
                <w:rFonts w:ascii="Times New Roman" w:hAnsi="Times New Roman" w:eastAsia="等线" w:cs="Times New Roman"/>
                <w:szCs w:val="21"/>
              </w:rPr>
            </w:pPr>
            <w:r>
              <w:rPr>
                <w:rFonts w:ascii="Times New Roman" w:hAnsi="Times New Roman" w:cs="Times New Roman"/>
                <w:snapToGrid w:val="0"/>
                <w:kern w:val="21"/>
                <w:szCs w:val="21"/>
              </w:rPr>
              <w:t>/</w:t>
            </w:r>
          </w:p>
        </w:tc>
        <w:tc>
          <w:tcPr>
            <w:tcW w:w="561" w:type="pct"/>
            <w:tcBorders>
              <w:tl2br w:val="nil"/>
              <w:tr2bl w:val="nil"/>
            </w:tcBorders>
            <w:shd w:val="clear" w:color="auto" w:fill="auto"/>
            <w:vAlign w:val="center"/>
          </w:tcPr>
          <w:p w14:paraId="55B97528">
            <w:pPr>
              <w:pStyle w:val="11"/>
              <w:adjustRightInd w:val="0"/>
              <w:snapToGrid w:val="0"/>
              <w:spacing w:line="240" w:lineRule="auto"/>
              <w:ind w:firstLine="0"/>
              <w:jc w:val="center"/>
              <w:rPr>
                <w:rFonts w:ascii="Times New Roman" w:hAnsi="Times New Roman" w:eastAsia="等线" w:cs="Times New Roman"/>
                <w:sz w:val="21"/>
                <w:szCs w:val="21"/>
              </w:rPr>
            </w:pPr>
            <w:r>
              <w:rPr>
                <w:rFonts w:ascii="Times New Roman" w:hAnsi="Times New Roman" w:eastAsia="等线" w:cs="Times New Roman"/>
                <w:sz w:val="21"/>
                <w:szCs w:val="21"/>
              </w:rPr>
              <w:t>0.05t/a</w:t>
            </w:r>
          </w:p>
        </w:tc>
        <w:tc>
          <w:tcPr>
            <w:tcW w:w="448" w:type="pct"/>
            <w:tcBorders>
              <w:tl2br w:val="nil"/>
              <w:tr2bl w:val="nil"/>
            </w:tcBorders>
            <w:shd w:val="clear" w:color="auto" w:fill="auto"/>
            <w:vAlign w:val="center"/>
          </w:tcPr>
          <w:p w14:paraId="626FB8EE">
            <w:pPr>
              <w:adjustRightInd w:val="0"/>
              <w:snapToGrid w:val="0"/>
              <w:jc w:val="center"/>
              <w:rPr>
                <w:rFonts w:ascii="Times New Roman" w:hAnsi="Times New Roman" w:eastAsia="等线" w:cs="Times New Roman"/>
                <w:szCs w:val="21"/>
              </w:rPr>
            </w:pPr>
            <w:r>
              <w:rPr>
                <w:rFonts w:ascii="Times New Roman" w:hAnsi="Times New Roman" w:cs="Times New Roman"/>
                <w:snapToGrid w:val="0"/>
                <w:kern w:val="21"/>
                <w:szCs w:val="21"/>
              </w:rPr>
              <w:t>/</w:t>
            </w:r>
          </w:p>
        </w:tc>
      </w:tr>
      <w:tr w14:paraId="6E16E2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9" w:type="pct"/>
            <w:vMerge w:val="continue"/>
            <w:tcBorders>
              <w:tl2br w:val="nil"/>
              <w:tr2bl w:val="nil"/>
            </w:tcBorders>
            <w:shd w:val="clear" w:color="auto" w:fill="auto"/>
            <w:vAlign w:val="center"/>
          </w:tcPr>
          <w:p w14:paraId="3367C61A">
            <w:pPr>
              <w:pStyle w:val="38"/>
              <w:widowControl/>
              <w:spacing w:before="31" w:line="240" w:lineRule="auto"/>
              <w:rPr>
                <w:rFonts w:hint="default" w:ascii="Times New Roman"/>
                <w:snapToGrid w:val="0"/>
                <w:kern w:val="21"/>
                <w:szCs w:val="21"/>
              </w:rPr>
            </w:pPr>
          </w:p>
        </w:tc>
        <w:tc>
          <w:tcPr>
            <w:tcW w:w="620" w:type="pct"/>
            <w:tcBorders>
              <w:tl2br w:val="nil"/>
              <w:tr2bl w:val="nil"/>
            </w:tcBorders>
            <w:shd w:val="clear" w:color="auto" w:fill="auto"/>
            <w:vAlign w:val="center"/>
          </w:tcPr>
          <w:p w14:paraId="7016CF0C">
            <w:pPr>
              <w:pStyle w:val="11"/>
              <w:adjustRightInd w:val="0"/>
              <w:snapToGrid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废含油抹布手套</w:t>
            </w:r>
          </w:p>
        </w:tc>
        <w:tc>
          <w:tcPr>
            <w:tcW w:w="617" w:type="pct"/>
            <w:tcBorders>
              <w:tl2br w:val="nil"/>
              <w:tr2bl w:val="nil"/>
            </w:tcBorders>
            <w:shd w:val="clear" w:color="auto" w:fill="auto"/>
            <w:vAlign w:val="center"/>
          </w:tcPr>
          <w:p w14:paraId="4A6EE2A5">
            <w:pPr>
              <w:pStyle w:val="11"/>
              <w:adjustRightInd w:val="0"/>
              <w:snapToGrid w:val="0"/>
              <w:spacing w:line="240" w:lineRule="auto"/>
              <w:ind w:firstLine="0"/>
              <w:jc w:val="center"/>
              <w:rPr>
                <w:rFonts w:ascii="Times New Roman" w:hAnsi="Times New Roman" w:eastAsia="等线" w:cs="Times New Roman"/>
                <w:sz w:val="21"/>
                <w:szCs w:val="21"/>
              </w:rPr>
            </w:pPr>
            <w:r>
              <w:rPr>
                <w:rFonts w:ascii="Times New Roman" w:hAnsi="Times New Roman" w:eastAsia="等线" w:cs="Times New Roman"/>
                <w:sz w:val="21"/>
                <w:szCs w:val="21"/>
              </w:rPr>
              <w:t>0.01t/a</w:t>
            </w:r>
          </w:p>
        </w:tc>
        <w:tc>
          <w:tcPr>
            <w:tcW w:w="462" w:type="pct"/>
            <w:tcBorders>
              <w:tl2br w:val="nil"/>
              <w:tr2bl w:val="nil"/>
            </w:tcBorders>
            <w:shd w:val="clear" w:color="auto" w:fill="auto"/>
            <w:vAlign w:val="center"/>
          </w:tcPr>
          <w:p w14:paraId="2E985CE5">
            <w:pPr>
              <w:widowControl/>
              <w:spacing w:before="31" w:beforeLines="10"/>
              <w:jc w:val="center"/>
              <w:rPr>
                <w:rFonts w:ascii="Times New Roman" w:hAnsi="Times New Roman" w:eastAsia="等线" w:cs="Times New Roman"/>
                <w:szCs w:val="21"/>
              </w:rPr>
            </w:pPr>
            <w:r>
              <w:rPr>
                <w:rFonts w:ascii="Times New Roman" w:hAnsi="Times New Roman" w:cs="Times New Roman"/>
                <w:snapToGrid w:val="0"/>
                <w:kern w:val="21"/>
                <w:szCs w:val="21"/>
              </w:rPr>
              <w:t>/</w:t>
            </w:r>
          </w:p>
        </w:tc>
        <w:tc>
          <w:tcPr>
            <w:tcW w:w="617" w:type="pct"/>
            <w:tcBorders>
              <w:tl2br w:val="nil"/>
              <w:tr2bl w:val="nil"/>
            </w:tcBorders>
            <w:shd w:val="clear" w:color="auto" w:fill="auto"/>
            <w:vAlign w:val="center"/>
          </w:tcPr>
          <w:p w14:paraId="00CD229B">
            <w:pPr>
              <w:widowControl/>
              <w:spacing w:before="31" w:beforeLines="10"/>
              <w:jc w:val="center"/>
              <w:rPr>
                <w:rFonts w:ascii="Times New Roman" w:hAnsi="Times New Roman" w:eastAsia="等线" w:cs="Times New Roman"/>
                <w:szCs w:val="21"/>
              </w:rPr>
            </w:pPr>
            <w:r>
              <w:rPr>
                <w:rFonts w:ascii="Times New Roman" w:hAnsi="Times New Roman" w:cs="Times New Roman"/>
                <w:snapToGrid w:val="0"/>
                <w:kern w:val="21"/>
                <w:szCs w:val="21"/>
              </w:rPr>
              <w:t>/</w:t>
            </w:r>
          </w:p>
        </w:tc>
        <w:tc>
          <w:tcPr>
            <w:tcW w:w="565" w:type="pct"/>
            <w:tcBorders>
              <w:tl2br w:val="nil"/>
              <w:tr2bl w:val="nil"/>
            </w:tcBorders>
            <w:shd w:val="clear" w:color="auto" w:fill="auto"/>
            <w:vAlign w:val="center"/>
          </w:tcPr>
          <w:p w14:paraId="2633D74C">
            <w:pPr>
              <w:adjustRightInd w:val="0"/>
              <w:snapToGrid w:val="0"/>
              <w:jc w:val="center"/>
              <w:rPr>
                <w:rFonts w:ascii="Times New Roman" w:hAnsi="Times New Roman" w:eastAsia="等线" w:cs="Times New Roman"/>
                <w:szCs w:val="21"/>
              </w:rPr>
            </w:pPr>
            <w:r>
              <w:rPr>
                <w:rFonts w:hint="eastAsia" w:ascii="Times New Roman" w:hAnsi="Times New Roman" w:eastAsia="等线" w:cs="Times New Roman"/>
                <w:szCs w:val="21"/>
              </w:rPr>
              <w:t>/</w:t>
            </w:r>
          </w:p>
        </w:tc>
        <w:tc>
          <w:tcPr>
            <w:tcW w:w="638" w:type="pct"/>
            <w:tcBorders>
              <w:tl2br w:val="nil"/>
              <w:tr2bl w:val="nil"/>
            </w:tcBorders>
            <w:shd w:val="clear" w:color="auto" w:fill="auto"/>
            <w:vAlign w:val="center"/>
          </w:tcPr>
          <w:p w14:paraId="304CECE9">
            <w:pPr>
              <w:widowControl/>
              <w:spacing w:before="31" w:beforeLines="10"/>
              <w:jc w:val="center"/>
              <w:rPr>
                <w:rFonts w:ascii="Times New Roman" w:hAnsi="Times New Roman" w:eastAsia="等线" w:cs="Times New Roman"/>
                <w:szCs w:val="21"/>
              </w:rPr>
            </w:pPr>
            <w:r>
              <w:rPr>
                <w:rFonts w:ascii="Times New Roman" w:hAnsi="Times New Roman" w:cs="Times New Roman"/>
                <w:snapToGrid w:val="0"/>
                <w:kern w:val="21"/>
                <w:szCs w:val="21"/>
              </w:rPr>
              <w:t>/</w:t>
            </w:r>
          </w:p>
        </w:tc>
        <w:tc>
          <w:tcPr>
            <w:tcW w:w="561" w:type="pct"/>
            <w:tcBorders>
              <w:tl2br w:val="nil"/>
              <w:tr2bl w:val="nil"/>
            </w:tcBorders>
            <w:shd w:val="clear" w:color="auto" w:fill="auto"/>
            <w:vAlign w:val="center"/>
          </w:tcPr>
          <w:p w14:paraId="16A0CBB1">
            <w:pPr>
              <w:pStyle w:val="11"/>
              <w:adjustRightInd w:val="0"/>
              <w:snapToGrid w:val="0"/>
              <w:spacing w:line="240" w:lineRule="auto"/>
              <w:ind w:firstLine="0"/>
              <w:jc w:val="center"/>
              <w:rPr>
                <w:rFonts w:ascii="Times New Roman" w:hAnsi="Times New Roman" w:cs="Times New Roman"/>
                <w:sz w:val="21"/>
                <w:szCs w:val="21"/>
              </w:rPr>
            </w:pPr>
            <w:r>
              <w:rPr>
                <w:rFonts w:ascii="Times New Roman" w:hAnsi="Times New Roman" w:eastAsia="等线" w:cs="Times New Roman"/>
                <w:sz w:val="21"/>
                <w:szCs w:val="21"/>
              </w:rPr>
              <w:t>0.01t/a</w:t>
            </w:r>
          </w:p>
        </w:tc>
        <w:tc>
          <w:tcPr>
            <w:tcW w:w="448" w:type="pct"/>
            <w:tcBorders>
              <w:tl2br w:val="nil"/>
              <w:tr2bl w:val="nil"/>
            </w:tcBorders>
            <w:shd w:val="clear" w:color="auto" w:fill="auto"/>
            <w:vAlign w:val="center"/>
          </w:tcPr>
          <w:p w14:paraId="38861ABE">
            <w:pPr>
              <w:adjustRightInd w:val="0"/>
              <w:snapToGrid w:val="0"/>
              <w:jc w:val="center"/>
              <w:rPr>
                <w:rFonts w:ascii="Times New Roman" w:hAnsi="Times New Roman" w:eastAsia="等线" w:cs="Times New Roman"/>
                <w:szCs w:val="21"/>
              </w:rPr>
            </w:pPr>
            <w:r>
              <w:rPr>
                <w:rFonts w:ascii="Times New Roman" w:hAnsi="Times New Roman" w:cs="Times New Roman"/>
                <w:snapToGrid w:val="0"/>
                <w:kern w:val="21"/>
                <w:szCs w:val="21"/>
              </w:rPr>
              <w:t>/</w:t>
            </w:r>
          </w:p>
        </w:tc>
      </w:tr>
      <w:tr w14:paraId="3EBC78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9" w:type="pct"/>
            <w:vMerge w:val="continue"/>
            <w:tcBorders>
              <w:tl2br w:val="nil"/>
              <w:tr2bl w:val="nil"/>
            </w:tcBorders>
            <w:shd w:val="clear" w:color="auto" w:fill="auto"/>
            <w:vAlign w:val="center"/>
          </w:tcPr>
          <w:p w14:paraId="7F0EA521">
            <w:pPr>
              <w:pStyle w:val="38"/>
              <w:widowControl/>
              <w:spacing w:before="31" w:line="240" w:lineRule="auto"/>
              <w:rPr>
                <w:rFonts w:hint="default" w:ascii="Times New Roman"/>
                <w:snapToGrid w:val="0"/>
                <w:kern w:val="21"/>
                <w:szCs w:val="21"/>
              </w:rPr>
            </w:pPr>
          </w:p>
        </w:tc>
        <w:tc>
          <w:tcPr>
            <w:tcW w:w="620" w:type="pct"/>
            <w:tcBorders>
              <w:tl2br w:val="nil"/>
              <w:tr2bl w:val="nil"/>
            </w:tcBorders>
            <w:shd w:val="clear" w:color="auto" w:fill="auto"/>
            <w:vAlign w:val="center"/>
          </w:tcPr>
          <w:p w14:paraId="493F4BDB">
            <w:pPr>
              <w:pStyle w:val="11"/>
              <w:adjustRightInd w:val="0"/>
              <w:snapToGrid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污水处理站污泥</w:t>
            </w:r>
          </w:p>
        </w:tc>
        <w:tc>
          <w:tcPr>
            <w:tcW w:w="617" w:type="pct"/>
            <w:tcBorders>
              <w:tl2br w:val="nil"/>
              <w:tr2bl w:val="nil"/>
            </w:tcBorders>
            <w:shd w:val="clear" w:color="auto" w:fill="auto"/>
            <w:vAlign w:val="center"/>
          </w:tcPr>
          <w:p w14:paraId="54870A35">
            <w:pPr>
              <w:pStyle w:val="11"/>
              <w:adjustRightInd w:val="0"/>
              <w:snapToGrid w:val="0"/>
              <w:spacing w:line="240" w:lineRule="auto"/>
              <w:ind w:firstLine="0"/>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7.</w:t>
            </w:r>
            <w:r>
              <w:rPr>
                <w:rFonts w:ascii="Times New Roman" w:hAnsi="Times New Roman" w:eastAsia="等线" w:cs="Times New Roman"/>
                <w:sz w:val="21"/>
                <w:szCs w:val="21"/>
              </w:rPr>
              <w:t>2t/a</w:t>
            </w:r>
          </w:p>
        </w:tc>
        <w:tc>
          <w:tcPr>
            <w:tcW w:w="462" w:type="pct"/>
            <w:tcBorders>
              <w:tl2br w:val="nil"/>
              <w:tr2bl w:val="nil"/>
            </w:tcBorders>
            <w:shd w:val="clear" w:color="auto" w:fill="auto"/>
            <w:vAlign w:val="center"/>
          </w:tcPr>
          <w:p w14:paraId="47A2D8DD">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617" w:type="pct"/>
            <w:tcBorders>
              <w:tl2br w:val="nil"/>
              <w:tr2bl w:val="nil"/>
            </w:tcBorders>
            <w:shd w:val="clear" w:color="auto" w:fill="auto"/>
            <w:vAlign w:val="center"/>
          </w:tcPr>
          <w:p w14:paraId="5707E2DF">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565" w:type="pct"/>
            <w:tcBorders>
              <w:tl2br w:val="nil"/>
              <w:tr2bl w:val="nil"/>
            </w:tcBorders>
            <w:shd w:val="clear" w:color="auto" w:fill="auto"/>
            <w:vAlign w:val="center"/>
          </w:tcPr>
          <w:p w14:paraId="4F070BB5">
            <w:pPr>
              <w:adjustRightInd w:val="0"/>
              <w:snapToGrid w:val="0"/>
              <w:jc w:val="center"/>
              <w:rPr>
                <w:rFonts w:ascii="Times New Roman" w:hAnsi="Times New Roman" w:eastAsia="等线" w:cs="Times New Roman"/>
                <w:szCs w:val="21"/>
              </w:rPr>
            </w:pPr>
            <w:r>
              <w:rPr>
                <w:rFonts w:hint="eastAsia" w:ascii="Times New Roman" w:hAnsi="Times New Roman" w:eastAsia="等线" w:cs="Times New Roman"/>
                <w:szCs w:val="21"/>
              </w:rPr>
              <w:t>/</w:t>
            </w:r>
          </w:p>
        </w:tc>
        <w:tc>
          <w:tcPr>
            <w:tcW w:w="638" w:type="pct"/>
            <w:tcBorders>
              <w:tl2br w:val="nil"/>
              <w:tr2bl w:val="nil"/>
            </w:tcBorders>
            <w:shd w:val="clear" w:color="auto" w:fill="auto"/>
            <w:vAlign w:val="center"/>
          </w:tcPr>
          <w:p w14:paraId="6F2B0E22">
            <w:pPr>
              <w:widowControl/>
              <w:spacing w:before="31" w:beforeLines="10"/>
              <w:jc w:val="center"/>
              <w:rPr>
                <w:rFonts w:ascii="Times New Roman" w:hAnsi="Times New Roman" w:eastAsia="等线" w:cs="Times New Roman"/>
                <w:szCs w:val="21"/>
              </w:rPr>
            </w:pPr>
            <w:r>
              <w:rPr>
                <w:rFonts w:ascii="Times New Roman" w:hAnsi="Times New Roman" w:cs="Times New Roman"/>
                <w:snapToGrid w:val="0"/>
                <w:kern w:val="21"/>
                <w:szCs w:val="21"/>
              </w:rPr>
              <w:t>/</w:t>
            </w:r>
          </w:p>
        </w:tc>
        <w:tc>
          <w:tcPr>
            <w:tcW w:w="561" w:type="pct"/>
            <w:tcBorders>
              <w:tl2br w:val="nil"/>
              <w:tr2bl w:val="nil"/>
            </w:tcBorders>
            <w:shd w:val="clear" w:color="auto" w:fill="auto"/>
            <w:vAlign w:val="center"/>
          </w:tcPr>
          <w:p w14:paraId="0CEB145B">
            <w:pPr>
              <w:pStyle w:val="11"/>
              <w:adjustRightInd w:val="0"/>
              <w:snapToGrid w:val="0"/>
              <w:spacing w:line="240" w:lineRule="auto"/>
              <w:ind w:firstLine="0"/>
              <w:jc w:val="center"/>
              <w:rPr>
                <w:rFonts w:ascii="Times New Roman" w:hAnsi="Times New Roman" w:cs="Times New Roman"/>
                <w:sz w:val="21"/>
                <w:szCs w:val="21"/>
              </w:rPr>
            </w:pPr>
            <w:r>
              <w:rPr>
                <w:rFonts w:hint="eastAsia" w:ascii="Times New Roman" w:hAnsi="Times New Roman" w:eastAsia="等线" w:cs="Times New Roman"/>
                <w:sz w:val="21"/>
                <w:szCs w:val="21"/>
              </w:rPr>
              <w:t>7.</w:t>
            </w:r>
            <w:r>
              <w:rPr>
                <w:rFonts w:ascii="Times New Roman" w:hAnsi="Times New Roman" w:eastAsia="等线" w:cs="Times New Roman"/>
                <w:sz w:val="21"/>
                <w:szCs w:val="21"/>
              </w:rPr>
              <w:t>2t/a</w:t>
            </w:r>
          </w:p>
        </w:tc>
        <w:tc>
          <w:tcPr>
            <w:tcW w:w="448" w:type="pct"/>
            <w:tcBorders>
              <w:tl2br w:val="nil"/>
              <w:tr2bl w:val="nil"/>
            </w:tcBorders>
            <w:shd w:val="clear" w:color="auto" w:fill="auto"/>
            <w:vAlign w:val="center"/>
          </w:tcPr>
          <w:p w14:paraId="3143842A">
            <w:pPr>
              <w:adjustRightInd w:val="0"/>
              <w:snapToGrid w:val="0"/>
              <w:jc w:val="center"/>
              <w:rPr>
                <w:rFonts w:ascii="Times New Roman" w:hAnsi="Times New Roman" w:eastAsia="等线" w:cs="Times New Roman"/>
                <w:szCs w:val="21"/>
              </w:rPr>
            </w:pPr>
            <w:r>
              <w:rPr>
                <w:rFonts w:ascii="Times New Roman" w:hAnsi="Times New Roman" w:cs="Times New Roman"/>
                <w:snapToGrid w:val="0"/>
                <w:kern w:val="21"/>
                <w:szCs w:val="21"/>
              </w:rPr>
              <w:t>/</w:t>
            </w:r>
          </w:p>
        </w:tc>
      </w:tr>
      <w:tr w14:paraId="3FD9F1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69" w:type="pct"/>
            <w:vMerge w:val="continue"/>
            <w:tcBorders>
              <w:tl2br w:val="nil"/>
              <w:tr2bl w:val="nil"/>
            </w:tcBorders>
            <w:shd w:val="clear" w:color="auto" w:fill="auto"/>
            <w:vAlign w:val="center"/>
          </w:tcPr>
          <w:p w14:paraId="32BDDFA9">
            <w:pPr>
              <w:pStyle w:val="38"/>
              <w:widowControl/>
              <w:spacing w:before="31" w:line="240" w:lineRule="auto"/>
              <w:rPr>
                <w:rFonts w:hint="default" w:ascii="Times New Roman"/>
                <w:snapToGrid w:val="0"/>
                <w:kern w:val="21"/>
                <w:szCs w:val="21"/>
              </w:rPr>
            </w:pPr>
          </w:p>
        </w:tc>
        <w:tc>
          <w:tcPr>
            <w:tcW w:w="620" w:type="pct"/>
            <w:tcBorders>
              <w:tl2br w:val="nil"/>
              <w:tr2bl w:val="nil"/>
            </w:tcBorders>
            <w:shd w:val="clear" w:color="auto" w:fill="auto"/>
            <w:vAlign w:val="center"/>
          </w:tcPr>
          <w:p w14:paraId="173FA3E9">
            <w:pPr>
              <w:pStyle w:val="11"/>
              <w:adjustRightInd w:val="0"/>
              <w:snapToGrid w:val="0"/>
              <w:spacing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废锌粉包装袋</w:t>
            </w:r>
          </w:p>
        </w:tc>
        <w:tc>
          <w:tcPr>
            <w:tcW w:w="617" w:type="pct"/>
            <w:tcBorders>
              <w:tl2br w:val="nil"/>
              <w:tr2bl w:val="nil"/>
            </w:tcBorders>
            <w:shd w:val="clear" w:color="auto" w:fill="auto"/>
            <w:vAlign w:val="center"/>
          </w:tcPr>
          <w:p w14:paraId="13B17E77">
            <w:pPr>
              <w:pStyle w:val="11"/>
              <w:adjustRightInd w:val="0"/>
              <w:snapToGrid w:val="0"/>
              <w:spacing w:line="240" w:lineRule="auto"/>
              <w:ind w:firstLine="0"/>
              <w:jc w:val="center"/>
              <w:rPr>
                <w:rFonts w:ascii="Times New Roman" w:hAnsi="Times New Roman" w:eastAsia="等线" w:cs="Times New Roman"/>
                <w:sz w:val="21"/>
                <w:szCs w:val="21"/>
              </w:rPr>
            </w:pPr>
            <w:r>
              <w:rPr>
                <w:rFonts w:hint="eastAsia" w:ascii="Times New Roman" w:hAnsi="Times New Roman" w:cs="Times New Roman"/>
                <w:sz w:val="21"/>
                <w:szCs w:val="21"/>
              </w:rPr>
              <w:t>0.08</w:t>
            </w:r>
            <w:r>
              <w:rPr>
                <w:rFonts w:ascii="Times New Roman" w:hAnsi="Times New Roman" w:eastAsia="等线" w:cs="Times New Roman"/>
                <w:sz w:val="21"/>
                <w:szCs w:val="21"/>
              </w:rPr>
              <w:t>t/a</w:t>
            </w:r>
          </w:p>
        </w:tc>
        <w:tc>
          <w:tcPr>
            <w:tcW w:w="462" w:type="pct"/>
            <w:tcBorders>
              <w:tl2br w:val="nil"/>
              <w:tr2bl w:val="nil"/>
            </w:tcBorders>
            <w:shd w:val="clear" w:color="auto" w:fill="auto"/>
            <w:vAlign w:val="center"/>
          </w:tcPr>
          <w:p w14:paraId="132215F0">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617" w:type="pct"/>
            <w:tcBorders>
              <w:tl2br w:val="nil"/>
              <w:tr2bl w:val="nil"/>
            </w:tcBorders>
            <w:shd w:val="clear" w:color="auto" w:fill="auto"/>
            <w:vAlign w:val="center"/>
          </w:tcPr>
          <w:p w14:paraId="69F81B1C">
            <w:pPr>
              <w:widowControl/>
              <w:spacing w:before="31" w:beforeLines="10"/>
              <w:jc w:val="center"/>
              <w:rPr>
                <w:rFonts w:ascii="Times New Roman" w:hAnsi="Times New Roman" w:cs="Times New Roman"/>
                <w:snapToGrid w:val="0"/>
                <w:kern w:val="21"/>
                <w:szCs w:val="21"/>
              </w:rPr>
            </w:pPr>
            <w:r>
              <w:rPr>
                <w:rFonts w:ascii="Times New Roman" w:hAnsi="Times New Roman" w:cs="Times New Roman"/>
                <w:snapToGrid w:val="0"/>
                <w:kern w:val="21"/>
                <w:szCs w:val="21"/>
              </w:rPr>
              <w:t>/</w:t>
            </w:r>
          </w:p>
        </w:tc>
        <w:tc>
          <w:tcPr>
            <w:tcW w:w="565" w:type="pct"/>
            <w:tcBorders>
              <w:tl2br w:val="nil"/>
              <w:tr2bl w:val="nil"/>
            </w:tcBorders>
            <w:shd w:val="clear" w:color="auto" w:fill="auto"/>
            <w:vAlign w:val="center"/>
          </w:tcPr>
          <w:p w14:paraId="3EBBEB44">
            <w:pPr>
              <w:adjustRightInd w:val="0"/>
              <w:snapToGrid w:val="0"/>
              <w:jc w:val="center"/>
              <w:rPr>
                <w:rFonts w:ascii="Times New Roman" w:hAnsi="Times New Roman" w:eastAsia="等线" w:cs="Times New Roman"/>
                <w:szCs w:val="21"/>
              </w:rPr>
            </w:pPr>
            <w:r>
              <w:rPr>
                <w:rFonts w:hint="eastAsia" w:ascii="Times New Roman" w:hAnsi="Times New Roman" w:eastAsia="等线" w:cs="Times New Roman"/>
                <w:szCs w:val="21"/>
              </w:rPr>
              <w:t>/</w:t>
            </w:r>
          </w:p>
        </w:tc>
        <w:tc>
          <w:tcPr>
            <w:tcW w:w="638" w:type="pct"/>
            <w:tcBorders>
              <w:tl2br w:val="nil"/>
              <w:tr2bl w:val="nil"/>
            </w:tcBorders>
            <w:shd w:val="clear" w:color="auto" w:fill="auto"/>
            <w:vAlign w:val="center"/>
          </w:tcPr>
          <w:p w14:paraId="76521AA0">
            <w:pPr>
              <w:widowControl/>
              <w:spacing w:before="31" w:beforeLines="10"/>
              <w:jc w:val="center"/>
              <w:rPr>
                <w:rFonts w:ascii="Times New Roman" w:hAnsi="Times New Roman" w:eastAsia="等线" w:cs="Times New Roman"/>
                <w:szCs w:val="21"/>
              </w:rPr>
            </w:pPr>
            <w:r>
              <w:rPr>
                <w:rFonts w:ascii="Times New Roman" w:hAnsi="Times New Roman" w:cs="Times New Roman"/>
                <w:snapToGrid w:val="0"/>
                <w:kern w:val="21"/>
                <w:szCs w:val="21"/>
              </w:rPr>
              <w:t>/</w:t>
            </w:r>
          </w:p>
        </w:tc>
        <w:tc>
          <w:tcPr>
            <w:tcW w:w="561" w:type="pct"/>
            <w:tcBorders>
              <w:tl2br w:val="nil"/>
              <w:tr2bl w:val="nil"/>
            </w:tcBorders>
            <w:shd w:val="clear" w:color="auto" w:fill="auto"/>
            <w:vAlign w:val="center"/>
          </w:tcPr>
          <w:p w14:paraId="56E495CD">
            <w:pPr>
              <w:pStyle w:val="11"/>
              <w:adjustRightInd w:val="0"/>
              <w:snapToGrid w:val="0"/>
              <w:spacing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0.08</w:t>
            </w:r>
            <w:r>
              <w:rPr>
                <w:rFonts w:ascii="Times New Roman" w:hAnsi="Times New Roman" w:eastAsia="等线" w:cs="Times New Roman"/>
                <w:sz w:val="21"/>
                <w:szCs w:val="21"/>
              </w:rPr>
              <w:t>t/a</w:t>
            </w:r>
          </w:p>
        </w:tc>
        <w:tc>
          <w:tcPr>
            <w:tcW w:w="448" w:type="pct"/>
            <w:tcBorders>
              <w:tl2br w:val="nil"/>
              <w:tr2bl w:val="nil"/>
            </w:tcBorders>
            <w:shd w:val="clear" w:color="auto" w:fill="auto"/>
            <w:vAlign w:val="center"/>
          </w:tcPr>
          <w:p w14:paraId="190C5F3D">
            <w:pPr>
              <w:adjustRightInd w:val="0"/>
              <w:snapToGrid w:val="0"/>
              <w:jc w:val="center"/>
              <w:rPr>
                <w:rFonts w:ascii="Times New Roman" w:hAnsi="Times New Roman" w:eastAsia="等线" w:cs="Times New Roman"/>
                <w:szCs w:val="21"/>
              </w:rPr>
            </w:pPr>
            <w:r>
              <w:rPr>
                <w:rFonts w:ascii="Times New Roman" w:hAnsi="Times New Roman" w:cs="Times New Roman"/>
                <w:snapToGrid w:val="0"/>
                <w:kern w:val="21"/>
                <w:szCs w:val="21"/>
              </w:rPr>
              <w:t>/</w:t>
            </w:r>
          </w:p>
        </w:tc>
      </w:tr>
    </w:tbl>
    <w:p w14:paraId="6E9E3844">
      <w:pPr>
        <w:pStyle w:val="38"/>
        <w:widowControl/>
        <w:spacing w:before="249" w:beforeLines="80" w:after="24"/>
        <w:jc w:val="left"/>
        <w:rPr>
          <w:rFonts w:hint="default" w:ascii="Times New Roman"/>
          <w:snapToGrid w:val="0"/>
          <w:spacing w:val="-6"/>
          <w:kern w:val="21"/>
          <w:szCs w:val="21"/>
        </w:rPr>
      </w:pPr>
      <w:r>
        <w:rPr>
          <w:rFonts w:hint="default" w:ascii="Times New Roman"/>
          <w:snapToGrid w:val="0"/>
          <w:kern w:val="21"/>
          <w:szCs w:val="21"/>
        </w:rPr>
        <w:t>注：</w:t>
      </w:r>
      <w:r>
        <w:rPr>
          <w:rFonts w:hint="default" w:ascii="Times New Roman"/>
          <w:spacing w:val="-16"/>
          <w:kern w:val="21"/>
          <w:szCs w:val="21"/>
        </w:rPr>
        <w:fldChar w:fldCharType="begin"/>
      </w:r>
      <w:r>
        <w:rPr>
          <w:rFonts w:hint="default" w:ascii="Times New Roman"/>
          <w:snapToGrid w:val="0"/>
          <w:spacing w:val="-16"/>
          <w:kern w:val="21"/>
          <w:szCs w:val="21"/>
        </w:rPr>
        <w:instrText xml:space="preserve"> = 6 \* GB3 \* MERGEFORMAT </w:instrText>
      </w:r>
      <w:r>
        <w:rPr>
          <w:rFonts w:hint="default" w:ascii="Times New Roman"/>
          <w:spacing w:val="-16"/>
          <w:kern w:val="21"/>
          <w:szCs w:val="21"/>
        </w:rPr>
        <w:fldChar w:fldCharType="separate"/>
      </w:r>
      <w:r>
        <w:rPr>
          <w:rFonts w:hint="default" w:ascii="Times New Roman"/>
          <w:szCs w:val="21"/>
        </w:rPr>
        <w:t>⑥</w:t>
      </w:r>
      <w:r>
        <w:rPr>
          <w:rFonts w:hint="default" w:ascii="Times New Roman"/>
          <w:spacing w:val="-16"/>
          <w:kern w:val="21"/>
          <w:szCs w:val="21"/>
        </w:rPr>
        <w:fldChar w:fldCharType="end"/>
      </w:r>
      <w:r>
        <w:rPr>
          <w:rFonts w:hint="default" w:ascii="Times New Roman"/>
          <w:snapToGrid w:val="0"/>
          <w:spacing w:val="-16"/>
          <w:kern w:val="21"/>
          <w:szCs w:val="21"/>
        </w:rPr>
        <w:t>=</w:t>
      </w:r>
      <w:r>
        <w:rPr>
          <w:rFonts w:hint="default" w:ascii="Times New Roman"/>
          <w:spacing w:val="-6"/>
          <w:kern w:val="21"/>
          <w:szCs w:val="21"/>
        </w:rPr>
        <w:fldChar w:fldCharType="begin"/>
      </w:r>
      <w:r>
        <w:rPr>
          <w:rFonts w:hint="default" w:ascii="Times New Roman"/>
          <w:snapToGrid w:val="0"/>
          <w:spacing w:val="-6"/>
          <w:kern w:val="21"/>
          <w:szCs w:val="21"/>
        </w:rPr>
        <w:instrText xml:space="preserve"> = 1 \* GB3 \* MERGEFORMAT </w:instrText>
      </w:r>
      <w:r>
        <w:rPr>
          <w:rFonts w:hint="default" w:ascii="Times New Roman"/>
          <w:spacing w:val="-6"/>
          <w:kern w:val="21"/>
          <w:szCs w:val="21"/>
        </w:rPr>
        <w:fldChar w:fldCharType="separate"/>
      </w:r>
      <w:r>
        <w:rPr>
          <w:rFonts w:hint="default" w:ascii="Times New Roman"/>
          <w:szCs w:val="21"/>
        </w:rPr>
        <w:t>①</w:t>
      </w:r>
      <w:r>
        <w:rPr>
          <w:rFonts w:hint="default" w:ascii="Times New Roman"/>
          <w:spacing w:val="-6"/>
          <w:kern w:val="21"/>
          <w:szCs w:val="21"/>
        </w:rPr>
        <w:fldChar w:fldCharType="end"/>
      </w:r>
      <w:r>
        <w:rPr>
          <w:rFonts w:hint="default" w:ascii="Times New Roman"/>
          <w:snapToGrid w:val="0"/>
          <w:spacing w:val="-6"/>
          <w:kern w:val="21"/>
          <w:szCs w:val="21"/>
        </w:rPr>
        <w:t>+</w:t>
      </w:r>
      <w:r>
        <w:rPr>
          <w:rFonts w:hint="default" w:ascii="Times New Roman"/>
          <w:spacing w:val="-6"/>
          <w:kern w:val="21"/>
          <w:szCs w:val="21"/>
        </w:rPr>
        <w:fldChar w:fldCharType="begin"/>
      </w:r>
      <w:r>
        <w:rPr>
          <w:rFonts w:hint="default" w:ascii="Times New Roman"/>
          <w:snapToGrid w:val="0"/>
          <w:spacing w:val="-6"/>
          <w:kern w:val="21"/>
          <w:szCs w:val="21"/>
        </w:rPr>
        <w:instrText xml:space="preserve"> = 3 \* GB3 \* MERGEFORMAT </w:instrText>
      </w:r>
      <w:r>
        <w:rPr>
          <w:rFonts w:hint="default" w:ascii="Times New Roman"/>
          <w:spacing w:val="-6"/>
          <w:kern w:val="21"/>
          <w:szCs w:val="21"/>
        </w:rPr>
        <w:fldChar w:fldCharType="separate"/>
      </w:r>
      <w:r>
        <w:rPr>
          <w:rFonts w:hint="default" w:ascii="Times New Roman"/>
          <w:szCs w:val="21"/>
        </w:rPr>
        <w:t>③</w:t>
      </w:r>
      <w:r>
        <w:rPr>
          <w:rFonts w:hint="default" w:ascii="Times New Roman"/>
          <w:spacing w:val="-6"/>
          <w:kern w:val="21"/>
          <w:szCs w:val="21"/>
        </w:rPr>
        <w:fldChar w:fldCharType="end"/>
      </w:r>
      <w:r>
        <w:rPr>
          <w:rFonts w:hint="default" w:ascii="Times New Roman"/>
          <w:snapToGrid w:val="0"/>
          <w:spacing w:val="-6"/>
          <w:kern w:val="21"/>
          <w:szCs w:val="21"/>
        </w:rPr>
        <w:t>+</w:t>
      </w:r>
      <w:r>
        <w:rPr>
          <w:rFonts w:hint="default" w:ascii="Times New Roman"/>
          <w:spacing w:val="-6"/>
          <w:kern w:val="21"/>
          <w:szCs w:val="21"/>
        </w:rPr>
        <w:fldChar w:fldCharType="begin"/>
      </w:r>
      <w:r>
        <w:rPr>
          <w:rFonts w:hint="default" w:ascii="Times New Roman"/>
          <w:snapToGrid w:val="0"/>
          <w:spacing w:val="-6"/>
          <w:kern w:val="21"/>
          <w:szCs w:val="21"/>
        </w:rPr>
        <w:instrText xml:space="preserve"> = 4 \* GB3 \* MERGEFORMAT </w:instrText>
      </w:r>
      <w:r>
        <w:rPr>
          <w:rFonts w:hint="default" w:ascii="Times New Roman"/>
          <w:spacing w:val="-6"/>
          <w:kern w:val="21"/>
          <w:szCs w:val="21"/>
        </w:rPr>
        <w:fldChar w:fldCharType="separate"/>
      </w:r>
      <w:r>
        <w:rPr>
          <w:rFonts w:hint="default" w:ascii="Times New Roman"/>
          <w:szCs w:val="21"/>
        </w:rPr>
        <w:t>④</w:t>
      </w:r>
      <w:r>
        <w:rPr>
          <w:rFonts w:hint="default" w:ascii="Times New Roman"/>
          <w:spacing w:val="-6"/>
          <w:kern w:val="21"/>
          <w:szCs w:val="21"/>
        </w:rPr>
        <w:fldChar w:fldCharType="end"/>
      </w:r>
      <w:r>
        <w:rPr>
          <w:rFonts w:hint="default" w:ascii="Times New Roman"/>
          <w:snapToGrid w:val="0"/>
          <w:spacing w:val="-6"/>
          <w:kern w:val="21"/>
          <w:szCs w:val="21"/>
        </w:rPr>
        <w:t>-</w:t>
      </w:r>
      <w:r>
        <w:rPr>
          <w:rFonts w:hint="default" w:ascii="Times New Roman"/>
          <w:spacing w:val="-16"/>
          <w:kern w:val="21"/>
          <w:szCs w:val="21"/>
        </w:rPr>
        <w:fldChar w:fldCharType="begin"/>
      </w:r>
      <w:r>
        <w:rPr>
          <w:rFonts w:hint="default" w:ascii="Times New Roman"/>
          <w:snapToGrid w:val="0"/>
          <w:spacing w:val="-16"/>
          <w:kern w:val="21"/>
          <w:szCs w:val="21"/>
        </w:rPr>
        <w:instrText xml:space="preserve"> = 5 \* GB3 \* MERGEFORMAT </w:instrText>
      </w:r>
      <w:r>
        <w:rPr>
          <w:rFonts w:hint="default" w:ascii="Times New Roman"/>
          <w:spacing w:val="-16"/>
          <w:kern w:val="21"/>
          <w:szCs w:val="21"/>
        </w:rPr>
        <w:fldChar w:fldCharType="separate"/>
      </w:r>
      <w:r>
        <w:rPr>
          <w:rFonts w:hint="default" w:ascii="Times New Roman"/>
          <w:szCs w:val="21"/>
        </w:rPr>
        <w:t>⑤</w:t>
      </w:r>
      <w:r>
        <w:rPr>
          <w:rFonts w:hint="default" w:ascii="Times New Roman"/>
          <w:spacing w:val="-16"/>
          <w:kern w:val="21"/>
          <w:szCs w:val="21"/>
        </w:rPr>
        <w:fldChar w:fldCharType="end"/>
      </w:r>
      <w:r>
        <w:rPr>
          <w:rFonts w:hint="default" w:ascii="Times New Roman"/>
          <w:snapToGrid w:val="0"/>
          <w:spacing w:val="-16"/>
          <w:kern w:val="21"/>
          <w:szCs w:val="21"/>
        </w:rPr>
        <w:t>；</w:t>
      </w:r>
      <w:r>
        <w:rPr>
          <w:rFonts w:hint="default" w:ascii="Times New Roman"/>
          <w:spacing w:val="-6"/>
          <w:kern w:val="21"/>
          <w:szCs w:val="21"/>
        </w:rPr>
        <w:fldChar w:fldCharType="begin"/>
      </w:r>
      <w:r>
        <w:rPr>
          <w:rFonts w:hint="default" w:ascii="Times New Roman"/>
          <w:snapToGrid w:val="0"/>
          <w:spacing w:val="-6"/>
          <w:kern w:val="21"/>
          <w:szCs w:val="21"/>
        </w:rPr>
        <w:instrText xml:space="preserve"> = 7 \* GB3 \* MERGEFORMAT </w:instrText>
      </w:r>
      <w:r>
        <w:rPr>
          <w:rFonts w:hint="default" w:ascii="Times New Roman"/>
          <w:spacing w:val="-6"/>
          <w:kern w:val="21"/>
          <w:szCs w:val="21"/>
        </w:rPr>
        <w:fldChar w:fldCharType="separate"/>
      </w:r>
      <w:r>
        <w:rPr>
          <w:rFonts w:hint="default" w:ascii="Times New Roman"/>
          <w:szCs w:val="21"/>
        </w:rPr>
        <w:t>⑦</w:t>
      </w:r>
      <w:r>
        <w:rPr>
          <w:rFonts w:hint="default" w:ascii="Times New Roman"/>
          <w:spacing w:val="-6"/>
          <w:kern w:val="21"/>
          <w:szCs w:val="21"/>
        </w:rPr>
        <w:fldChar w:fldCharType="end"/>
      </w:r>
      <w:r>
        <w:rPr>
          <w:rFonts w:hint="default" w:ascii="Times New Roman"/>
          <w:snapToGrid w:val="0"/>
          <w:spacing w:val="-6"/>
          <w:kern w:val="21"/>
          <w:szCs w:val="21"/>
        </w:rPr>
        <w:t>=</w:t>
      </w:r>
      <w:r>
        <w:rPr>
          <w:rFonts w:hint="default" w:ascii="Times New Roman"/>
          <w:spacing w:val="-16"/>
          <w:kern w:val="21"/>
          <w:szCs w:val="21"/>
        </w:rPr>
        <w:fldChar w:fldCharType="begin"/>
      </w:r>
      <w:r>
        <w:rPr>
          <w:rFonts w:hint="default" w:ascii="Times New Roman"/>
          <w:snapToGrid w:val="0"/>
          <w:spacing w:val="-16"/>
          <w:kern w:val="21"/>
          <w:szCs w:val="21"/>
        </w:rPr>
        <w:instrText xml:space="preserve"> = 6 \* GB3 \* MERGEFORMAT </w:instrText>
      </w:r>
      <w:r>
        <w:rPr>
          <w:rFonts w:hint="default" w:ascii="Times New Roman"/>
          <w:spacing w:val="-16"/>
          <w:kern w:val="21"/>
          <w:szCs w:val="21"/>
        </w:rPr>
        <w:fldChar w:fldCharType="separate"/>
      </w:r>
      <w:r>
        <w:rPr>
          <w:rFonts w:hint="default" w:ascii="Times New Roman"/>
          <w:szCs w:val="21"/>
        </w:rPr>
        <w:t>⑥</w:t>
      </w:r>
      <w:r>
        <w:rPr>
          <w:rFonts w:hint="default" w:ascii="Times New Roman"/>
          <w:spacing w:val="-16"/>
          <w:kern w:val="21"/>
          <w:szCs w:val="21"/>
        </w:rPr>
        <w:fldChar w:fldCharType="end"/>
      </w:r>
      <w:r>
        <w:rPr>
          <w:rFonts w:hint="default" w:ascii="Times New Roman"/>
          <w:snapToGrid w:val="0"/>
          <w:spacing w:val="-16"/>
          <w:kern w:val="21"/>
          <w:szCs w:val="21"/>
        </w:rPr>
        <w:t>-</w:t>
      </w:r>
      <w:r>
        <w:rPr>
          <w:rFonts w:hint="default" w:ascii="Times New Roman"/>
          <w:spacing w:val="-6"/>
          <w:kern w:val="21"/>
          <w:szCs w:val="21"/>
        </w:rPr>
        <w:fldChar w:fldCharType="begin"/>
      </w:r>
      <w:r>
        <w:rPr>
          <w:rFonts w:hint="default" w:ascii="Times New Roman"/>
          <w:snapToGrid w:val="0"/>
          <w:spacing w:val="-6"/>
          <w:kern w:val="21"/>
          <w:szCs w:val="21"/>
        </w:rPr>
        <w:instrText xml:space="preserve"> = 1 \* GB3 \* MERGEFORMAT </w:instrText>
      </w:r>
      <w:r>
        <w:rPr>
          <w:rFonts w:hint="default" w:ascii="Times New Roman"/>
          <w:spacing w:val="-6"/>
          <w:kern w:val="21"/>
          <w:szCs w:val="21"/>
        </w:rPr>
        <w:fldChar w:fldCharType="separate"/>
      </w:r>
      <w:r>
        <w:rPr>
          <w:rFonts w:hint="default" w:ascii="Times New Roman"/>
          <w:szCs w:val="21"/>
        </w:rPr>
        <w:t>①</w:t>
      </w:r>
      <w:r>
        <w:rPr>
          <w:rFonts w:hint="default" w:ascii="Times New Roman"/>
          <w:spacing w:val="-6"/>
          <w:kern w:val="21"/>
          <w:szCs w:val="21"/>
        </w:rPr>
        <w:fldChar w:fldCharType="end"/>
      </w:r>
    </w:p>
    <w:sectPr>
      <w:pgSz w:w="16838" w:h="11906" w:orient="landscape"/>
      <w:pgMar w:top="1417" w:right="1417" w:bottom="1417" w:left="1417" w:header="1531" w:footer="850"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tibby" w:date="2025-06-21T10:37:36Z" w:initials="">
    <w:p w14:paraId="789016D7">
      <w:pPr>
        <w:pStyle w:val="8"/>
        <w:rPr>
          <w:rFonts w:hint="default" w:eastAsiaTheme="minorEastAsia"/>
          <w:lang w:val="en-US" w:eastAsia="zh-CN"/>
        </w:rPr>
      </w:pPr>
      <w:r>
        <w:rPr>
          <w:rFonts w:hint="eastAsia"/>
          <w:lang w:val="en-US" w:eastAsia="zh-CN"/>
        </w:rPr>
        <w:t>补充一个专章，专门编制项目与环保绩效A级企业要求</w:t>
      </w:r>
    </w:p>
  </w:comment>
  <w:comment w:id="1" w:author="lenovo" w:date="2025-06-09T16:57:38Z" w:initials="l">
    <w:p w14:paraId="4EFC629D">
      <w:pPr>
        <w:pStyle w:val="8"/>
      </w:pPr>
      <w:r>
        <w:annotationRef/>
      </w:r>
    </w:p>
  </w:comment>
  <w:comment w:id="2" w:author="Administrator" w:date="2025-06-13T10:28:38Z" w:initials="A">
    <w:p w14:paraId="5BA141BA">
      <w:pPr>
        <w:pStyle w:val="8"/>
      </w:pPr>
      <w:r>
        <w:rPr>
          <w:rFonts w:hint="eastAsia"/>
          <w:lang w:val="en-US" w:eastAsia="zh-CN"/>
        </w:rPr>
        <w:t>本项目是在</w:t>
      </w:r>
      <w:r>
        <w:rPr>
          <w:rFonts w:hint="eastAsia"/>
        </w:rPr>
        <w:t>现有项目没有改变的基础上扩大产能</w:t>
      </w:r>
    </w:p>
  </w:comment>
  <w:comment w:id="3" w:author="tibby" w:date="2025-06-21T10:39:40Z" w:initials="">
    <w:p w14:paraId="4F6A2A7C">
      <w:pPr>
        <w:pStyle w:val="8"/>
        <w:rPr>
          <w:rFonts w:hint="default" w:eastAsiaTheme="minorEastAsia"/>
          <w:lang w:val="en-US" w:eastAsia="zh-CN"/>
        </w:rPr>
      </w:pPr>
      <w:r>
        <w:rPr>
          <w:rFonts w:hint="eastAsia"/>
          <w:lang w:val="en-US" w:eastAsia="zh-CN"/>
        </w:rPr>
        <w:t>是不是依托在建项目废气排气筒</w:t>
      </w:r>
    </w:p>
  </w:comment>
  <w:comment w:id="4" w:author="lenovo" w:date="2025-06-09T17:03:04Z" w:initials="l">
    <w:p w14:paraId="1FFC3690">
      <w:pPr>
        <w:pStyle w:val="8"/>
        <w:rPr>
          <w:rFonts w:hint="default" w:eastAsiaTheme="minorEastAsia"/>
          <w:lang w:val="en-US" w:eastAsia="zh-CN"/>
        </w:rPr>
      </w:pPr>
      <w:r>
        <w:rPr>
          <w:rFonts w:hint="eastAsia"/>
          <w:lang w:eastAsia="zh-CN"/>
        </w:rPr>
        <w:t>改扩建项目应按照全厂进行梳理，在建项目和本项目均需要达到</w:t>
      </w:r>
      <w:r>
        <w:rPr>
          <w:rFonts w:hint="eastAsia"/>
          <w:lang w:val="en-US" w:eastAsia="zh-CN"/>
        </w:rPr>
        <w:t>A绩效水平</w:t>
      </w:r>
    </w:p>
  </w:comment>
  <w:comment w:id="5" w:author="Administrator" w:date="2025-06-13T10:31:19Z" w:initials="A">
    <w:p w14:paraId="3810650C">
      <w:pPr>
        <w:pStyle w:val="8"/>
        <w:rPr>
          <w:rFonts w:hint="default" w:eastAsiaTheme="minorEastAsia"/>
          <w:lang w:val="en-US" w:eastAsia="zh-CN"/>
        </w:rPr>
      </w:pPr>
      <w:r>
        <w:rPr>
          <w:rFonts w:hint="eastAsia"/>
          <w:lang w:val="en-US" w:eastAsia="zh-CN"/>
        </w:rPr>
        <w:t>已修改</w:t>
      </w:r>
    </w:p>
  </w:comment>
  <w:comment w:id="6" w:author="tibby" w:date="2025-06-21T10:42:07Z" w:initials="">
    <w:p w14:paraId="7FB925D8">
      <w:pPr>
        <w:pStyle w:val="8"/>
        <w:rPr>
          <w:rFonts w:hint="default" w:eastAsia="宋体"/>
          <w:lang w:val="en-US" w:eastAsia="zh-CN"/>
        </w:rPr>
      </w:pPr>
      <w:r>
        <w:rPr>
          <w:rFonts w:hint="eastAsia"/>
          <w:lang w:val="en-US" w:eastAsia="zh-CN"/>
        </w:rPr>
        <w:t>现有项目不是也有喷漆钢零件，为什么现有项目中仅有年处处理</w:t>
      </w:r>
      <w:r>
        <w:rPr>
          <w:rFonts w:hint="eastAsia" w:ascii="Times New Roman" w:hAnsi="Times New Roman" w:eastAsia="宋体" w:cs="Times New Roman"/>
          <w:color w:val="auto"/>
          <w:sz w:val="24"/>
        </w:rPr>
        <w:t>1500吨</w:t>
      </w:r>
      <w:r>
        <w:rPr>
          <w:rFonts w:hint="eastAsia" w:ascii="Times New Roman" w:hAnsi="Times New Roman" w:eastAsia="宋体"/>
          <w:color w:val="auto"/>
          <w:sz w:val="24"/>
        </w:rPr>
        <w:t>渗锌</w:t>
      </w:r>
      <w:r>
        <w:rPr>
          <w:rFonts w:hint="eastAsia" w:ascii="Times New Roman" w:hAnsi="Times New Roman" w:eastAsia="宋体" w:cs="Times New Roman"/>
          <w:color w:val="auto"/>
          <w:sz w:val="24"/>
        </w:rPr>
        <w:t>钢零件</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不要给我批注解释，在报告中详细说明</w:t>
      </w:r>
    </w:p>
  </w:comment>
  <w:comment w:id="7" w:author="tibby" w:date="2025-06-21T10:43:50Z" w:initials="">
    <w:p w14:paraId="23DD4159">
      <w:pPr>
        <w:pStyle w:val="8"/>
        <w:rPr>
          <w:rFonts w:hint="default" w:eastAsiaTheme="minorEastAsia"/>
          <w:lang w:val="en-US" w:eastAsia="zh-CN"/>
        </w:rPr>
      </w:pPr>
      <w:r>
        <w:rPr>
          <w:rFonts w:hint="eastAsia"/>
          <w:lang w:val="en-US" w:eastAsia="zh-CN"/>
        </w:rPr>
        <w:t>根据编制技术指南，按照扩建前、扩建后，变化量补充产品方案变化情况</w:t>
      </w:r>
    </w:p>
  </w:comment>
  <w:comment w:id="8" w:author="lenovo" w:date="2025-06-09T17:05:37Z" w:initials="l">
    <w:p w14:paraId="7E650692">
      <w:pPr>
        <w:pStyle w:val="8"/>
        <w:rPr>
          <w:rFonts w:hint="eastAsia" w:eastAsiaTheme="minorEastAsia"/>
          <w:lang w:eastAsia="zh-CN"/>
        </w:rPr>
      </w:pPr>
      <w:r>
        <w:rPr>
          <w:rFonts w:hint="eastAsia"/>
          <w:lang w:eastAsia="zh-CN"/>
        </w:rPr>
        <w:t>补充水性漆用量核算过程。</w:t>
      </w:r>
    </w:p>
  </w:comment>
  <w:comment w:id="9" w:author="Administrator" w:date="2025-06-10T21:13:22Z" w:initials="A">
    <w:p w14:paraId="4CEA3B0B">
      <w:pPr>
        <w:pStyle w:val="8"/>
        <w:rPr>
          <w:rFonts w:hint="default" w:eastAsiaTheme="minorEastAsia"/>
          <w:lang w:val="en-US" w:eastAsia="zh-CN"/>
        </w:rPr>
      </w:pPr>
      <w:r>
        <w:rPr>
          <w:rFonts w:hint="eastAsia"/>
          <w:lang w:val="en-US" w:eastAsia="zh-CN"/>
        </w:rPr>
        <w:t>见p25</w:t>
      </w:r>
    </w:p>
  </w:comment>
  <w:comment w:id="10" w:author="方解石" w:date="2025-06-09T21:28:00Z" w:initials="">
    <w:p w14:paraId="11F76346">
      <w:pPr>
        <w:pStyle w:val="8"/>
        <w:rPr>
          <w:rFonts w:hint="default" w:eastAsiaTheme="minorEastAsia"/>
          <w:lang w:val="en-US" w:eastAsia="zh-CN"/>
        </w:rPr>
      </w:pPr>
      <w:r>
        <w:rPr>
          <w:rFonts w:hint="eastAsia"/>
          <w:lang w:val="en-US" w:eastAsia="zh-CN"/>
        </w:rPr>
        <w:t>有什么不同</w:t>
      </w:r>
    </w:p>
  </w:comment>
  <w:comment w:id="11" w:author="Administrator" w:date="2025-06-10T21:13:41Z" w:initials="A">
    <w:p w14:paraId="1D0B6F8A">
      <w:pPr>
        <w:pStyle w:val="8"/>
        <w:rPr>
          <w:rFonts w:hint="eastAsia" w:eastAsiaTheme="minorEastAsia"/>
          <w:lang w:eastAsia="zh-CN"/>
        </w:rPr>
      </w:pPr>
      <w:r>
        <w:rPr>
          <w:rFonts w:hint="eastAsia"/>
          <w:lang w:eastAsia="zh-CN"/>
        </w:rPr>
        <w:t>钢零件为在建项目原料，外购钢零件为</w:t>
      </w:r>
      <w:r>
        <w:rPr>
          <w:rFonts w:hint="eastAsia" w:ascii="Times New Roman" w:hAnsi="Times New Roman" w:cs="Times New Roman"/>
          <w:sz w:val="24"/>
        </w:rPr>
        <w:t>订单内已完成</w:t>
      </w:r>
      <w:r>
        <w:rPr>
          <w:rFonts w:ascii="Times New Roman" w:hAnsi="Times New Roman" w:cs="Times New Roman"/>
          <w:sz w:val="24"/>
        </w:rPr>
        <w:t>渗锌</w:t>
      </w:r>
      <w:r>
        <w:rPr>
          <w:rFonts w:hint="eastAsia" w:ascii="Times New Roman" w:hAnsi="Times New Roman" w:cs="Times New Roman"/>
          <w:sz w:val="24"/>
        </w:rPr>
        <w:t>处理的钢零件</w:t>
      </w:r>
    </w:p>
  </w:comment>
  <w:comment w:id="12" w:author="tibby" w:date="2025-06-21T10:45:09Z" w:initials="">
    <w:p w14:paraId="58057847">
      <w:pPr>
        <w:pStyle w:val="8"/>
        <w:rPr>
          <w:rFonts w:hint="default" w:eastAsiaTheme="minorEastAsia"/>
          <w:lang w:val="en-US" w:eastAsia="zh-CN"/>
        </w:rPr>
      </w:pPr>
      <w:r>
        <w:rPr>
          <w:rFonts w:hint="eastAsia"/>
          <w:lang w:val="en-US" w:eastAsia="zh-CN"/>
        </w:rPr>
        <w:t>不要在这儿答复，请如实修改全文</w:t>
      </w:r>
    </w:p>
  </w:comment>
  <w:comment w:id="13" w:author="方解石" w:date="2025-06-09T21:27:25Z" w:initials="">
    <w:p w14:paraId="2CA54E66">
      <w:pPr>
        <w:pStyle w:val="8"/>
        <w:rPr>
          <w:rFonts w:hint="default" w:eastAsiaTheme="minorEastAsia"/>
          <w:lang w:val="en-US" w:eastAsia="zh-CN"/>
        </w:rPr>
      </w:pPr>
      <w:r>
        <w:rPr>
          <w:rFonts w:hint="eastAsia"/>
          <w:lang w:val="en-US" w:eastAsia="zh-CN"/>
        </w:rPr>
        <w:t>为什么扩建前后零部件增加了从1500增加到2500，用水性漆的量从3增加到13？</w:t>
      </w:r>
    </w:p>
  </w:comment>
  <w:comment w:id="14" w:author="Administrator" w:date="2025-06-10T21:14:55Z" w:initials="A">
    <w:p w14:paraId="2B380739">
      <w:pPr>
        <w:pStyle w:val="8"/>
        <w:rPr>
          <w:rFonts w:hint="default" w:eastAsiaTheme="minorEastAsia"/>
          <w:lang w:val="en-US" w:eastAsia="zh-CN"/>
        </w:rPr>
      </w:pPr>
      <w:r>
        <w:rPr>
          <w:rFonts w:hint="eastAsia"/>
          <w:lang w:eastAsia="zh-CN"/>
        </w:rPr>
        <w:t>扩建项目产品喷涂要求与在建项目不一样，喷涂厚度不一样。</w:t>
      </w:r>
    </w:p>
  </w:comment>
  <w:comment w:id="15" w:author="lenovo" w:date="2025-06-09T17:08:18Z" w:initials="l">
    <w:p w14:paraId="23BF28F5">
      <w:pPr>
        <w:pStyle w:val="8"/>
        <w:rPr>
          <w:rFonts w:hint="eastAsia" w:eastAsiaTheme="minorEastAsia"/>
          <w:lang w:eastAsia="zh-CN"/>
        </w:rPr>
      </w:pPr>
      <w:r>
        <w:rPr>
          <w:rFonts w:hint="eastAsia"/>
          <w:lang w:eastAsia="zh-CN"/>
        </w:rPr>
        <w:t>不是钢砂？</w:t>
      </w:r>
    </w:p>
  </w:comment>
  <w:comment w:id="16" w:author="Administrator" w:date="2025-06-10T21:11:47Z" w:initials="A">
    <w:p w14:paraId="2CFE03D1">
      <w:pPr>
        <w:pStyle w:val="8"/>
        <w:rPr>
          <w:rFonts w:hint="eastAsia" w:eastAsiaTheme="minorEastAsia"/>
          <w:lang w:eastAsia="zh-CN"/>
        </w:rPr>
      </w:pPr>
      <w:r>
        <w:rPr>
          <w:rFonts w:hint="eastAsia"/>
          <w:lang w:eastAsia="zh-CN"/>
        </w:rPr>
        <w:t>经与企业核实，用料为砂子</w:t>
      </w:r>
    </w:p>
  </w:comment>
  <w:comment w:id="17" w:author="方解石" w:date="2025-06-09T21:26:48Z" w:initials="">
    <w:p w14:paraId="315B653E">
      <w:pPr>
        <w:pStyle w:val="8"/>
        <w:rPr>
          <w:rFonts w:hint="default" w:eastAsiaTheme="minorEastAsia"/>
          <w:lang w:val="en-US" w:eastAsia="zh-CN"/>
        </w:rPr>
      </w:pPr>
      <w:r>
        <w:rPr>
          <w:rFonts w:hint="eastAsia"/>
          <w:lang w:val="en-US" w:eastAsia="zh-CN"/>
        </w:rPr>
        <w:t>这个量怎么来，给出核算过程</w:t>
      </w:r>
    </w:p>
  </w:comment>
  <w:comment w:id="18" w:author="Administrator" w:date="2025-06-10T21:12:57Z" w:initials="A">
    <w:p w14:paraId="177E7DDC">
      <w:pPr>
        <w:pStyle w:val="8"/>
        <w:rPr>
          <w:rFonts w:hint="default" w:eastAsiaTheme="minorEastAsia"/>
          <w:lang w:val="en-US" w:eastAsia="zh-CN"/>
        </w:rPr>
      </w:pPr>
      <w:r>
        <w:rPr>
          <w:rFonts w:hint="eastAsia"/>
          <w:lang w:eastAsia="zh-CN"/>
        </w:rPr>
        <w:t>见</w:t>
      </w:r>
      <w:r>
        <w:rPr>
          <w:rFonts w:hint="eastAsia"/>
          <w:lang w:val="en-US" w:eastAsia="zh-CN"/>
        </w:rPr>
        <w:t>P25</w:t>
      </w:r>
    </w:p>
  </w:comment>
  <w:comment w:id="19" w:author="tibby" w:date="2025-06-21T10:46:04Z" w:initials="">
    <w:p w14:paraId="0D065815">
      <w:pPr>
        <w:pStyle w:val="8"/>
        <w:rPr>
          <w:rFonts w:hint="default" w:eastAsiaTheme="minorEastAsia"/>
          <w:lang w:val="en-US" w:eastAsia="zh-CN"/>
        </w:rPr>
      </w:pPr>
      <w:r>
        <w:rPr>
          <w:rFonts w:hint="eastAsia"/>
          <w:lang w:val="en-US" w:eastAsia="zh-CN"/>
        </w:rPr>
        <w:t>涂料利用率55%，45%是成为了什么，补充物料平衡，涂料平衡，VOC平衡</w:t>
      </w:r>
    </w:p>
  </w:comment>
  <w:comment w:id="20" w:author="8226982991" w:date="2025-06-24T09:27:23Z" w:initials="">
    <w:p w14:paraId="39E93BE8">
      <w:pPr>
        <w:pStyle w:val="8"/>
        <w:rPr>
          <w:rFonts w:hint="default" w:eastAsiaTheme="minorEastAsia"/>
          <w:lang w:val="en-US" w:eastAsia="zh-CN"/>
        </w:rPr>
      </w:pPr>
      <w:r>
        <w:rPr>
          <w:rFonts w:hint="eastAsia"/>
          <w:lang w:val="en-US" w:eastAsia="zh-CN"/>
        </w:rPr>
        <w:t>已修改，voc平衡见p48</w:t>
      </w:r>
    </w:p>
  </w:comment>
  <w:comment w:id="21" w:author="lenovo" w:date="2025-06-09T17:10:18Z" w:initials="l">
    <w:p w14:paraId="6BD16C83">
      <w:pPr>
        <w:pStyle w:val="8"/>
        <w:rPr>
          <w:rFonts w:hint="eastAsia" w:eastAsiaTheme="minorEastAsia"/>
          <w:lang w:eastAsia="zh-CN"/>
        </w:rPr>
      </w:pPr>
      <w:r>
        <w:rPr>
          <w:rFonts w:hint="eastAsia"/>
          <w:lang w:eastAsia="zh-CN"/>
        </w:rPr>
        <w:t>这个和备案内容不一致</w:t>
      </w:r>
    </w:p>
  </w:comment>
  <w:comment w:id="22" w:author="Administrator" w:date="2025-06-13T10:18:31Z" w:initials="A">
    <w:p w14:paraId="36AE0A88">
      <w:pPr>
        <w:pStyle w:val="8"/>
      </w:pPr>
      <w:r>
        <w:rPr>
          <w:rFonts w:hint="eastAsia"/>
        </w:rPr>
        <w:t>喷砂房是给喷漆工序配套建设的</w:t>
      </w:r>
    </w:p>
  </w:comment>
  <w:comment w:id="23" w:author="lenovo" w:date="2025-06-09T16:56:52Z" w:initials="l">
    <w:p w14:paraId="506F3ECD">
      <w:pPr>
        <w:pStyle w:val="8"/>
        <w:rPr>
          <w:rFonts w:hint="eastAsia" w:eastAsiaTheme="minorEastAsia"/>
          <w:lang w:eastAsia="zh-CN"/>
        </w:rPr>
      </w:pPr>
      <w:r>
        <w:rPr>
          <w:rFonts w:hint="eastAsia"/>
          <w:lang w:eastAsia="zh-CN"/>
        </w:rPr>
        <w:t>还未验收？</w:t>
      </w:r>
    </w:p>
  </w:comment>
  <w:comment w:id="24" w:author="Administrator" w:date="2025-06-13T10:19:16Z" w:initials="A">
    <w:p w14:paraId="68B46E7A">
      <w:pPr>
        <w:pStyle w:val="8"/>
        <w:rPr>
          <w:rFonts w:hint="default" w:eastAsiaTheme="minorEastAsia"/>
          <w:lang w:val="en-US" w:eastAsia="zh-CN"/>
        </w:rPr>
      </w:pPr>
      <w:r>
        <w:rPr>
          <w:rFonts w:hint="eastAsia"/>
          <w:lang w:val="en-US" w:eastAsia="zh-CN"/>
        </w:rPr>
        <w:t>未验收，目前在施工阶段</w:t>
      </w:r>
    </w:p>
  </w:comment>
  <w:comment w:id="25" w:author="tibby" w:date="2025-06-21T10:48:38Z" w:initials="">
    <w:p w14:paraId="33E75565">
      <w:pPr>
        <w:pStyle w:val="8"/>
        <w:rPr>
          <w:rFonts w:hint="default" w:eastAsiaTheme="minorEastAsia"/>
          <w:lang w:val="en-US" w:eastAsia="zh-CN"/>
        </w:rPr>
      </w:pPr>
      <w:r>
        <w:rPr>
          <w:rFonts w:hint="eastAsia"/>
          <w:lang w:val="en-US" w:eastAsia="zh-CN"/>
        </w:rPr>
        <w:t>补充在建项目工艺流程及说明</w:t>
      </w:r>
    </w:p>
  </w:comment>
  <w:comment w:id="26" w:author="tibby" w:date="2025-06-21T10:47:47Z" w:initials="">
    <w:p w14:paraId="7042468E">
      <w:pPr>
        <w:pStyle w:val="8"/>
        <w:rPr>
          <w:rFonts w:hint="default" w:eastAsiaTheme="minorEastAsia"/>
          <w:lang w:val="en-US" w:eastAsia="zh-CN"/>
        </w:rPr>
      </w:pPr>
      <w:r>
        <w:rPr>
          <w:rFonts w:hint="eastAsia"/>
          <w:lang w:eastAsia="zh-CN"/>
        </w:rPr>
        <w:t>？？？</w:t>
      </w:r>
      <w:r>
        <w:rPr>
          <w:rFonts w:hint="eastAsia"/>
          <w:lang w:val="en-US" w:eastAsia="zh-CN"/>
        </w:rPr>
        <w:t>这是原有项目，怎么又提到扩建？</w:t>
      </w:r>
    </w:p>
  </w:comment>
  <w:comment w:id="27" w:author="tibby" w:date="2025-06-21T10:50:06Z" w:initials="">
    <w:p w14:paraId="07D4499E">
      <w:pPr>
        <w:pStyle w:val="8"/>
      </w:pPr>
      <w:r>
        <w:annotationRef/>
      </w:r>
    </w:p>
  </w:comment>
  <w:comment w:id="28" w:author="tibby" w:date="2025-06-21T10:50:06Z" w:initials="">
    <w:p w14:paraId="5FDF4547">
      <w:pPr>
        <w:pStyle w:val="8"/>
        <w:rPr>
          <w:rFonts w:hint="default" w:eastAsiaTheme="minorEastAsia"/>
          <w:lang w:val="en-US" w:eastAsia="zh-CN"/>
        </w:rPr>
      </w:pPr>
      <w:r>
        <w:rPr>
          <w:rFonts w:hint="eastAsia"/>
          <w:lang w:val="en-US" w:eastAsia="zh-CN"/>
        </w:rPr>
        <w:t>这应该是预测值！</w:t>
      </w:r>
    </w:p>
  </w:comment>
  <w:comment w:id="29" w:author="tibby" w:date="2025-06-21T10:50:36Z" w:initials="">
    <w:p w14:paraId="280C25B4">
      <w:pPr>
        <w:pStyle w:val="8"/>
        <w:rPr>
          <w:rFonts w:hint="default" w:eastAsiaTheme="minorEastAsia"/>
          <w:lang w:val="en-US" w:eastAsia="zh-CN"/>
        </w:rPr>
      </w:pPr>
      <w:r>
        <w:rPr>
          <w:rFonts w:hint="eastAsia"/>
          <w:lang w:val="en-US" w:eastAsia="zh-CN"/>
        </w:rPr>
        <w:t>如何为一般固废？废漆渣呢？属性，用量？</w:t>
      </w:r>
    </w:p>
  </w:comment>
  <w:comment w:id="30" w:author="lenovo" w:date="2025-06-09T17:12:47Z" w:initials="l">
    <w:p w14:paraId="5040276D">
      <w:pPr>
        <w:pStyle w:val="8"/>
        <w:rPr>
          <w:rFonts w:hint="eastAsia" w:eastAsiaTheme="minorEastAsia"/>
          <w:lang w:eastAsia="zh-CN"/>
        </w:rPr>
      </w:pPr>
      <w:r>
        <w:rPr>
          <w:rFonts w:hint="eastAsia"/>
          <w:lang w:eastAsia="zh-CN"/>
        </w:rPr>
        <w:t>明确监测时间在三年内，满足引用条件和要求</w:t>
      </w:r>
    </w:p>
  </w:comment>
  <w:comment w:id="31" w:author="Administrator" w:date="2025-06-13T12:00:14Z" w:initials="A">
    <w:p w14:paraId="421A7255">
      <w:pPr>
        <w:pStyle w:val="8"/>
        <w:rPr>
          <w:rFonts w:hint="eastAsia" w:eastAsiaTheme="minorEastAsia"/>
          <w:lang w:val="en-US" w:eastAsia="zh-CN"/>
        </w:rPr>
      </w:pPr>
      <w:r>
        <w:rPr>
          <w:rFonts w:hint="eastAsia"/>
          <w:lang w:val="en-US" w:eastAsia="zh-CN"/>
        </w:rPr>
        <w:t>已修改</w:t>
      </w:r>
    </w:p>
  </w:comment>
  <w:comment w:id="32" w:author="方解石" w:date="2025-06-09T21:12:48Z" w:initials="">
    <w:p w14:paraId="23614DB2">
      <w:pPr>
        <w:pStyle w:val="8"/>
        <w:rPr>
          <w:rFonts w:hint="default" w:eastAsiaTheme="minorEastAsia"/>
          <w:lang w:val="en-US" w:eastAsia="zh-CN"/>
        </w:rPr>
      </w:pPr>
      <w:r>
        <w:rPr>
          <w:rFonts w:hint="eastAsia"/>
          <w:lang w:val="en-US" w:eastAsia="zh-CN"/>
        </w:rPr>
        <w:t>更新，2024年</w:t>
      </w:r>
    </w:p>
  </w:comment>
  <w:comment w:id="33" w:author="Administrator" w:date="2025-06-13T10:52:40Z" w:initials="A">
    <w:p w14:paraId="50EF3D5F">
      <w:pPr>
        <w:pStyle w:val="8"/>
        <w:rPr>
          <w:rFonts w:hint="default" w:eastAsiaTheme="minorEastAsia"/>
          <w:lang w:val="en-US" w:eastAsia="zh-CN"/>
        </w:rPr>
      </w:pPr>
      <w:r>
        <w:rPr>
          <w:rFonts w:hint="eastAsia"/>
          <w:lang w:val="en-US" w:eastAsia="zh-CN"/>
        </w:rPr>
        <w:t>已更新</w:t>
      </w:r>
    </w:p>
  </w:comment>
  <w:comment w:id="34" w:author="lenovo" w:date="2025-06-09T17:14:52Z" w:initials="l">
    <w:p w14:paraId="7DD51995">
      <w:pPr>
        <w:pStyle w:val="8"/>
        <w:rPr>
          <w:rFonts w:hint="eastAsia" w:eastAsiaTheme="minorEastAsia"/>
          <w:lang w:eastAsia="zh-CN"/>
        </w:rPr>
      </w:pPr>
      <w:r>
        <w:rPr>
          <w:rFonts w:hint="eastAsia"/>
          <w:lang w:eastAsia="zh-CN"/>
        </w:rPr>
        <w:t>补充保护规模</w:t>
      </w:r>
    </w:p>
  </w:comment>
  <w:comment w:id="35" w:author="Administrator" w:date="2025-06-13T10:30:44Z" w:initials="A">
    <w:p w14:paraId="00D47DEC">
      <w:pPr>
        <w:pStyle w:val="8"/>
        <w:rPr>
          <w:rFonts w:hint="eastAsia" w:eastAsiaTheme="minorEastAsia"/>
          <w:lang w:val="en-US" w:eastAsia="zh-CN"/>
        </w:rPr>
      </w:pPr>
      <w:r>
        <w:rPr>
          <w:rFonts w:hint="eastAsia"/>
          <w:lang w:val="en-US" w:eastAsia="zh-CN"/>
        </w:rPr>
        <w:t>已补充</w:t>
      </w:r>
    </w:p>
  </w:comment>
  <w:comment w:id="36" w:author="方解石" w:date="2025-06-09T21:16:06Z" w:initials="">
    <w:p w14:paraId="6A5B1187">
      <w:pPr>
        <w:pStyle w:val="8"/>
        <w:rPr>
          <w:rFonts w:hint="default" w:eastAsiaTheme="minorEastAsia"/>
          <w:lang w:val="en-US" w:eastAsia="zh-CN"/>
        </w:rPr>
      </w:pPr>
      <w:r>
        <w:rPr>
          <w:rFonts w:hint="eastAsia"/>
          <w:lang w:val="en-US" w:eastAsia="zh-CN"/>
        </w:rPr>
        <w:t>按照在建项目、扩建项目，全厂排放量给出</w:t>
      </w:r>
    </w:p>
  </w:comment>
  <w:comment w:id="37" w:author="Administrator" w:date="2025-06-13T10:32:21Z" w:initials="A">
    <w:p w14:paraId="0FA3798C">
      <w:pPr>
        <w:pStyle w:val="8"/>
        <w:rPr>
          <w:rFonts w:hint="eastAsia" w:eastAsiaTheme="minorEastAsia"/>
          <w:lang w:val="en-US" w:eastAsia="zh-CN"/>
        </w:rPr>
      </w:pPr>
      <w:r>
        <w:rPr>
          <w:rFonts w:hint="eastAsia"/>
          <w:lang w:val="en-US" w:eastAsia="zh-CN"/>
        </w:rPr>
        <w:t>已修改</w:t>
      </w:r>
    </w:p>
  </w:comment>
  <w:comment w:id="38" w:author="tibby" w:date="2025-06-21T10:55:18Z" w:initials="">
    <w:p w14:paraId="5BB1104C">
      <w:pPr>
        <w:pStyle w:val="8"/>
        <w:rPr>
          <w:rFonts w:hint="default" w:eastAsiaTheme="minorEastAsia"/>
          <w:lang w:val="en-US" w:eastAsia="zh-CN"/>
        </w:rPr>
      </w:pPr>
      <w:r>
        <w:rPr>
          <w:rFonts w:hint="eastAsia"/>
          <w:lang w:val="en-US" w:eastAsia="zh-CN"/>
        </w:rPr>
        <w:t>依托在建项目排气筒合并排放</w:t>
      </w:r>
    </w:p>
  </w:comment>
  <w:comment w:id="39" w:author="方解石" w:date="2025-06-09T21:29:40Z" w:initials="">
    <w:p w14:paraId="7D370ED1">
      <w:pPr>
        <w:pStyle w:val="8"/>
        <w:rPr>
          <w:rFonts w:hint="default" w:eastAsiaTheme="minorEastAsia"/>
          <w:lang w:val="en-US" w:eastAsia="zh-CN"/>
        </w:rPr>
      </w:pPr>
      <w:r>
        <w:rPr>
          <w:rFonts w:hint="eastAsia"/>
          <w:lang w:val="en-US" w:eastAsia="zh-CN"/>
        </w:rPr>
        <w:t>给出核算过程，本项目叠加在建项目</w:t>
      </w:r>
    </w:p>
  </w:comment>
  <w:comment w:id="40" w:author="Administrator" w:date="2025-06-13T11:57:44Z" w:initials="A">
    <w:p w14:paraId="00AD03A5">
      <w:pPr>
        <w:pStyle w:val="8"/>
        <w:rPr>
          <w:rFonts w:hint="default" w:eastAsiaTheme="minorEastAsia"/>
          <w:lang w:val="en-US" w:eastAsia="zh-CN"/>
        </w:rPr>
      </w:pPr>
      <w:r>
        <w:rPr>
          <w:rFonts w:hint="eastAsia"/>
          <w:lang w:val="en-US" w:eastAsia="zh-CN"/>
        </w:rPr>
        <w:t>已添加核算依据进行核算。</w:t>
      </w:r>
    </w:p>
  </w:comment>
  <w:comment w:id="41" w:author="方解石" w:date="2025-06-09T21:30:41Z" w:initials="">
    <w:p w14:paraId="20210911">
      <w:pPr>
        <w:pStyle w:val="8"/>
        <w:rPr>
          <w:rFonts w:hint="default" w:eastAsiaTheme="minorEastAsia"/>
          <w:lang w:val="en-US" w:eastAsia="zh-CN"/>
        </w:rPr>
      </w:pPr>
      <w:r>
        <w:rPr>
          <w:rFonts w:hint="eastAsia"/>
          <w:lang w:val="en-US" w:eastAsia="zh-CN"/>
        </w:rPr>
        <w:t>喷涂废气为什么不与在建项目使用一套处理设施</w:t>
      </w:r>
    </w:p>
  </w:comment>
  <w:comment w:id="42" w:author="Administrator" w:date="2025-06-10T21:23:47Z" w:initials="A">
    <w:p w14:paraId="1E897E2C">
      <w:pPr>
        <w:pStyle w:val="8"/>
        <w:rPr>
          <w:rFonts w:hint="default" w:eastAsiaTheme="minorEastAsia"/>
          <w:lang w:val="en-US" w:eastAsia="zh-CN"/>
        </w:rPr>
      </w:pPr>
      <w:r>
        <w:rPr>
          <w:rFonts w:hint="eastAsia"/>
          <w:lang w:eastAsia="zh-CN"/>
        </w:rPr>
        <w:t>本项目喷涂</w:t>
      </w:r>
      <w:r>
        <w:rPr>
          <w:rFonts w:hint="eastAsia"/>
          <w:lang w:val="en-US" w:eastAsia="zh-CN"/>
        </w:rPr>
        <w:t>设备厂家已设计相关环保处理设施</w:t>
      </w:r>
    </w:p>
  </w:comment>
  <w:comment w:id="43" w:author="tibby" w:date="2025-06-21T10:58:45Z" w:initials="">
    <w:p w14:paraId="729C6167">
      <w:pPr>
        <w:pStyle w:val="8"/>
        <w:rPr>
          <w:rFonts w:hint="default"/>
          <w:lang w:val="en-US" w:eastAsia="zh-CN"/>
        </w:rPr>
      </w:pPr>
      <w:r>
        <w:rPr>
          <w:rFonts w:hint="eastAsia"/>
          <w:lang w:val="en-US" w:eastAsia="zh-CN"/>
        </w:rPr>
        <w:t>前后不一致，前面明确漆的固体分利用率55%，重新调整漆附着率，一般在70%以上</w:t>
      </w:r>
    </w:p>
    <w:p w14:paraId="657F207F">
      <w:pPr>
        <w:pStyle w:val="8"/>
        <w:rPr>
          <w:rFonts w:hint="eastAsia"/>
          <w:lang w:val="en-US" w:eastAsia="zh-CN"/>
        </w:rPr>
      </w:pPr>
    </w:p>
    <w:p w14:paraId="2BC410FB">
      <w:pPr>
        <w:pStyle w:val="8"/>
        <w:rPr>
          <w:rFonts w:hint="eastAsia"/>
          <w:lang w:val="en-US" w:eastAsia="zh-CN"/>
        </w:rPr>
      </w:pPr>
    </w:p>
    <w:p w14:paraId="73951DA0">
      <w:pPr>
        <w:pStyle w:val="8"/>
        <w:rPr>
          <w:rFonts w:hint="default"/>
          <w:lang w:val="en-US" w:eastAsia="zh-CN"/>
        </w:rPr>
      </w:pPr>
    </w:p>
  </w:comment>
  <w:comment w:id="44" w:author="tibby" w:date="2025-06-21T10:56:17Z" w:initials="">
    <w:p w14:paraId="79025883">
      <w:pPr>
        <w:pStyle w:val="8"/>
        <w:rPr>
          <w:rFonts w:hint="default" w:eastAsiaTheme="minorEastAsia"/>
          <w:lang w:val="en-US" w:eastAsia="zh-CN"/>
        </w:rPr>
      </w:pPr>
      <w:r>
        <w:rPr>
          <w:rFonts w:hint="eastAsia"/>
          <w:lang w:val="en-US" w:eastAsia="zh-CN"/>
        </w:rPr>
        <w:t>二级活性炭达不到85%，不可信！重新调整非甲烷总烃的去除效率；过滤棉对漆雾颗粒的去除效率多少？</w:t>
      </w:r>
    </w:p>
  </w:comment>
  <w:comment w:id="45" w:author="tibby" w:date="2025-06-21T11:01:45Z" w:initials="">
    <w:p w14:paraId="79BB5E9C">
      <w:pPr>
        <w:pStyle w:val="8"/>
        <w:rPr>
          <w:rFonts w:hint="default" w:eastAsiaTheme="minorEastAsia"/>
          <w:lang w:val="en-US" w:eastAsia="zh-CN"/>
        </w:rPr>
      </w:pPr>
      <w:r>
        <w:rPr>
          <w:rFonts w:hint="eastAsia"/>
          <w:lang w:val="en-US" w:eastAsia="zh-CN"/>
        </w:rPr>
        <w:t>校核，达不到</w:t>
      </w:r>
    </w:p>
  </w:comment>
  <w:comment w:id="46" w:author="8226982991" w:date="2025-06-24T11:35:56Z" w:initials="">
    <w:p w14:paraId="16F703EF">
      <w:pPr>
        <w:pStyle w:val="8"/>
        <w:rPr>
          <w:rFonts w:hint="eastAsia" w:eastAsiaTheme="minorEastAsia"/>
          <w:lang w:val="en-US" w:eastAsia="zh-CN"/>
        </w:rPr>
      </w:pPr>
      <w:r>
        <w:rPr>
          <w:rFonts w:hint="eastAsia"/>
          <w:lang w:val="en-US" w:eastAsia="zh-CN"/>
        </w:rPr>
        <w:t>已修改</w:t>
      </w:r>
    </w:p>
  </w:comment>
  <w:comment w:id="47" w:author="tibby" w:date="2025-06-21T11:03:52Z" w:initials="">
    <w:p w14:paraId="6BCB210A">
      <w:pPr>
        <w:pStyle w:val="8"/>
        <w:rPr>
          <w:rFonts w:hint="default" w:eastAsiaTheme="minorEastAsia"/>
          <w:lang w:val="en-US" w:eastAsia="zh-CN"/>
        </w:rPr>
      </w:pPr>
      <w:r>
        <w:rPr>
          <w:rFonts w:hint="eastAsia"/>
          <w:lang w:val="en-US" w:eastAsia="zh-CN"/>
        </w:rPr>
        <w:t>监测频次不对，重新参照《排污单位自行监测技术指南 涂装》的要求，核实自行监测频次。</w:t>
      </w:r>
    </w:p>
  </w:comment>
  <w:comment w:id="48" w:author="tibby" w:date="2025-06-21T11:05:35Z" w:initials="">
    <w:p w14:paraId="3713096B">
      <w:pPr>
        <w:pStyle w:val="8"/>
        <w:rPr>
          <w:rFonts w:hint="default" w:eastAsiaTheme="minorEastAsia"/>
          <w:lang w:val="en-US" w:eastAsia="zh-CN"/>
        </w:rPr>
      </w:pPr>
      <w:r>
        <w:rPr>
          <w:rFonts w:hint="eastAsia"/>
          <w:lang w:val="en-US" w:eastAsia="zh-CN"/>
        </w:rPr>
        <w:t>监测频次一一校核，不对！</w:t>
      </w:r>
    </w:p>
  </w:comment>
  <w:comment w:id="49" w:author="tibby" w:date="2025-06-21T11:02:33Z" w:initials="">
    <w:p w14:paraId="6F8A59F0">
      <w:pPr>
        <w:pStyle w:val="8"/>
        <w:rPr>
          <w:rFonts w:hint="default" w:eastAsiaTheme="minorEastAsia"/>
          <w:lang w:val="en-US" w:eastAsia="zh-CN"/>
        </w:rPr>
      </w:pPr>
      <w:r>
        <w:rPr>
          <w:rFonts w:hint="eastAsia"/>
          <w:lang w:val="en-US" w:eastAsia="zh-CN"/>
        </w:rPr>
        <w:t>不是2个点位吗</w:t>
      </w:r>
    </w:p>
  </w:comment>
  <w:comment w:id="50" w:author="tibby" w:date="2025-06-21T11:04:53Z" w:initials="">
    <w:p w14:paraId="3E906F18">
      <w:pPr>
        <w:pStyle w:val="8"/>
        <w:rPr>
          <w:rFonts w:hint="eastAsia" w:eastAsiaTheme="minorEastAsia"/>
          <w:lang w:val="en-US" w:eastAsia="zh-CN"/>
        </w:rPr>
      </w:pPr>
      <w:r>
        <w:rPr>
          <w:rFonts w:hint="eastAsia"/>
          <w:lang w:val="en-US" w:eastAsia="zh-CN"/>
        </w:rPr>
        <w:t>半年一次</w:t>
      </w:r>
    </w:p>
  </w:comment>
  <w:comment w:id="51" w:author="tibby" w:date="2025-06-21T11:06:21Z" w:initials="">
    <w:p w14:paraId="5BDA7833">
      <w:pPr>
        <w:pStyle w:val="8"/>
        <w:rPr>
          <w:rFonts w:hint="eastAsia"/>
          <w:lang w:val="en-US" w:eastAsia="zh-CN"/>
        </w:rPr>
      </w:pPr>
      <w:r>
        <w:rPr>
          <w:rFonts w:hint="eastAsia"/>
          <w:lang w:val="en-US" w:eastAsia="zh-CN"/>
        </w:rPr>
        <w:t>表中做的不对，噪声预测重新做，厂界以贡献值表征，叠加在建项目贡献值；敏感点为预测值，叠加背景，叠加在建项目贡献值，最终得到预测值；</w:t>
      </w:r>
    </w:p>
    <w:p w14:paraId="3AC22522">
      <w:pPr>
        <w:pStyle w:val="8"/>
        <w:rPr>
          <w:rFonts w:hint="default"/>
          <w:lang w:val="en-US" w:eastAsia="zh-CN"/>
        </w:rPr>
      </w:pPr>
    </w:p>
  </w:comment>
  <w:comment w:id="52" w:author="tibby" w:date="2025-06-21T11:08:11Z" w:initials="">
    <w:p w14:paraId="76F97AEC">
      <w:pPr>
        <w:pStyle w:val="8"/>
        <w:rPr>
          <w:rFonts w:hint="default" w:eastAsiaTheme="minorEastAsia"/>
          <w:lang w:val="en-US" w:eastAsia="zh-CN"/>
        </w:rPr>
      </w:pPr>
      <w:r>
        <w:rPr>
          <w:rFonts w:hint="eastAsia"/>
          <w:lang w:val="en-US" w:eastAsia="zh-CN"/>
        </w:rPr>
        <w:t>未列入则需要鉴别！有回复！水性漆桶内部有塑料膜隔离，一般不沾染水性漆的为一般固废！</w:t>
      </w:r>
    </w:p>
  </w:comment>
  <w:comment w:id="53" w:author="tibby" w:date="2025-06-21T11:08:11Z" w:initials="">
    <w:p w14:paraId="23F04E21">
      <w:pPr>
        <w:pStyle w:val="8"/>
        <w:rPr>
          <w:rFonts w:hint="default" w:eastAsiaTheme="minorEastAsia"/>
          <w:lang w:val="en-US" w:eastAsia="zh-CN"/>
        </w:rPr>
      </w:pPr>
      <w:r>
        <w:rPr>
          <w:rFonts w:hint="eastAsia"/>
          <w:lang w:val="en-US" w:eastAsia="zh-CN"/>
        </w:rPr>
        <w:t>未列入则需要鉴别！有回复！水性漆桶内部有塑料膜隔离，一般不沾染水性漆的为一般固废！</w:t>
      </w:r>
    </w:p>
  </w:comment>
  <w:comment w:id="54" w:author="lenovo" w:date="2025-06-09T17:01:24Z" w:initials="l">
    <w:p w14:paraId="7C79191D">
      <w:pPr>
        <w:pStyle w:val="8"/>
        <w:rPr>
          <w:rFonts w:hint="eastAsia" w:eastAsiaTheme="minorEastAsia"/>
          <w:lang w:eastAsia="zh-CN"/>
        </w:rPr>
      </w:pPr>
      <w:r>
        <w:rPr>
          <w:rFonts w:hint="eastAsia"/>
          <w:lang w:eastAsia="zh-CN"/>
        </w:rPr>
        <w:t>备案中无此内容</w:t>
      </w:r>
    </w:p>
  </w:comment>
  <w:comment w:id="55" w:author="Administrator" w:date="2025-06-13T10:35:41Z" w:initials="A">
    <w:p w14:paraId="1C6855AC">
      <w:pPr>
        <w:pStyle w:val="8"/>
      </w:pPr>
      <w:r>
        <w:rPr>
          <w:rFonts w:hint="eastAsia"/>
        </w:rPr>
        <w:t>喷砂是给喷漆工序配套建设的</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89016D7" w15:done="0"/>
  <w15:commentEx w15:paraId="4EFC629D" w15:done="0"/>
  <w15:commentEx w15:paraId="5BA141BA" w15:done="0" w15:paraIdParent="4EFC629D"/>
  <w15:commentEx w15:paraId="4F6A2A7C" w15:done="0"/>
  <w15:commentEx w15:paraId="1FFC3690" w15:done="1"/>
  <w15:commentEx w15:paraId="3810650C" w15:done="0" w15:paraIdParent="1FFC3690"/>
  <w15:commentEx w15:paraId="7FB925D8" w15:done="0"/>
  <w15:commentEx w15:paraId="23DD4159" w15:done="0"/>
  <w15:commentEx w15:paraId="7E650692" w15:done="0"/>
  <w15:commentEx w15:paraId="4CEA3B0B" w15:done="0" w15:paraIdParent="7E650692"/>
  <w15:commentEx w15:paraId="11F76346" w15:done="0"/>
  <w15:commentEx w15:paraId="1D0B6F8A" w15:done="0" w15:paraIdParent="11F76346"/>
  <w15:commentEx w15:paraId="58057847" w15:done="0" w15:paraIdParent="11F76346"/>
  <w15:commentEx w15:paraId="2CA54E66" w15:done="0"/>
  <w15:commentEx w15:paraId="2B380739" w15:done="0" w15:paraIdParent="2CA54E66"/>
  <w15:commentEx w15:paraId="23BF28F5" w15:done="0"/>
  <w15:commentEx w15:paraId="2CFE03D1" w15:done="0" w15:paraIdParent="23BF28F5"/>
  <w15:commentEx w15:paraId="315B653E" w15:done="0"/>
  <w15:commentEx w15:paraId="177E7DDC" w15:done="0" w15:paraIdParent="315B653E"/>
  <w15:commentEx w15:paraId="0D065815" w15:done="0"/>
  <w15:commentEx w15:paraId="39E93BE8" w15:done="0" w15:paraIdParent="0D065815"/>
  <w15:commentEx w15:paraId="6BD16C83" w15:done="0"/>
  <w15:commentEx w15:paraId="36AE0A88" w15:done="0" w15:paraIdParent="6BD16C83"/>
  <w15:commentEx w15:paraId="506F3ECD" w15:done="0"/>
  <w15:commentEx w15:paraId="68B46E7A" w15:done="0" w15:paraIdParent="506F3ECD"/>
  <w15:commentEx w15:paraId="33E75565" w15:done="0"/>
  <w15:commentEx w15:paraId="7042468E" w15:done="0"/>
  <w15:commentEx w15:paraId="07D4499E" w15:done="0"/>
  <w15:commentEx w15:paraId="5FDF4547" w15:done="0" w15:paraIdParent="07D4499E"/>
  <w15:commentEx w15:paraId="280C25B4" w15:done="0"/>
  <w15:commentEx w15:paraId="5040276D" w15:done="1"/>
  <w15:commentEx w15:paraId="421A7255" w15:done="0" w15:paraIdParent="5040276D"/>
  <w15:commentEx w15:paraId="23614DB2" w15:done="1"/>
  <w15:commentEx w15:paraId="50EF3D5F" w15:done="0" w15:paraIdParent="23614DB2"/>
  <w15:commentEx w15:paraId="7DD51995" w15:done="1"/>
  <w15:commentEx w15:paraId="00D47DEC" w15:done="0" w15:paraIdParent="7DD51995"/>
  <w15:commentEx w15:paraId="6A5B1187" w15:done="1"/>
  <w15:commentEx w15:paraId="0FA3798C" w15:done="0" w15:paraIdParent="6A5B1187"/>
  <w15:commentEx w15:paraId="5BB1104C" w15:done="0"/>
  <w15:commentEx w15:paraId="7D370ED1" w15:done="0"/>
  <w15:commentEx w15:paraId="00AD03A5" w15:done="0" w15:paraIdParent="7D370ED1"/>
  <w15:commentEx w15:paraId="20210911" w15:done="0"/>
  <w15:commentEx w15:paraId="1E897E2C" w15:done="0" w15:paraIdParent="20210911"/>
  <w15:commentEx w15:paraId="73951DA0" w15:done="0"/>
  <w15:commentEx w15:paraId="79025883" w15:done="0"/>
  <w15:commentEx w15:paraId="79BB5E9C" w15:done="0"/>
  <w15:commentEx w15:paraId="16F703EF" w15:done="0" w15:paraIdParent="79BB5E9C"/>
  <w15:commentEx w15:paraId="6BCB210A" w15:done="0"/>
  <w15:commentEx w15:paraId="3713096B" w15:done="0"/>
  <w15:commentEx w15:paraId="6F8A59F0" w15:done="0"/>
  <w15:commentEx w15:paraId="3E906F18" w15:done="0"/>
  <w15:commentEx w15:paraId="3AC22522" w15:done="0"/>
  <w15:commentEx w15:paraId="76F97AEC" w15:done="0"/>
  <w15:commentEx w15:paraId="23F04E21" w15:done="0"/>
  <w15:commentEx w15:paraId="7C79191D" w15:done="0"/>
  <w15:commentEx w15:paraId="1C6855AC" w15:done="0" w15:paraIdParent="7C79191D"/>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70175FC-4D88-4B55-9F75-9A59FBF7607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2" w:fontKey="{F72BBE22-2C09-4F62-86FD-9C8578CCFCED}"/>
  </w:font>
  <w:font w:name="楷体">
    <w:panose1 w:val="02010609060101010101"/>
    <w:charset w:val="86"/>
    <w:family w:val="modern"/>
    <w:pitch w:val="default"/>
    <w:sig w:usb0="800002BF" w:usb1="38CF7CFA" w:usb2="00000016" w:usb3="00000000" w:csb0="00040001" w:csb1="00000000"/>
  </w:font>
  <w:font w:name="Georgia">
    <w:panose1 w:val="02040502050405020303"/>
    <w:charset w:val="00"/>
    <w:family w:val="roman"/>
    <w:pitch w:val="default"/>
    <w:sig w:usb0="00000287" w:usb1="00000000" w:usb2="00000000" w:usb3="00000000" w:csb0="2000009F" w:csb1="00000000"/>
  </w:font>
  <w:font w:name="楷体_GB2312">
    <w:panose1 w:val="02010609030101010101"/>
    <w:charset w:val="86"/>
    <w:family w:val="auto"/>
    <w:pitch w:val="default"/>
    <w:sig w:usb0="00000001" w:usb1="080E0000" w:usb2="00000000" w:usb3="00000000" w:csb0="00040000" w:csb1="00000000"/>
    <w:embedRegular r:id="rId3" w:fontKey="{ABF0773F-0946-49F5-A4B2-B77F97201C2A}"/>
  </w:font>
  <w:font w:name="仿宋_GB2312">
    <w:panose1 w:val="02010609030101010101"/>
    <w:charset w:val="86"/>
    <w:family w:val="modern"/>
    <w:pitch w:val="default"/>
    <w:sig w:usb0="00000001" w:usb1="080E0000" w:usb2="00000000" w:usb3="00000000" w:csb0="00040000" w:csb1="00000000"/>
    <w:embedRegular r:id="rId4" w:fontKey="{0E1EA048-6F86-41E7-834E-2B3B90EEBF47}"/>
  </w:font>
  <w:font w:name="方正小标宋_GBK">
    <w:panose1 w:val="02000000000000000000"/>
    <w:charset w:val="86"/>
    <w:family w:val="auto"/>
    <w:pitch w:val="default"/>
    <w:sig w:usb0="A00002BF" w:usb1="38CF7CFA" w:usb2="00082016" w:usb3="00000000" w:csb0="00040001" w:csb1="00000000"/>
    <w:embedRegular r:id="rId5" w:fontKey="{6B03D64F-B302-43D3-A294-302B84D83C49}"/>
  </w:font>
  <w:font w:name="华文仿宋">
    <w:panose1 w:val="02010600040101010101"/>
    <w:charset w:val="86"/>
    <w:family w:val="auto"/>
    <w:pitch w:val="default"/>
    <w:sig w:usb0="00000287" w:usb1="080F0000" w:usb2="00000000" w:usb3="00000000" w:csb0="0004009F" w:csb1="DFD70000"/>
    <w:embedRegular r:id="rId6" w:fontKey="{26720543-CE7E-4FC8-810D-94C740444BA8}"/>
  </w:font>
  <w:font w:name="PingFang SC">
    <w:altName w:val="宋体"/>
    <w:panose1 w:val="020B0400000000000000"/>
    <w:charset w:val="86"/>
    <w:family w:val="auto"/>
    <w:pitch w:val="default"/>
    <w:sig w:usb0="00000000" w:usb1="00000000" w:usb2="00000017" w:usb3="00000000" w:csb0="00040001" w:csb1="00000000"/>
    <w:embedRegular r:id="rId7" w:fontKey="{02F1B657-0D1E-4D0C-B7A8-6FA91115F210}"/>
  </w:font>
  <w:font w:name="等线">
    <w:panose1 w:val="02010600030101010101"/>
    <w:charset w:val="86"/>
    <w:family w:val="auto"/>
    <w:pitch w:val="default"/>
    <w:sig w:usb0="A00002BF" w:usb1="38CF7CFA" w:usb2="00000016" w:usb3="00000000" w:csb0="0004000F" w:csb1="00000000"/>
    <w:embedRegular r:id="rId8" w:fontKey="{1715C697-150C-4F99-8C6B-E4094A34DF5B}"/>
  </w:font>
  <w:font w:name="Times New Roman Regular">
    <w:altName w:val="Times New Roman"/>
    <w:panose1 w:val="02020503050405090304"/>
    <w:charset w:val="00"/>
    <w:family w:val="auto"/>
    <w:pitch w:val="default"/>
    <w:sig w:usb0="00000000" w:usb1="00000000" w:usb2="00000001" w:usb3="00000000" w:csb0="400001BF" w:csb1="DFF70000"/>
    <w:embedRegular r:id="rId9" w:fontKey="{1ACF0834-3BC2-4935-94DC-3006DA0C5B1E}"/>
  </w:font>
  <w:font w:name="新宋体">
    <w:panose1 w:val="02010609030101010101"/>
    <w:charset w:val="86"/>
    <w:family w:val="modern"/>
    <w:pitch w:val="default"/>
    <w:sig w:usb0="00000203" w:usb1="288F0000" w:usb2="00000006" w:usb3="00000000" w:csb0="00040001" w:csb1="00000000"/>
    <w:embedRegular r:id="rId10" w:fontKey="{E1205944-C92B-4654-AC97-2F8B780E42D8}"/>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62C28">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B6456A">
                          <w:pPr>
                            <w:pStyle w:val="15"/>
                            <w:rPr>
                              <w:rFonts w:ascii="Times New Roman" w:hAnsi="Times New Roman" w:cs="Times New Roman"/>
                              <w:sz w:val="21"/>
                              <w:szCs w:val="21"/>
                            </w:rPr>
                          </w:pPr>
                          <w:r>
                            <w:rPr>
                              <w:rFonts w:ascii="Times New Roman" w:hAnsi="Times New Roman" w:cs="Times New Roman"/>
                              <w:b/>
                              <w:bCs/>
                              <w:sz w:val="21"/>
                              <w:szCs w:val="21"/>
                            </w:rPr>
                            <w:fldChar w:fldCharType="begin"/>
                          </w:r>
                          <w:r>
                            <w:rPr>
                              <w:rFonts w:ascii="Times New Roman" w:hAnsi="Times New Roman" w:cs="Times New Roman"/>
                              <w:b/>
                              <w:bCs/>
                              <w:sz w:val="21"/>
                              <w:szCs w:val="21"/>
                            </w:rPr>
                            <w:instrText xml:space="preserve"> PAGE  \* MERGEFORMAT </w:instrText>
                          </w:r>
                          <w:r>
                            <w:rPr>
                              <w:rFonts w:ascii="Times New Roman" w:hAnsi="Times New Roman" w:cs="Times New Roman"/>
                              <w:b/>
                              <w:bCs/>
                              <w:sz w:val="21"/>
                              <w:szCs w:val="21"/>
                            </w:rPr>
                            <w:fldChar w:fldCharType="separate"/>
                          </w:r>
                          <w:r>
                            <w:rPr>
                              <w:rFonts w:ascii="Times New Roman" w:hAnsi="Times New Roman" w:cs="Times New Roman"/>
                              <w:b/>
                              <w:bCs/>
                              <w:sz w:val="21"/>
                              <w:szCs w:val="21"/>
                            </w:rPr>
                            <w:t>34</w:t>
                          </w:r>
                          <w:r>
                            <w:rPr>
                              <w:rFonts w:ascii="Times New Roman" w:hAnsi="Times New Roman" w:cs="Times New Roman"/>
                              <w:b/>
                              <w:bCs/>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6B6456A">
                    <w:pPr>
                      <w:pStyle w:val="15"/>
                      <w:rPr>
                        <w:rFonts w:ascii="Times New Roman" w:hAnsi="Times New Roman" w:cs="Times New Roman"/>
                        <w:sz w:val="21"/>
                        <w:szCs w:val="21"/>
                      </w:rPr>
                    </w:pPr>
                    <w:r>
                      <w:rPr>
                        <w:rFonts w:ascii="Times New Roman" w:hAnsi="Times New Roman" w:cs="Times New Roman"/>
                        <w:b/>
                        <w:bCs/>
                        <w:sz w:val="21"/>
                        <w:szCs w:val="21"/>
                      </w:rPr>
                      <w:fldChar w:fldCharType="begin"/>
                    </w:r>
                    <w:r>
                      <w:rPr>
                        <w:rFonts w:ascii="Times New Roman" w:hAnsi="Times New Roman" w:cs="Times New Roman"/>
                        <w:b/>
                        <w:bCs/>
                        <w:sz w:val="21"/>
                        <w:szCs w:val="21"/>
                      </w:rPr>
                      <w:instrText xml:space="preserve"> PAGE  \* MERGEFORMAT </w:instrText>
                    </w:r>
                    <w:r>
                      <w:rPr>
                        <w:rFonts w:ascii="Times New Roman" w:hAnsi="Times New Roman" w:cs="Times New Roman"/>
                        <w:b/>
                        <w:bCs/>
                        <w:sz w:val="21"/>
                        <w:szCs w:val="21"/>
                      </w:rPr>
                      <w:fldChar w:fldCharType="separate"/>
                    </w:r>
                    <w:r>
                      <w:rPr>
                        <w:rFonts w:ascii="Times New Roman" w:hAnsi="Times New Roman" w:cs="Times New Roman"/>
                        <w:b/>
                        <w:bCs/>
                        <w:sz w:val="21"/>
                        <w:szCs w:val="21"/>
                      </w:rPr>
                      <w:t>34</w:t>
                    </w:r>
                    <w:r>
                      <w:rPr>
                        <w:rFonts w:ascii="Times New Roman" w:hAnsi="Times New Roman" w:cs="Times New Roman"/>
                        <w:b/>
                        <w:bCs/>
                        <w:sz w:val="21"/>
                        <w:szCs w:val="21"/>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9355B3"/>
    <w:multiLevelType w:val="singleLevel"/>
    <w:tmpl w:val="949355B3"/>
    <w:lvl w:ilvl="0" w:tentative="0">
      <w:start w:val="1"/>
      <w:numFmt w:val="decimal"/>
      <w:suff w:val="nothing"/>
      <w:lvlText w:val="（%1）"/>
      <w:lvlJc w:val="left"/>
    </w:lvl>
  </w:abstractNum>
  <w:abstractNum w:abstractNumId="1">
    <w:nsid w:val="DE3668A9"/>
    <w:multiLevelType w:val="singleLevel"/>
    <w:tmpl w:val="DE3668A9"/>
    <w:lvl w:ilvl="0" w:tentative="0">
      <w:start w:val="1"/>
      <w:numFmt w:val="decimal"/>
      <w:lvlText w:val="%1."/>
      <w:lvlJc w:val="left"/>
      <w:pPr>
        <w:tabs>
          <w:tab w:val="left" w:pos="312"/>
        </w:tabs>
      </w:pPr>
    </w:lvl>
  </w:abstractNum>
  <w:abstractNum w:abstractNumId="2">
    <w:nsid w:val="E075ED20"/>
    <w:multiLevelType w:val="singleLevel"/>
    <w:tmpl w:val="E075ED20"/>
    <w:lvl w:ilvl="0" w:tentative="0">
      <w:start w:val="1"/>
      <w:numFmt w:val="bullet"/>
      <w:pStyle w:val="10"/>
      <w:lvlText w:val=""/>
      <w:lvlJc w:val="left"/>
      <w:pPr>
        <w:tabs>
          <w:tab w:val="left" w:pos="2040"/>
        </w:tabs>
        <w:ind w:left="2040" w:hanging="360"/>
      </w:pPr>
      <w:rPr>
        <w:rFonts w:hint="default" w:ascii="Wingdings" w:hAnsi="Wingdings"/>
      </w:rPr>
    </w:lvl>
  </w:abstractNum>
  <w:abstractNum w:abstractNumId="3">
    <w:nsid w:val="344B8012"/>
    <w:multiLevelType w:val="singleLevel"/>
    <w:tmpl w:val="344B8012"/>
    <w:lvl w:ilvl="0" w:tentative="0">
      <w:start w:val="2"/>
      <w:numFmt w:val="decimal"/>
      <w:suff w:val="nothing"/>
      <w:lvlText w:val="%1、"/>
      <w:lvlJc w:val="left"/>
    </w:lvl>
  </w:abstractNum>
  <w:abstractNum w:abstractNumId="4">
    <w:nsid w:val="53F1FABF"/>
    <w:multiLevelType w:val="singleLevel"/>
    <w:tmpl w:val="53F1FABF"/>
    <w:lvl w:ilvl="0" w:tentative="0">
      <w:start w:val="7"/>
      <w:numFmt w:val="decimal"/>
      <w:suff w:val="nothing"/>
      <w:lvlText w:val="%1、"/>
      <w:lvlJc w:val="left"/>
    </w:lvl>
  </w:abstractNum>
  <w:abstractNum w:abstractNumId="5">
    <w:nsid w:val="5C88FFEC"/>
    <w:multiLevelType w:val="singleLevel"/>
    <w:tmpl w:val="5C88FFEC"/>
    <w:lvl w:ilvl="0" w:tentative="0">
      <w:start w:val="1"/>
      <w:numFmt w:val="decimal"/>
      <w:suff w:val="nothing"/>
      <w:lvlText w:val="%1、"/>
      <w:lvlJc w:val="left"/>
      <w:pPr>
        <w:ind w:left="-2"/>
      </w:pPr>
    </w:lvl>
  </w:abstractNum>
  <w:num w:numId="1">
    <w:abstractNumId w:val="2"/>
  </w:num>
  <w:num w:numId="2">
    <w:abstractNumId w:val="1"/>
  </w:num>
  <w:num w:numId="3">
    <w:abstractNumId w:val="4"/>
  </w:num>
  <w:num w:numId="4">
    <w:abstractNumId w:val="5"/>
  </w:num>
  <w:num w:numId="5">
    <w:abstractNumId w:val="3"/>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tibby">
    <w15:presenceInfo w15:providerId="WPS Office" w15:userId="3435515393"/>
  </w15:person>
  <w15:person w15:author="lenovo">
    <w15:presenceInfo w15:providerId="None" w15:userId="lenovo"/>
  </w15:person>
  <w15:person w15:author="Administrator">
    <w15:presenceInfo w15:providerId="None" w15:userId="Administrator"/>
  </w15:person>
  <w15:person w15:author="方解石">
    <w15:presenceInfo w15:providerId="WPS Office" w15:userId="10473933560"/>
  </w15:person>
  <w15:person w15:author="8226982991">
    <w15:presenceInfo w15:providerId="WPS Office" w15:userId="11635834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3YzAxMjdmZjE3ZTFhOGNiMGY3ZGE5YTA4Y2M3NDMifQ=="/>
  </w:docVars>
  <w:rsids>
    <w:rsidRoot w:val="37A81943"/>
    <w:rsid w:val="0005280F"/>
    <w:rsid w:val="00090C04"/>
    <w:rsid w:val="000A7E75"/>
    <w:rsid w:val="000C741F"/>
    <w:rsid w:val="000D3C82"/>
    <w:rsid w:val="00121967"/>
    <w:rsid w:val="00157F08"/>
    <w:rsid w:val="001F47D1"/>
    <w:rsid w:val="00274C93"/>
    <w:rsid w:val="002B6923"/>
    <w:rsid w:val="002F2ABA"/>
    <w:rsid w:val="003821A2"/>
    <w:rsid w:val="003A0B2F"/>
    <w:rsid w:val="00426AD5"/>
    <w:rsid w:val="00441496"/>
    <w:rsid w:val="004D5735"/>
    <w:rsid w:val="00523EB0"/>
    <w:rsid w:val="005B42DC"/>
    <w:rsid w:val="005C7BF6"/>
    <w:rsid w:val="005E1085"/>
    <w:rsid w:val="00766051"/>
    <w:rsid w:val="00793AFA"/>
    <w:rsid w:val="0083050D"/>
    <w:rsid w:val="00847DE1"/>
    <w:rsid w:val="008D4A57"/>
    <w:rsid w:val="009B0FAA"/>
    <w:rsid w:val="009B5580"/>
    <w:rsid w:val="00A57883"/>
    <w:rsid w:val="00A82C1A"/>
    <w:rsid w:val="00B30E83"/>
    <w:rsid w:val="00B80C53"/>
    <w:rsid w:val="00B95CDD"/>
    <w:rsid w:val="00C111C5"/>
    <w:rsid w:val="00D23242"/>
    <w:rsid w:val="00D469E5"/>
    <w:rsid w:val="00D92A59"/>
    <w:rsid w:val="00DA3EA5"/>
    <w:rsid w:val="00E22950"/>
    <w:rsid w:val="00E52654"/>
    <w:rsid w:val="00E57745"/>
    <w:rsid w:val="00EA52E8"/>
    <w:rsid w:val="01082F36"/>
    <w:rsid w:val="0109449D"/>
    <w:rsid w:val="010D66B0"/>
    <w:rsid w:val="011A341E"/>
    <w:rsid w:val="01220B02"/>
    <w:rsid w:val="012E4929"/>
    <w:rsid w:val="01302209"/>
    <w:rsid w:val="01316243"/>
    <w:rsid w:val="01322983"/>
    <w:rsid w:val="013B4944"/>
    <w:rsid w:val="01444C23"/>
    <w:rsid w:val="014C44E0"/>
    <w:rsid w:val="0156352C"/>
    <w:rsid w:val="016768EB"/>
    <w:rsid w:val="01804A4C"/>
    <w:rsid w:val="0189020C"/>
    <w:rsid w:val="01910DE7"/>
    <w:rsid w:val="01967DCC"/>
    <w:rsid w:val="01995B0E"/>
    <w:rsid w:val="019F5918"/>
    <w:rsid w:val="01AE5944"/>
    <w:rsid w:val="01BA0EA2"/>
    <w:rsid w:val="01BF6962"/>
    <w:rsid w:val="01C8424A"/>
    <w:rsid w:val="01CC5EE4"/>
    <w:rsid w:val="01CD39B4"/>
    <w:rsid w:val="01D46EEF"/>
    <w:rsid w:val="01DD178F"/>
    <w:rsid w:val="01DF5C17"/>
    <w:rsid w:val="01EC0334"/>
    <w:rsid w:val="01F45CFC"/>
    <w:rsid w:val="020165A2"/>
    <w:rsid w:val="02050598"/>
    <w:rsid w:val="021146F3"/>
    <w:rsid w:val="02173C63"/>
    <w:rsid w:val="021938B3"/>
    <w:rsid w:val="021A346D"/>
    <w:rsid w:val="021B437E"/>
    <w:rsid w:val="02201D8C"/>
    <w:rsid w:val="02210711"/>
    <w:rsid w:val="02247ACE"/>
    <w:rsid w:val="02260386"/>
    <w:rsid w:val="022A6766"/>
    <w:rsid w:val="02353A89"/>
    <w:rsid w:val="023575E5"/>
    <w:rsid w:val="023615AF"/>
    <w:rsid w:val="023626AC"/>
    <w:rsid w:val="023B0973"/>
    <w:rsid w:val="023D0B8F"/>
    <w:rsid w:val="0240504A"/>
    <w:rsid w:val="024141DC"/>
    <w:rsid w:val="024B2801"/>
    <w:rsid w:val="026F5650"/>
    <w:rsid w:val="02704AC1"/>
    <w:rsid w:val="02954528"/>
    <w:rsid w:val="02A41246"/>
    <w:rsid w:val="02A72BF5"/>
    <w:rsid w:val="02BA1B95"/>
    <w:rsid w:val="02BA5D3C"/>
    <w:rsid w:val="02BB7969"/>
    <w:rsid w:val="02C60B85"/>
    <w:rsid w:val="02CD3CC1"/>
    <w:rsid w:val="02E342B3"/>
    <w:rsid w:val="02E51ECE"/>
    <w:rsid w:val="02E80C68"/>
    <w:rsid w:val="02F2197A"/>
    <w:rsid w:val="02F37527"/>
    <w:rsid w:val="02F82E8B"/>
    <w:rsid w:val="030926B1"/>
    <w:rsid w:val="03127680"/>
    <w:rsid w:val="03146DD9"/>
    <w:rsid w:val="0315776F"/>
    <w:rsid w:val="032A0917"/>
    <w:rsid w:val="033B547E"/>
    <w:rsid w:val="03400578"/>
    <w:rsid w:val="03404F30"/>
    <w:rsid w:val="03511AD9"/>
    <w:rsid w:val="03631AAE"/>
    <w:rsid w:val="0363688D"/>
    <w:rsid w:val="03713EE4"/>
    <w:rsid w:val="03756757"/>
    <w:rsid w:val="037D4F21"/>
    <w:rsid w:val="038325D2"/>
    <w:rsid w:val="038906A4"/>
    <w:rsid w:val="0395672F"/>
    <w:rsid w:val="039E0B81"/>
    <w:rsid w:val="03B31961"/>
    <w:rsid w:val="03BC4BD4"/>
    <w:rsid w:val="03C431E6"/>
    <w:rsid w:val="03E9155F"/>
    <w:rsid w:val="0420608D"/>
    <w:rsid w:val="04212D92"/>
    <w:rsid w:val="042913CB"/>
    <w:rsid w:val="043A2B03"/>
    <w:rsid w:val="04490871"/>
    <w:rsid w:val="044A309D"/>
    <w:rsid w:val="04561A95"/>
    <w:rsid w:val="04597CC9"/>
    <w:rsid w:val="046F071C"/>
    <w:rsid w:val="04767B35"/>
    <w:rsid w:val="04806B11"/>
    <w:rsid w:val="0482288A"/>
    <w:rsid w:val="048C3708"/>
    <w:rsid w:val="048E4EE6"/>
    <w:rsid w:val="04B55455"/>
    <w:rsid w:val="04B9220D"/>
    <w:rsid w:val="04C558D9"/>
    <w:rsid w:val="04C930C5"/>
    <w:rsid w:val="04CC7DCB"/>
    <w:rsid w:val="04E86152"/>
    <w:rsid w:val="04E86B91"/>
    <w:rsid w:val="04F2751D"/>
    <w:rsid w:val="0504615D"/>
    <w:rsid w:val="050D2A9B"/>
    <w:rsid w:val="05162B26"/>
    <w:rsid w:val="05283431"/>
    <w:rsid w:val="052C3D4B"/>
    <w:rsid w:val="052F1B2A"/>
    <w:rsid w:val="054A2074"/>
    <w:rsid w:val="054A5C5E"/>
    <w:rsid w:val="0552282F"/>
    <w:rsid w:val="05777F14"/>
    <w:rsid w:val="05783001"/>
    <w:rsid w:val="057D6BA7"/>
    <w:rsid w:val="0586610E"/>
    <w:rsid w:val="05880F85"/>
    <w:rsid w:val="058C7F58"/>
    <w:rsid w:val="05901C69"/>
    <w:rsid w:val="05942874"/>
    <w:rsid w:val="059B6E4A"/>
    <w:rsid w:val="059D1637"/>
    <w:rsid w:val="05A717B3"/>
    <w:rsid w:val="05AA2098"/>
    <w:rsid w:val="05D135F8"/>
    <w:rsid w:val="05D62E8D"/>
    <w:rsid w:val="05D64DFA"/>
    <w:rsid w:val="05D71C44"/>
    <w:rsid w:val="05E17D64"/>
    <w:rsid w:val="05E355AA"/>
    <w:rsid w:val="0607137B"/>
    <w:rsid w:val="061A29D1"/>
    <w:rsid w:val="06394E1E"/>
    <w:rsid w:val="063A0932"/>
    <w:rsid w:val="064047AA"/>
    <w:rsid w:val="0655382D"/>
    <w:rsid w:val="065B173A"/>
    <w:rsid w:val="067F52D3"/>
    <w:rsid w:val="06871D92"/>
    <w:rsid w:val="068A29D0"/>
    <w:rsid w:val="069A542E"/>
    <w:rsid w:val="069A6E82"/>
    <w:rsid w:val="069F5975"/>
    <w:rsid w:val="06B74C51"/>
    <w:rsid w:val="06B908EC"/>
    <w:rsid w:val="06BD6A2A"/>
    <w:rsid w:val="06C54CB0"/>
    <w:rsid w:val="06CD158E"/>
    <w:rsid w:val="06D870D9"/>
    <w:rsid w:val="06FF34F6"/>
    <w:rsid w:val="07222102"/>
    <w:rsid w:val="07232B97"/>
    <w:rsid w:val="072B7C23"/>
    <w:rsid w:val="07307388"/>
    <w:rsid w:val="07487A3F"/>
    <w:rsid w:val="076027DF"/>
    <w:rsid w:val="07612C2A"/>
    <w:rsid w:val="076D6CFC"/>
    <w:rsid w:val="0775613A"/>
    <w:rsid w:val="07965B47"/>
    <w:rsid w:val="079C76AC"/>
    <w:rsid w:val="07BD70D6"/>
    <w:rsid w:val="07D25F71"/>
    <w:rsid w:val="07D73990"/>
    <w:rsid w:val="07EA70C4"/>
    <w:rsid w:val="07EE5683"/>
    <w:rsid w:val="07F96223"/>
    <w:rsid w:val="08065676"/>
    <w:rsid w:val="08094026"/>
    <w:rsid w:val="08171CE3"/>
    <w:rsid w:val="082751D4"/>
    <w:rsid w:val="08331304"/>
    <w:rsid w:val="08415D65"/>
    <w:rsid w:val="08422A5C"/>
    <w:rsid w:val="084630F6"/>
    <w:rsid w:val="08504710"/>
    <w:rsid w:val="085602B5"/>
    <w:rsid w:val="0864377D"/>
    <w:rsid w:val="08687DF4"/>
    <w:rsid w:val="087D3A94"/>
    <w:rsid w:val="087F455D"/>
    <w:rsid w:val="08814C04"/>
    <w:rsid w:val="0889068B"/>
    <w:rsid w:val="088C431D"/>
    <w:rsid w:val="089733A5"/>
    <w:rsid w:val="08C745F5"/>
    <w:rsid w:val="08D65ECA"/>
    <w:rsid w:val="08DF3F4A"/>
    <w:rsid w:val="08E23383"/>
    <w:rsid w:val="08E8504C"/>
    <w:rsid w:val="08E9737B"/>
    <w:rsid w:val="08F11AE1"/>
    <w:rsid w:val="090221EB"/>
    <w:rsid w:val="090D2E85"/>
    <w:rsid w:val="09107BCA"/>
    <w:rsid w:val="09112EB6"/>
    <w:rsid w:val="091C4A57"/>
    <w:rsid w:val="091D0AB4"/>
    <w:rsid w:val="091D0DD3"/>
    <w:rsid w:val="0922621E"/>
    <w:rsid w:val="09242161"/>
    <w:rsid w:val="092C085E"/>
    <w:rsid w:val="093334E0"/>
    <w:rsid w:val="094327D0"/>
    <w:rsid w:val="094C1A98"/>
    <w:rsid w:val="09510906"/>
    <w:rsid w:val="09523172"/>
    <w:rsid w:val="09653531"/>
    <w:rsid w:val="09776735"/>
    <w:rsid w:val="09947C7D"/>
    <w:rsid w:val="09A00EAC"/>
    <w:rsid w:val="09A64FA3"/>
    <w:rsid w:val="09B512E0"/>
    <w:rsid w:val="09C53944"/>
    <w:rsid w:val="09DF30DF"/>
    <w:rsid w:val="09F2412C"/>
    <w:rsid w:val="09F50350"/>
    <w:rsid w:val="09F5224A"/>
    <w:rsid w:val="09F91840"/>
    <w:rsid w:val="09F9539C"/>
    <w:rsid w:val="09FA4F37"/>
    <w:rsid w:val="0A081460"/>
    <w:rsid w:val="0A170F96"/>
    <w:rsid w:val="0A2C3098"/>
    <w:rsid w:val="0A3516D8"/>
    <w:rsid w:val="0A424F95"/>
    <w:rsid w:val="0A542CE7"/>
    <w:rsid w:val="0A5E5C25"/>
    <w:rsid w:val="0A695F57"/>
    <w:rsid w:val="0A93759F"/>
    <w:rsid w:val="0AA07F0D"/>
    <w:rsid w:val="0AB06334"/>
    <w:rsid w:val="0ABF65E6"/>
    <w:rsid w:val="0AC25423"/>
    <w:rsid w:val="0AC57EAD"/>
    <w:rsid w:val="0ACF434F"/>
    <w:rsid w:val="0AED75B7"/>
    <w:rsid w:val="0AFA14B7"/>
    <w:rsid w:val="0AFD3352"/>
    <w:rsid w:val="0B064109"/>
    <w:rsid w:val="0B187AA4"/>
    <w:rsid w:val="0B1C50EA"/>
    <w:rsid w:val="0B1F151F"/>
    <w:rsid w:val="0B2D2E77"/>
    <w:rsid w:val="0B3568A8"/>
    <w:rsid w:val="0B46443A"/>
    <w:rsid w:val="0B4B7E79"/>
    <w:rsid w:val="0B4C7FDE"/>
    <w:rsid w:val="0B544765"/>
    <w:rsid w:val="0B547911"/>
    <w:rsid w:val="0B550CF8"/>
    <w:rsid w:val="0B5E5DFE"/>
    <w:rsid w:val="0B6A6C30"/>
    <w:rsid w:val="0B7758C0"/>
    <w:rsid w:val="0B7842D2"/>
    <w:rsid w:val="0B8126AD"/>
    <w:rsid w:val="0B896BF3"/>
    <w:rsid w:val="0B9372E4"/>
    <w:rsid w:val="0B955598"/>
    <w:rsid w:val="0BB8426C"/>
    <w:rsid w:val="0BB9775D"/>
    <w:rsid w:val="0BBE3DEA"/>
    <w:rsid w:val="0BCE6CF3"/>
    <w:rsid w:val="0BF027CF"/>
    <w:rsid w:val="0BF14937"/>
    <w:rsid w:val="0BF21A3C"/>
    <w:rsid w:val="0BF533D9"/>
    <w:rsid w:val="0BFB163B"/>
    <w:rsid w:val="0BFE39F9"/>
    <w:rsid w:val="0C032502"/>
    <w:rsid w:val="0C0E73D3"/>
    <w:rsid w:val="0C156F1F"/>
    <w:rsid w:val="0C160487"/>
    <w:rsid w:val="0C23103F"/>
    <w:rsid w:val="0C232CC0"/>
    <w:rsid w:val="0C2532A0"/>
    <w:rsid w:val="0C2A178D"/>
    <w:rsid w:val="0C2D418D"/>
    <w:rsid w:val="0C335CC8"/>
    <w:rsid w:val="0C354925"/>
    <w:rsid w:val="0C436DA2"/>
    <w:rsid w:val="0C4A1EDF"/>
    <w:rsid w:val="0C5F7E95"/>
    <w:rsid w:val="0C643FF2"/>
    <w:rsid w:val="0C6C143C"/>
    <w:rsid w:val="0C7029C0"/>
    <w:rsid w:val="0C743400"/>
    <w:rsid w:val="0C7C2935"/>
    <w:rsid w:val="0C801DA5"/>
    <w:rsid w:val="0C923886"/>
    <w:rsid w:val="0CA21D1B"/>
    <w:rsid w:val="0CAE28A1"/>
    <w:rsid w:val="0CB13789"/>
    <w:rsid w:val="0CBE14AC"/>
    <w:rsid w:val="0CBF4C66"/>
    <w:rsid w:val="0CC8768B"/>
    <w:rsid w:val="0CCC6647"/>
    <w:rsid w:val="0CCD3560"/>
    <w:rsid w:val="0CD345CA"/>
    <w:rsid w:val="0CDE4843"/>
    <w:rsid w:val="0CDF2F6F"/>
    <w:rsid w:val="0CDF4A4A"/>
    <w:rsid w:val="0CE51C08"/>
    <w:rsid w:val="0CEE2E7D"/>
    <w:rsid w:val="0D101300"/>
    <w:rsid w:val="0D19745B"/>
    <w:rsid w:val="0D2645CF"/>
    <w:rsid w:val="0D42622D"/>
    <w:rsid w:val="0D5079C9"/>
    <w:rsid w:val="0D5D4820"/>
    <w:rsid w:val="0D6B25F0"/>
    <w:rsid w:val="0D791CFB"/>
    <w:rsid w:val="0D7D2605"/>
    <w:rsid w:val="0D7F02AE"/>
    <w:rsid w:val="0D807261"/>
    <w:rsid w:val="0D886AC6"/>
    <w:rsid w:val="0D8916FC"/>
    <w:rsid w:val="0D8B0A01"/>
    <w:rsid w:val="0D8B27AF"/>
    <w:rsid w:val="0D952AF8"/>
    <w:rsid w:val="0D952DC4"/>
    <w:rsid w:val="0D993303"/>
    <w:rsid w:val="0D9A6E96"/>
    <w:rsid w:val="0D9F26FE"/>
    <w:rsid w:val="0DA43871"/>
    <w:rsid w:val="0DA63A8D"/>
    <w:rsid w:val="0DA66426"/>
    <w:rsid w:val="0DA73361"/>
    <w:rsid w:val="0DB46A65"/>
    <w:rsid w:val="0DBB7620"/>
    <w:rsid w:val="0DCE08EE"/>
    <w:rsid w:val="0DCE7C62"/>
    <w:rsid w:val="0DDA622E"/>
    <w:rsid w:val="0DEE0F90"/>
    <w:rsid w:val="0DF742E8"/>
    <w:rsid w:val="0DFA69A0"/>
    <w:rsid w:val="0DFC2834"/>
    <w:rsid w:val="0E0332AA"/>
    <w:rsid w:val="0E0B0B24"/>
    <w:rsid w:val="0E0C5C4B"/>
    <w:rsid w:val="0E0C7856"/>
    <w:rsid w:val="0E1F1149"/>
    <w:rsid w:val="0E1F7BDE"/>
    <w:rsid w:val="0E244D3A"/>
    <w:rsid w:val="0E2658C5"/>
    <w:rsid w:val="0E412116"/>
    <w:rsid w:val="0E422DFD"/>
    <w:rsid w:val="0E536488"/>
    <w:rsid w:val="0E574D87"/>
    <w:rsid w:val="0E5C414B"/>
    <w:rsid w:val="0E616298"/>
    <w:rsid w:val="0E9037CB"/>
    <w:rsid w:val="0E903981"/>
    <w:rsid w:val="0E912047"/>
    <w:rsid w:val="0E9B4C74"/>
    <w:rsid w:val="0EA65390"/>
    <w:rsid w:val="0EAA0800"/>
    <w:rsid w:val="0EAB515C"/>
    <w:rsid w:val="0EB77776"/>
    <w:rsid w:val="0EBD7ECE"/>
    <w:rsid w:val="0EC64D07"/>
    <w:rsid w:val="0EC71F0D"/>
    <w:rsid w:val="0ED32660"/>
    <w:rsid w:val="0EDB608A"/>
    <w:rsid w:val="0EDC703A"/>
    <w:rsid w:val="0EEE355A"/>
    <w:rsid w:val="0EF737D4"/>
    <w:rsid w:val="0F077CAD"/>
    <w:rsid w:val="0F0906E8"/>
    <w:rsid w:val="0F1223A3"/>
    <w:rsid w:val="0F1A6AA2"/>
    <w:rsid w:val="0F1A75BF"/>
    <w:rsid w:val="0F2729AB"/>
    <w:rsid w:val="0F342EED"/>
    <w:rsid w:val="0F3577BB"/>
    <w:rsid w:val="0F36741D"/>
    <w:rsid w:val="0F457653"/>
    <w:rsid w:val="0F492922"/>
    <w:rsid w:val="0F6645DB"/>
    <w:rsid w:val="0F6C03BE"/>
    <w:rsid w:val="0F711F37"/>
    <w:rsid w:val="0F806041"/>
    <w:rsid w:val="0F82428F"/>
    <w:rsid w:val="0F8359E9"/>
    <w:rsid w:val="0F855BBA"/>
    <w:rsid w:val="0F886BBB"/>
    <w:rsid w:val="0F8B4CE8"/>
    <w:rsid w:val="0FAE57C5"/>
    <w:rsid w:val="0FB12663"/>
    <w:rsid w:val="0FB6788B"/>
    <w:rsid w:val="0FB70DDC"/>
    <w:rsid w:val="0FB75E77"/>
    <w:rsid w:val="0FC226D4"/>
    <w:rsid w:val="0FC575A1"/>
    <w:rsid w:val="0FD16B86"/>
    <w:rsid w:val="0FF22FB9"/>
    <w:rsid w:val="0FF7412C"/>
    <w:rsid w:val="0FFA735C"/>
    <w:rsid w:val="100D1BA1"/>
    <w:rsid w:val="101271B8"/>
    <w:rsid w:val="1013414A"/>
    <w:rsid w:val="10173C40"/>
    <w:rsid w:val="101747CE"/>
    <w:rsid w:val="102E677A"/>
    <w:rsid w:val="1030763E"/>
    <w:rsid w:val="103B53DC"/>
    <w:rsid w:val="10572E1C"/>
    <w:rsid w:val="10596B94"/>
    <w:rsid w:val="106A621C"/>
    <w:rsid w:val="106F63B8"/>
    <w:rsid w:val="10720CBD"/>
    <w:rsid w:val="107233ED"/>
    <w:rsid w:val="1076299E"/>
    <w:rsid w:val="10800C6F"/>
    <w:rsid w:val="10833330"/>
    <w:rsid w:val="1091133F"/>
    <w:rsid w:val="10947BCD"/>
    <w:rsid w:val="109E4EEF"/>
    <w:rsid w:val="10A87B1C"/>
    <w:rsid w:val="10AF2C58"/>
    <w:rsid w:val="10B945F4"/>
    <w:rsid w:val="10C410D4"/>
    <w:rsid w:val="10C763EA"/>
    <w:rsid w:val="10CA7A92"/>
    <w:rsid w:val="10D058BF"/>
    <w:rsid w:val="10D546E2"/>
    <w:rsid w:val="10D70CB4"/>
    <w:rsid w:val="110976A5"/>
    <w:rsid w:val="110B1B91"/>
    <w:rsid w:val="111725AC"/>
    <w:rsid w:val="11295A54"/>
    <w:rsid w:val="112B7416"/>
    <w:rsid w:val="11307729"/>
    <w:rsid w:val="113A4C18"/>
    <w:rsid w:val="11427629"/>
    <w:rsid w:val="11560F71"/>
    <w:rsid w:val="115B693C"/>
    <w:rsid w:val="11660D14"/>
    <w:rsid w:val="11680D02"/>
    <w:rsid w:val="116C0B49"/>
    <w:rsid w:val="117A6C6D"/>
    <w:rsid w:val="11847C41"/>
    <w:rsid w:val="11974005"/>
    <w:rsid w:val="11990053"/>
    <w:rsid w:val="11992D5F"/>
    <w:rsid w:val="11AE7CF4"/>
    <w:rsid w:val="11B672F2"/>
    <w:rsid w:val="11C97D4A"/>
    <w:rsid w:val="11CD7C78"/>
    <w:rsid w:val="11DA4AA4"/>
    <w:rsid w:val="12074FE2"/>
    <w:rsid w:val="122B4561"/>
    <w:rsid w:val="12334116"/>
    <w:rsid w:val="123476D9"/>
    <w:rsid w:val="123D076F"/>
    <w:rsid w:val="123F1DBA"/>
    <w:rsid w:val="124B4C03"/>
    <w:rsid w:val="1255782F"/>
    <w:rsid w:val="126D13FF"/>
    <w:rsid w:val="12747CB6"/>
    <w:rsid w:val="12837FC5"/>
    <w:rsid w:val="128560BF"/>
    <w:rsid w:val="1294534E"/>
    <w:rsid w:val="12A10CC7"/>
    <w:rsid w:val="12A8322B"/>
    <w:rsid w:val="12B035EF"/>
    <w:rsid w:val="12B27D08"/>
    <w:rsid w:val="12B66520"/>
    <w:rsid w:val="12BD1700"/>
    <w:rsid w:val="12C968B9"/>
    <w:rsid w:val="12CD386A"/>
    <w:rsid w:val="12DD31EB"/>
    <w:rsid w:val="12EA5BCD"/>
    <w:rsid w:val="13015340"/>
    <w:rsid w:val="13046088"/>
    <w:rsid w:val="130908C6"/>
    <w:rsid w:val="131B5FC2"/>
    <w:rsid w:val="13217712"/>
    <w:rsid w:val="13236333"/>
    <w:rsid w:val="13280AA0"/>
    <w:rsid w:val="135118AB"/>
    <w:rsid w:val="13517FF7"/>
    <w:rsid w:val="13533D6F"/>
    <w:rsid w:val="1354364A"/>
    <w:rsid w:val="13637D2A"/>
    <w:rsid w:val="1380268A"/>
    <w:rsid w:val="139B227B"/>
    <w:rsid w:val="139B5716"/>
    <w:rsid w:val="139F45F0"/>
    <w:rsid w:val="13B862C8"/>
    <w:rsid w:val="13B912A1"/>
    <w:rsid w:val="13C552E6"/>
    <w:rsid w:val="13D07F0E"/>
    <w:rsid w:val="13E0696E"/>
    <w:rsid w:val="13E22A48"/>
    <w:rsid w:val="13E7631D"/>
    <w:rsid w:val="13F56BD4"/>
    <w:rsid w:val="1404445B"/>
    <w:rsid w:val="14045069"/>
    <w:rsid w:val="14067033"/>
    <w:rsid w:val="140E3D3B"/>
    <w:rsid w:val="141F39E2"/>
    <w:rsid w:val="142B172E"/>
    <w:rsid w:val="142D5100"/>
    <w:rsid w:val="14321BD6"/>
    <w:rsid w:val="14346E85"/>
    <w:rsid w:val="144073DB"/>
    <w:rsid w:val="14411E19"/>
    <w:rsid w:val="144933C4"/>
    <w:rsid w:val="147A532B"/>
    <w:rsid w:val="14A2748D"/>
    <w:rsid w:val="14A622C8"/>
    <w:rsid w:val="14AC445D"/>
    <w:rsid w:val="14BC7339"/>
    <w:rsid w:val="14C02123"/>
    <w:rsid w:val="14D459CC"/>
    <w:rsid w:val="14E81EEA"/>
    <w:rsid w:val="14E93588"/>
    <w:rsid w:val="14F21366"/>
    <w:rsid w:val="14F42E2B"/>
    <w:rsid w:val="14FC0EE9"/>
    <w:rsid w:val="15064BE8"/>
    <w:rsid w:val="15133A66"/>
    <w:rsid w:val="151541E1"/>
    <w:rsid w:val="154F67B8"/>
    <w:rsid w:val="15573E98"/>
    <w:rsid w:val="15674EE2"/>
    <w:rsid w:val="156E1020"/>
    <w:rsid w:val="158F4E06"/>
    <w:rsid w:val="15A016F9"/>
    <w:rsid w:val="15A5462A"/>
    <w:rsid w:val="15B63C65"/>
    <w:rsid w:val="15C35B3D"/>
    <w:rsid w:val="15DD099C"/>
    <w:rsid w:val="15ED74A9"/>
    <w:rsid w:val="15F80BFE"/>
    <w:rsid w:val="15FB36E6"/>
    <w:rsid w:val="15FB7E8B"/>
    <w:rsid w:val="16023A61"/>
    <w:rsid w:val="1606156C"/>
    <w:rsid w:val="16096694"/>
    <w:rsid w:val="160E670A"/>
    <w:rsid w:val="1618113F"/>
    <w:rsid w:val="161B669A"/>
    <w:rsid w:val="161E116E"/>
    <w:rsid w:val="163A27FA"/>
    <w:rsid w:val="163A2FC4"/>
    <w:rsid w:val="163E6C4B"/>
    <w:rsid w:val="1640306A"/>
    <w:rsid w:val="1650370A"/>
    <w:rsid w:val="1657604F"/>
    <w:rsid w:val="1658298F"/>
    <w:rsid w:val="166C3973"/>
    <w:rsid w:val="16753FFC"/>
    <w:rsid w:val="16951509"/>
    <w:rsid w:val="16AC4F61"/>
    <w:rsid w:val="16AD3796"/>
    <w:rsid w:val="16AD7C3A"/>
    <w:rsid w:val="16AE6B7F"/>
    <w:rsid w:val="16B13848"/>
    <w:rsid w:val="16CD2152"/>
    <w:rsid w:val="16D0009E"/>
    <w:rsid w:val="16D32535"/>
    <w:rsid w:val="16DB1095"/>
    <w:rsid w:val="16DE7DF3"/>
    <w:rsid w:val="16FC5F38"/>
    <w:rsid w:val="17045380"/>
    <w:rsid w:val="170A508C"/>
    <w:rsid w:val="170A6E3A"/>
    <w:rsid w:val="170D692B"/>
    <w:rsid w:val="170F084C"/>
    <w:rsid w:val="17197EFA"/>
    <w:rsid w:val="17245BEC"/>
    <w:rsid w:val="17271869"/>
    <w:rsid w:val="17306175"/>
    <w:rsid w:val="173C2D6C"/>
    <w:rsid w:val="173F301D"/>
    <w:rsid w:val="174D1F31"/>
    <w:rsid w:val="174D31CB"/>
    <w:rsid w:val="174F240F"/>
    <w:rsid w:val="176E1872"/>
    <w:rsid w:val="176F6C9D"/>
    <w:rsid w:val="177A32CC"/>
    <w:rsid w:val="1783192F"/>
    <w:rsid w:val="17853A42"/>
    <w:rsid w:val="17894DBE"/>
    <w:rsid w:val="179666BF"/>
    <w:rsid w:val="17984DD5"/>
    <w:rsid w:val="17AD5A37"/>
    <w:rsid w:val="17B302D4"/>
    <w:rsid w:val="17B46DA6"/>
    <w:rsid w:val="17BB0135"/>
    <w:rsid w:val="17BB2467"/>
    <w:rsid w:val="17C22509"/>
    <w:rsid w:val="17D87A2E"/>
    <w:rsid w:val="17E7717C"/>
    <w:rsid w:val="17F7276E"/>
    <w:rsid w:val="18042DB9"/>
    <w:rsid w:val="180804A0"/>
    <w:rsid w:val="18147845"/>
    <w:rsid w:val="18260803"/>
    <w:rsid w:val="182A7068"/>
    <w:rsid w:val="182B19A1"/>
    <w:rsid w:val="182C1032"/>
    <w:rsid w:val="182C51D8"/>
    <w:rsid w:val="18304F28"/>
    <w:rsid w:val="18375738"/>
    <w:rsid w:val="185555B4"/>
    <w:rsid w:val="185C1667"/>
    <w:rsid w:val="185E4565"/>
    <w:rsid w:val="186C42BF"/>
    <w:rsid w:val="187E582D"/>
    <w:rsid w:val="18893D8F"/>
    <w:rsid w:val="18906DEC"/>
    <w:rsid w:val="18A474A2"/>
    <w:rsid w:val="18B4708A"/>
    <w:rsid w:val="18B50FF0"/>
    <w:rsid w:val="18B81610"/>
    <w:rsid w:val="18BB09A7"/>
    <w:rsid w:val="18BF45B0"/>
    <w:rsid w:val="18DA4838"/>
    <w:rsid w:val="18DB0D00"/>
    <w:rsid w:val="18E63F98"/>
    <w:rsid w:val="19017132"/>
    <w:rsid w:val="19061883"/>
    <w:rsid w:val="19067AD5"/>
    <w:rsid w:val="19151DAC"/>
    <w:rsid w:val="191B1238"/>
    <w:rsid w:val="191E6BCD"/>
    <w:rsid w:val="19216B1C"/>
    <w:rsid w:val="19232435"/>
    <w:rsid w:val="19265889"/>
    <w:rsid w:val="19266750"/>
    <w:rsid w:val="19314B52"/>
    <w:rsid w:val="19391F6F"/>
    <w:rsid w:val="193E726F"/>
    <w:rsid w:val="19444B5F"/>
    <w:rsid w:val="194F4CED"/>
    <w:rsid w:val="19516332"/>
    <w:rsid w:val="19575C3B"/>
    <w:rsid w:val="195B5233"/>
    <w:rsid w:val="19643F2B"/>
    <w:rsid w:val="19782E9F"/>
    <w:rsid w:val="19793E03"/>
    <w:rsid w:val="197D7A31"/>
    <w:rsid w:val="199B3785"/>
    <w:rsid w:val="19A215AC"/>
    <w:rsid w:val="19A9523B"/>
    <w:rsid w:val="19AD6025"/>
    <w:rsid w:val="19AF3CC9"/>
    <w:rsid w:val="19B337B9"/>
    <w:rsid w:val="19CE23A1"/>
    <w:rsid w:val="19DB19B5"/>
    <w:rsid w:val="19DB7B88"/>
    <w:rsid w:val="19DE735C"/>
    <w:rsid w:val="19EC399E"/>
    <w:rsid w:val="19F00251"/>
    <w:rsid w:val="19F52491"/>
    <w:rsid w:val="19F97A2C"/>
    <w:rsid w:val="19FB02BD"/>
    <w:rsid w:val="19FB335D"/>
    <w:rsid w:val="19FE255B"/>
    <w:rsid w:val="1A0D70D0"/>
    <w:rsid w:val="1A1762CE"/>
    <w:rsid w:val="1A1A1DAA"/>
    <w:rsid w:val="1A232E93"/>
    <w:rsid w:val="1A2400A9"/>
    <w:rsid w:val="1A2765A8"/>
    <w:rsid w:val="1A2B77F4"/>
    <w:rsid w:val="1A311DA6"/>
    <w:rsid w:val="1A3146B0"/>
    <w:rsid w:val="1A3D3083"/>
    <w:rsid w:val="1A46462D"/>
    <w:rsid w:val="1A4C53C4"/>
    <w:rsid w:val="1A515AD2"/>
    <w:rsid w:val="1A5A5EBB"/>
    <w:rsid w:val="1A800D4E"/>
    <w:rsid w:val="1A8A5593"/>
    <w:rsid w:val="1A8F3FD3"/>
    <w:rsid w:val="1A932287"/>
    <w:rsid w:val="1A99276C"/>
    <w:rsid w:val="1AAB312F"/>
    <w:rsid w:val="1AB63B88"/>
    <w:rsid w:val="1AC871C3"/>
    <w:rsid w:val="1AD07AD4"/>
    <w:rsid w:val="1AD40A8A"/>
    <w:rsid w:val="1AEF1963"/>
    <w:rsid w:val="1AF07B6F"/>
    <w:rsid w:val="1AFA5D1C"/>
    <w:rsid w:val="1B0B2FA9"/>
    <w:rsid w:val="1B236DAE"/>
    <w:rsid w:val="1B2646F4"/>
    <w:rsid w:val="1B3A75C2"/>
    <w:rsid w:val="1B3A7B84"/>
    <w:rsid w:val="1B4072CF"/>
    <w:rsid w:val="1B5A03B5"/>
    <w:rsid w:val="1B652C3E"/>
    <w:rsid w:val="1B6B1E72"/>
    <w:rsid w:val="1B73374C"/>
    <w:rsid w:val="1B871F53"/>
    <w:rsid w:val="1B904169"/>
    <w:rsid w:val="1B932511"/>
    <w:rsid w:val="1BBF1BD0"/>
    <w:rsid w:val="1BD04E58"/>
    <w:rsid w:val="1BDB0DA5"/>
    <w:rsid w:val="1BE717F8"/>
    <w:rsid w:val="1BE94940"/>
    <w:rsid w:val="1C1D13BE"/>
    <w:rsid w:val="1C1D6714"/>
    <w:rsid w:val="1C204A0A"/>
    <w:rsid w:val="1C250273"/>
    <w:rsid w:val="1C3A1F70"/>
    <w:rsid w:val="1C3B1844"/>
    <w:rsid w:val="1C415742"/>
    <w:rsid w:val="1C50745B"/>
    <w:rsid w:val="1C532314"/>
    <w:rsid w:val="1C5B4502"/>
    <w:rsid w:val="1C622B7A"/>
    <w:rsid w:val="1C737EB4"/>
    <w:rsid w:val="1C7D5A48"/>
    <w:rsid w:val="1C9736FB"/>
    <w:rsid w:val="1CA43821"/>
    <w:rsid w:val="1CBB2985"/>
    <w:rsid w:val="1CBC0BD7"/>
    <w:rsid w:val="1CD20AA8"/>
    <w:rsid w:val="1CE7377A"/>
    <w:rsid w:val="1CF2284B"/>
    <w:rsid w:val="1CF50F18"/>
    <w:rsid w:val="1D0154A2"/>
    <w:rsid w:val="1D0929C7"/>
    <w:rsid w:val="1D0D4375"/>
    <w:rsid w:val="1D126A49"/>
    <w:rsid w:val="1D156539"/>
    <w:rsid w:val="1D261E26"/>
    <w:rsid w:val="1D2D3883"/>
    <w:rsid w:val="1D3175CF"/>
    <w:rsid w:val="1D33058D"/>
    <w:rsid w:val="1D37470E"/>
    <w:rsid w:val="1D55000A"/>
    <w:rsid w:val="1D5E3A3C"/>
    <w:rsid w:val="1D6A398B"/>
    <w:rsid w:val="1D6A74E4"/>
    <w:rsid w:val="1D6F5768"/>
    <w:rsid w:val="1D845181"/>
    <w:rsid w:val="1DBF5A6D"/>
    <w:rsid w:val="1DC54FEC"/>
    <w:rsid w:val="1DE62AB1"/>
    <w:rsid w:val="1DF859D5"/>
    <w:rsid w:val="1E0E557A"/>
    <w:rsid w:val="1E237E7E"/>
    <w:rsid w:val="1E457425"/>
    <w:rsid w:val="1E4A3FC0"/>
    <w:rsid w:val="1E4C17A2"/>
    <w:rsid w:val="1E4D0B3E"/>
    <w:rsid w:val="1E524D56"/>
    <w:rsid w:val="1E641526"/>
    <w:rsid w:val="1E673CCB"/>
    <w:rsid w:val="1E702D5E"/>
    <w:rsid w:val="1E8B05A6"/>
    <w:rsid w:val="1E8C261D"/>
    <w:rsid w:val="1E9219EB"/>
    <w:rsid w:val="1E933BB9"/>
    <w:rsid w:val="1EA90E66"/>
    <w:rsid w:val="1EB875DA"/>
    <w:rsid w:val="1EBD7584"/>
    <w:rsid w:val="1EBE5AFE"/>
    <w:rsid w:val="1EBF1702"/>
    <w:rsid w:val="1ECB1200"/>
    <w:rsid w:val="1ECD5654"/>
    <w:rsid w:val="1ECE48C5"/>
    <w:rsid w:val="1EEE2819"/>
    <w:rsid w:val="1EFF2FFD"/>
    <w:rsid w:val="1F0733C0"/>
    <w:rsid w:val="1F163385"/>
    <w:rsid w:val="1F1C62C7"/>
    <w:rsid w:val="1F2A2100"/>
    <w:rsid w:val="1F382194"/>
    <w:rsid w:val="1F3A22D7"/>
    <w:rsid w:val="1F3C5FFF"/>
    <w:rsid w:val="1F481F08"/>
    <w:rsid w:val="1F550E6F"/>
    <w:rsid w:val="1F622BB9"/>
    <w:rsid w:val="1F7268A6"/>
    <w:rsid w:val="1F996FAD"/>
    <w:rsid w:val="1FAC5F37"/>
    <w:rsid w:val="1FC63B1B"/>
    <w:rsid w:val="1FD2152B"/>
    <w:rsid w:val="1FD2426D"/>
    <w:rsid w:val="1FF515E1"/>
    <w:rsid w:val="1FF561AE"/>
    <w:rsid w:val="1FF73CD4"/>
    <w:rsid w:val="20016901"/>
    <w:rsid w:val="20081530"/>
    <w:rsid w:val="2024535E"/>
    <w:rsid w:val="202866BE"/>
    <w:rsid w:val="202D39A2"/>
    <w:rsid w:val="203120E0"/>
    <w:rsid w:val="203219C9"/>
    <w:rsid w:val="20380601"/>
    <w:rsid w:val="2056649E"/>
    <w:rsid w:val="20623843"/>
    <w:rsid w:val="206A3A54"/>
    <w:rsid w:val="206D3D73"/>
    <w:rsid w:val="207840BA"/>
    <w:rsid w:val="20834051"/>
    <w:rsid w:val="2085578B"/>
    <w:rsid w:val="2088580F"/>
    <w:rsid w:val="208A2D9A"/>
    <w:rsid w:val="209F6ACD"/>
    <w:rsid w:val="20A83220"/>
    <w:rsid w:val="20AF7FE3"/>
    <w:rsid w:val="20B16579"/>
    <w:rsid w:val="20B62414"/>
    <w:rsid w:val="20C741F4"/>
    <w:rsid w:val="20C95670"/>
    <w:rsid w:val="20CE2C87"/>
    <w:rsid w:val="20D504B9"/>
    <w:rsid w:val="20DB2467"/>
    <w:rsid w:val="20F217D4"/>
    <w:rsid w:val="20FF1092"/>
    <w:rsid w:val="21066F1C"/>
    <w:rsid w:val="21195742"/>
    <w:rsid w:val="21214231"/>
    <w:rsid w:val="2122421F"/>
    <w:rsid w:val="21244F9D"/>
    <w:rsid w:val="212850D4"/>
    <w:rsid w:val="212925B3"/>
    <w:rsid w:val="212B5B0D"/>
    <w:rsid w:val="212F35D3"/>
    <w:rsid w:val="213D1BBA"/>
    <w:rsid w:val="21466CC1"/>
    <w:rsid w:val="2147655D"/>
    <w:rsid w:val="2148258B"/>
    <w:rsid w:val="214E201A"/>
    <w:rsid w:val="215018EE"/>
    <w:rsid w:val="21557A67"/>
    <w:rsid w:val="2173186F"/>
    <w:rsid w:val="21843C8D"/>
    <w:rsid w:val="21854C59"/>
    <w:rsid w:val="219F6388"/>
    <w:rsid w:val="21A068A5"/>
    <w:rsid w:val="21A61119"/>
    <w:rsid w:val="21A67760"/>
    <w:rsid w:val="21AB121A"/>
    <w:rsid w:val="21B15CC1"/>
    <w:rsid w:val="21BE4850"/>
    <w:rsid w:val="21C83B7A"/>
    <w:rsid w:val="21CB71C6"/>
    <w:rsid w:val="21CD1190"/>
    <w:rsid w:val="21D47989"/>
    <w:rsid w:val="21EE1107"/>
    <w:rsid w:val="21EE54FF"/>
    <w:rsid w:val="21F42BC1"/>
    <w:rsid w:val="21FD2D31"/>
    <w:rsid w:val="22032E04"/>
    <w:rsid w:val="220B6F2C"/>
    <w:rsid w:val="220B7F0B"/>
    <w:rsid w:val="220F260B"/>
    <w:rsid w:val="22216D23"/>
    <w:rsid w:val="222F02DF"/>
    <w:rsid w:val="223E5742"/>
    <w:rsid w:val="224D66CA"/>
    <w:rsid w:val="225B679C"/>
    <w:rsid w:val="22692FFC"/>
    <w:rsid w:val="22737F8A"/>
    <w:rsid w:val="227D1BBE"/>
    <w:rsid w:val="227F4693"/>
    <w:rsid w:val="22806AC3"/>
    <w:rsid w:val="22891B47"/>
    <w:rsid w:val="228D6B72"/>
    <w:rsid w:val="22941CAE"/>
    <w:rsid w:val="229F0D3B"/>
    <w:rsid w:val="22A60E5A"/>
    <w:rsid w:val="22B3482A"/>
    <w:rsid w:val="22B6520D"/>
    <w:rsid w:val="22BA6CBA"/>
    <w:rsid w:val="22E66C6E"/>
    <w:rsid w:val="22E851ED"/>
    <w:rsid w:val="22EA5D72"/>
    <w:rsid w:val="22F72D4C"/>
    <w:rsid w:val="23046E34"/>
    <w:rsid w:val="23151D60"/>
    <w:rsid w:val="231B5F2B"/>
    <w:rsid w:val="23201794"/>
    <w:rsid w:val="23306AD2"/>
    <w:rsid w:val="233F1DF5"/>
    <w:rsid w:val="23424B40"/>
    <w:rsid w:val="236E67F7"/>
    <w:rsid w:val="237D7927"/>
    <w:rsid w:val="23867849"/>
    <w:rsid w:val="2387457D"/>
    <w:rsid w:val="238C2377"/>
    <w:rsid w:val="23934608"/>
    <w:rsid w:val="23985FD7"/>
    <w:rsid w:val="239A6456"/>
    <w:rsid w:val="239F5D9D"/>
    <w:rsid w:val="23A040E9"/>
    <w:rsid w:val="23A35E89"/>
    <w:rsid w:val="23AF5C96"/>
    <w:rsid w:val="23B51CB6"/>
    <w:rsid w:val="23B900ED"/>
    <w:rsid w:val="23C6233B"/>
    <w:rsid w:val="23CE2F9E"/>
    <w:rsid w:val="23ED41CA"/>
    <w:rsid w:val="23FF75FB"/>
    <w:rsid w:val="240D104B"/>
    <w:rsid w:val="24133A32"/>
    <w:rsid w:val="2416359F"/>
    <w:rsid w:val="241E13E3"/>
    <w:rsid w:val="242446CA"/>
    <w:rsid w:val="2429457D"/>
    <w:rsid w:val="242D5F16"/>
    <w:rsid w:val="243948BB"/>
    <w:rsid w:val="243D29A2"/>
    <w:rsid w:val="246C54B4"/>
    <w:rsid w:val="247C60EA"/>
    <w:rsid w:val="24866DE8"/>
    <w:rsid w:val="24937DA4"/>
    <w:rsid w:val="24942940"/>
    <w:rsid w:val="24A22FDC"/>
    <w:rsid w:val="24CB6441"/>
    <w:rsid w:val="24D22659"/>
    <w:rsid w:val="24D34D95"/>
    <w:rsid w:val="24D657F6"/>
    <w:rsid w:val="24F66C69"/>
    <w:rsid w:val="24FD09B3"/>
    <w:rsid w:val="24FE5391"/>
    <w:rsid w:val="24FE62E3"/>
    <w:rsid w:val="25034297"/>
    <w:rsid w:val="25037067"/>
    <w:rsid w:val="25044A07"/>
    <w:rsid w:val="251D3E2B"/>
    <w:rsid w:val="25225A90"/>
    <w:rsid w:val="253A20BC"/>
    <w:rsid w:val="25461985"/>
    <w:rsid w:val="25482EE9"/>
    <w:rsid w:val="2549532D"/>
    <w:rsid w:val="25585215"/>
    <w:rsid w:val="255A21BE"/>
    <w:rsid w:val="25641E0C"/>
    <w:rsid w:val="25645043"/>
    <w:rsid w:val="257A2CB3"/>
    <w:rsid w:val="257D2ECD"/>
    <w:rsid w:val="257D4C7B"/>
    <w:rsid w:val="25822292"/>
    <w:rsid w:val="25A9479F"/>
    <w:rsid w:val="25AB2473"/>
    <w:rsid w:val="25AD28B0"/>
    <w:rsid w:val="25AE6A39"/>
    <w:rsid w:val="25C24D84"/>
    <w:rsid w:val="25D541F8"/>
    <w:rsid w:val="25ED7201"/>
    <w:rsid w:val="26040EF9"/>
    <w:rsid w:val="2604539D"/>
    <w:rsid w:val="260C27C1"/>
    <w:rsid w:val="26157D88"/>
    <w:rsid w:val="26214599"/>
    <w:rsid w:val="262F0217"/>
    <w:rsid w:val="262F3A37"/>
    <w:rsid w:val="26303E26"/>
    <w:rsid w:val="26372E61"/>
    <w:rsid w:val="265754CC"/>
    <w:rsid w:val="26615298"/>
    <w:rsid w:val="268B6A43"/>
    <w:rsid w:val="26915C21"/>
    <w:rsid w:val="26986CDD"/>
    <w:rsid w:val="26987EF9"/>
    <w:rsid w:val="26A10E3D"/>
    <w:rsid w:val="26A47247"/>
    <w:rsid w:val="26A61FB0"/>
    <w:rsid w:val="26A8508C"/>
    <w:rsid w:val="26AD333E"/>
    <w:rsid w:val="26BB15FD"/>
    <w:rsid w:val="26BE6FDE"/>
    <w:rsid w:val="26EA6341"/>
    <w:rsid w:val="27056195"/>
    <w:rsid w:val="273D46C2"/>
    <w:rsid w:val="27414B83"/>
    <w:rsid w:val="274A5031"/>
    <w:rsid w:val="275330AC"/>
    <w:rsid w:val="275E45E8"/>
    <w:rsid w:val="27714E09"/>
    <w:rsid w:val="277515D5"/>
    <w:rsid w:val="278002B7"/>
    <w:rsid w:val="278029C3"/>
    <w:rsid w:val="27840543"/>
    <w:rsid w:val="278F0C96"/>
    <w:rsid w:val="279010F0"/>
    <w:rsid w:val="279D1605"/>
    <w:rsid w:val="27A26C29"/>
    <w:rsid w:val="27AC1848"/>
    <w:rsid w:val="27B45ABB"/>
    <w:rsid w:val="27BD1CA7"/>
    <w:rsid w:val="27BD7F64"/>
    <w:rsid w:val="27C27A30"/>
    <w:rsid w:val="27C46B92"/>
    <w:rsid w:val="27D76283"/>
    <w:rsid w:val="27DB0FD6"/>
    <w:rsid w:val="27DE1AD9"/>
    <w:rsid w:val="27E93158"/>
    <w:rsid w:val="27EC45F4"/>
    <w:rsid w:val="27FA1753"/>
    <w:rsid w:val="27FC6A9D"/>
    <w:rsid w:val="27FD9EBD"/>
    <w:rsid w:val="280C0007"/>
    <w:rsid w:val="2813071A"/>
    <w:rsid w:val="281D44F4"/>
    <w:rsid w:val="284D260E"/>
    <w:rsid w:val="28561727"/>
    <w:rsid w:val="28573AE6"/>
    <w:rsid w:val="285C64B5"/>
    <w:rsid w:val="28687E65"/>
    <w:rsid w:val="286E77C7"/>
    <w:rsid w:val="28854C54"/>
    <w:rsid w:val="288A1B89"/>
    <w:rsid w:val="28937CE4"/>
    <w:rsid w:val="28AD3ACA"/>
    <w:rsid w:val="28AF339E"/>
    <w:rsid w:val="28C23854"/>
    <w:rsid w:val="28DE2ECC"/>
    <w:rsid w:val="28E94DC0"/>
    <w:rsid w:val="28EA2628"/>
    <w:rsid w:val="28FE270C"/>
    <w:rsid w:val="290A3C79"/>
    <w:rsid w:val="291E49C7"/>
    <w:rsid w:val="292500A8"/>
    <w:rsid w:val="292621D9"/>
    <w:rsid w:val="2927387C"/>
    <w:rsid w:val="29387837"/>
    <w:rsid w:val="294A2428"/>
    <w:rsid w:val="29600B3C"/>
    <w:rsid w:val="297445E7"/>
    <w:rsid w:val="2979616D"/>
    <w:rsid w:val="297C64FE"/>
    <w:rsid w:val="29830BB3"/>
    <w:rsid w:val="298425E0"/>
    <w:rsid w:val="29946A38"/>
    <w:rsid w:val="29982CE9"/>
    <w:rsid w:val="299C4B83"/>
    <w:rsid w:val="29A97796"/>
    <w:rsid w:val="29B50E88"/>
    <w:rsid w:val="29B91D6A"/>
    <w:rsid w:val="29BA46F0"/>
    <w:rsid w:val="29CB06AB"/>
    <w:rsid w:val="29D65B8A"/>
    <w:rsid w:val="29E142B9"/>
    <w:rsid w:val="29EC6874"/>
    <w:rsid w:val="29F46E48"/>
    <w:rsid w:val="2A0F6410"/>
    <w:rsid w:val="2A1114C6"/>
    <w:rsid w:val="2A222295"/>
    <w:rsid w:val="2A247DBB"/>
    <w:rsid w:val="2A2F3106"/>
    <w:rsid w:val="2A386D96"/>
    <w:rsid w:val="2A426596"/>
    <w:rsid w:val="2A62655E"/>
    <w:rsid w:val="2A693A20"/>
    <w:rsid w:val="2A6E79AD"/>
    <w:rsid w:val="2A7A0E29"/>
    <w:rsid w:val="2A7C7BF7"/>
    <w:rsid w:val="2A822197"/>
    <w:rsid w:val="2A837EE1"/>
    <w:rsid w:val="2A8D0A93"/>
    <w:rsid w:val="2A9F645C"/>
    <w:rsid w:val="2ABE0808"/>
    <w:rsid w:val="2AC604CC"/>
    <w:rsid w:val="2ACC61BB"/>
    <w:rsid w:val="2ADB3EF0"/>
    <w:rsid w:val="2AF3793F"/>
    <w:rsid w:val="2AF45FB4"/>
    <w:rsid w:val="2B006133"/>
    <w:rsid w:val="2B013C59"/>
    <w:rsid w:val="2B06787C"/>
    <w:rsid w:val="2B2160A9"/>
    <w:rsid w:val="2B25746F"/>
    <w:rsid w:val="2B2671D2"/>
    <w:rsid w:val="2B291D04"/>
    <w:rsid w:val="2B3727DE"/>
    <w:rsid w:val="2B40716A"/>
    <w:rsid w:val="2B42499D"/>
    <w:rsid w:val="2B457EEC"/>
    <w:rsid w:val="2B4F713F"/>
    <w:rsid w:val="2B78037F"/>
    <w:rsid w:val="2B801747"/>
    <w:rsid w:val="2B89211B"/>
    <w:rsid w:val="2B8B4429"/>
    <w:rsid w:val="2B8C7171"/>
    <w:rsid w:val="2B9A0A0D"/>
    <w:rsid w:val="2B9B5F10"/>
    <w:rsid w:val="2BA26FBA"/>
    <w:rsid w:val="2BB02392"/>
    <w:rsid w:val="2BB050BC"/>
    <w:rsid w:val="2BB13FCD"/>
    <w:rsid w:val="2BBD04C8"/>
    <w:rsid w:val="2BC31659"/>
    <w:rsid w:val="2BCA34E0"/>
    <w:rsid w:val="2BD4136D"/>
    <w:rsid w:val="2BDA0897"/>
    <w:rsid w:val="2BE414A3"/>
    <w:rsid w:val="2BEC4909"/>
    <w:rsid w:val="2BED788C"/>
    <w:rsid w:val="2BF1120B"/>
    <w:rsid w:val="2BF67536"/>
    <w:rsid w:val="2C273564"/>
    <w:rsid w:val="2C3167C0"/>
    <w:rsid w:val="2C355A5E"/>
    <w:rsid w:val="2C4568A0"/>
    <w:rsid w:val="2C555185"/>
    <w:rsid w:val="2C5B772D"/>
    <w:rsid w:val="2C672535"/>
    <w:rsid w:val="2C6F14EE"/>
    <w:rsid w:val="2C7548FE"/>
    <w:rsid w:val="2C786791"/>
    <w:rsid w:val="2C7B06C4"/>
    <w:rsid w:val="2C7D37B3"/>
    <w:rsid w:val="2C7F752B"/>
    <w:rsid w:val="2C9F3729"/>
    <w:rsid w:val="2CC91FE8"/>
    <w:rsid w:val="2CCE2602"/>
    <w:rsid w:val="2CCF66B2"/>
    <w:rsid w:val="2CD47877"/>
    <w:rsid w:val="2CFA5546"/>
    <w:rsid w:val="2D173ED5"/>
    <w:rsid w:val="2D1926CF"/>
    <w:rsid w:val="2D1C695E"/>
    <w:rsid w:val="2D2208E3"/>
    <w:rsid w:val="2D32459D"/>
    <w:rsid w:val="2D3B75AD"/>
    <w:rsid w:val="2D3D2B71"/>
    <w:rsid w:val="2D4D07A5"/>
    <w:rsid w:val="2D5704A8"/>
    <w:rsid w:val="2D687B90"/>
    <w:rsid w:val="2D7A1722"/>
    <w:rsid w:val="2D856DA1"/>
    <w:rsid w:val="2D9167BF"/>
    <w:rsid w:val="2D9E299A"/>
    <w:rsid w:val="2DA32723"/>
    <w:rsid w:val="2DA32DF9"/>
    <w:rsid w:val="2DD613CD"/>
    <w:rsid w:val="2DDD7589"/>
    <w:rsid w:val="2DE33AEA"/>
    <w:rsid w:val="2DF857E7"/>
    <w:rsid w:val="2E071E2B"/>
    <w:rsid w:val="2E112CD6"/>
    <w:rsid w:val="2E1554AB"/>
    <w:rsid w:val="2E191BE2"/>
    <w:rsid w:val="2E1B2CF4"/>
    <w:rsid w:val="2E3D5493"/>
    <w:rsid w:val="2E426A62"/>
    <w:rsid w:val="2E513149"/>
    <w:rsid w:val="2E542FDC"/>
    <w:rsid w:val="2E666A58"/>
    <w:rsid w:val="2E692241"/>
    <w:rsid w:val="2E7848B8"/>
    <w:rsid w:val="2E7C6418"/>
    <w:rsid w:val="2E80382E"/>
    <w:rsid w:val="2E806D08"/>
    <w:rsid w:val="2E89196A"/>
    <w:rsid w:val="2EB165FD"/>
    <w:rsid w:val="2EC50044"/>
    <w:rsid w:val="2ED975A3"/>
    <w:rsid w:val="2EE43857"/>
    <w:rsid w:val="2EEA15D4"/>
    <w:rsid w:val="2EEE9052"/>
    <w:rsid w:val="2F015BEA"/>
    <w:rsid w:val="2F07320F"/>
    <w:rsid w:val="2F0A3A24"/>
    <w:rsid w:val="2F0D715C"/>
    <w:rsid w:val="2F0F21C4"/>
    <w:rsid w:val="2F10090E"/>
    <w:rsid w:val="2F177E43"/>
    <w:rsid w:val="2F1877C3"/>
    <w:rsid w:val="2F1E0BE9"/>
    <w:rsid w:val="2F1F0B51"/>
    <w:rsid w:val="2F3D71A1"/>
    <w:rsid w:val="2F3D7961"/>
    <w:rsid w:val="2F4862FA"/>
    <w:rsid w:val="2F4B799E"/>
    <w:rsid w:val="2F4E4F57"/>
    <w:rsid w:val="2F59648F"/>
    <w:rsid w:val="2F6672E9"/>
    <w:rsid w:val="2F6E5E71"/>
    <w:rsid w:val="2F7F30FC"/>
    <w:rsid w:val="2F81447C"/>
    <w:rsid w:val="2F850224"/>
    <w:rsid w:val="2F996B56"/>
    <w:rsid w:val="2F9B1802"/>
    <w:rsid w:val="2FA01C92"/>
    <w:rsid w:val="2FA86D99"/>
    <w:rsid w:val="2FC040E2"/>
    <w:rsid w:val="2FC40BB7"/>
    <w:rsid w:val="2FC5093E"/>
    <w:rsid w:val="2FD15B01"/>
    <w:rsid w:val="2FD96B4C"/>
    <w:rsid w:val="2FE80A81"/>
    <w:rsid w:val="2FE823FA"/>
    <w:rsid w:val="2FEF49C8"/>
    <w:rsid w:val="2FF13B1E"/>
    <w:rsid w:val="2FF303BE"/>
    <w:rsid w:val="2FF360F1"/>
    <w:rsid w:val="301C7D00"/>
    <w:rsid w:val="301D1535"/>
    <w:rsid w:val="301E37BE"/>
    <w:rsid w:val="303625F7"/>
    <w:rsid w:val="304811D2"/>
    <w:rsid w:val="306F092D"/>
    <w:rsid w:val="30705B08"/>
    <w:rsid w:val="30853C94"/>
    <w:rsid w:val="308D4341"/>
    <w:rsid w:val="309335A5"/>
    <w:rsid w:val="309373AE"/>
    <w:rsid w:val="30964BCF"/>
    <w:rsid w:val="30A47560"/>
    <w:rsid w:val="30A560DE"/>
    <w:rsid w:val="30A734F4"/>
    <w:rsid w:val="30AB04D6"/>
    <w:rsid w:val="30AB658B"/>
    <w:rsid w:val="30C45E54"/>
    <w:rsid w:val="30CB0F91"/>
    <w:rsid w:val="30D84ED6"/>
    <w:rsid w:val="30DC14A1"/>
    <w:rsid w:val="30E107B4"/>
    <w:rsid w:val="30E402A4"/>
    <w:rsid w:val="31027DD3"/>
    <w:rsid w:val="310B5831"/>
    <w:rsid w:val="310F3573"/>
    <w:rsid w:val="31114379"/>
    <w:rsid w:val="311C2C80"/>
    <w:rsid w:val="31244B45"/>
    <w:rsid w:val="31291D49"/>
    <w:rsid w:val="312E1520"/>
    <w:rsid w:val="31392FED"/>
    <w:rsid w:val="31427913"/>
    <w:rsid w:val="31470958"/>
    <w:rsid w:val="314E7418"/>
    <w:rsid w:val="3172765E"/>
    <w:rsid w:val="317474CA"/>
    <w:rsid w:val="31750E9D"/>
    <w:rsid w:val="3177520D"/>
    <w:rsid w:val="31787515"/>
    <w:rsid w:val="31796C3F"/>
    <w:rsid w:val="317F731A"/>
    <w:rsid w:val="31825B0F"/>
    <w:rsid w:val="31895BAF"/>
    <w:rsid w:val="3189765F"/>
    <w:rsid w:val="31A041CB"/>
    <w:rsid w:val="31A15CBF"/>
    <w:rsid w:val="31AB0563"/>
    <w:rsid w:val="31AF2FF1"/>
    <w:rsid w:val="31BC6B2B"/>
    <w:rsid w:val="31BF293A"/>
    <w:rsid w:val="31C82E1B"/>
    <w:rsid w:val="31C91C1F"/>
    <w:rsid w:val="31D66E1D"/>
    <w:rsid w:val="31DA1BF4"/>
    <w:rsid w:val="31E26C78"/>
    <w:rsid w:val="31ED2BE1"/>
    <w:rsid w:val="31EE2758"/>
    <w:rsid w:val="31F6028F"/>
    <w:rsid w:val="31FC3D6A"/>
    <w:rsid w:val="31FF763F"/>
    <w:rsid w:val="320D55D9"/>
    <w:rsid w:val="320D7387"/>
    <w:rsid w:val="321623EE"/>
    <w:rsid w:val="3216430B"/>
    <w:rsid w:val="32180206"/>
    <w:rsid w:val="3221139E"/>
    <w:rsid w:val="322272D6"/>
    <w:rsid w:val="322E44E1"/>
    <w:rsid w:val="3234348A"/>
    <w:rsid w:val="32415196"/>
    <w:rsid w:val="3250369B"/>
    <w:rsid w:val="32555EB0"/>
    <w:rsid w:val="325D20BC"/>
    <w:rsid w:val="32633E5B"/>
    <w:rsid w:val="32650F71"/>
    <w:rsid w:val="32676A97"/>
    <w:rsid w:val="32824258"/>
    <w:rsid w:val="329655CE"/>
    <w:rsid w:val="32984A5D"/>
    <w:rsid w:val="329F6F1A"/>
    <w:rsid w:val="32A23483"/>
    <w:rsid w:val="32B1225F"/>
    <w:rsid w:val="32B36180"/>
    <w:rsid w:val="32C04272"/>
    <w:rsid w:val="32D500AB"/>
    <w:rsid w:val="32D91EE9"/>
    <w:rsid w:val="32E42D23"/>
    <w:rsid w:val="32F377C5"/>
    <w:rsid w:val="331A61FF"/>
    <w:rsid w:val="33233306"/>
    <w:rsid w:val="332E5807"/>
    <w:rsid w:val="33332E1D"/>
    <w:rsid w:val="33334722"/>
    <w:rsid w:val="33373FFF"/>
    <w:rsid w:val="3338047E"/>
    <w:rsid w:val="333F7A14"/>
    <w:rsid w:val="3340689C"/>
    <w:rsid w:val="3342113B"/>
    <w:rsid w:val="334358FC"/>
    <w:rsid w:val="33484B1B"/>
    <w:rsid w:val="334C6AA1"/>
    <w:rsid w:val="334E57C4"/>
    <w:rsid w:val="33513D87"/>
    <w:rsid w:val="335443CF"/>
    <w:rsid w:val="3355548A"/>
    <w:rsid w:val="335715B1"/>
    <w:rsid w:val="33621F58"/>
    <w:rsid w:val="33681C99"/>
    <w:rsid w:val="33743FB2"/>
    <w:rsid w:val="337F7F00"/>
    <w:rsid w:val="33863832"/>
    <w:rsid w:val="338BDA94"/>
    <w:rsid w:val="338D69D1"/>
    <w:rsid w:val="339150EB"/>
    <w:rsid w:val="339B5E39"/>
    <w:rsid w:val="33A37FA3"/>
    <w:rsid w:val="33A51F6D"/>
    <w:rsid w:val="33AA4694"/>
    <w:rsid w:val="33B45867"/>
    <w:rsid w:val="33BC1B6E"/>
    <w:rsid w:val="33BF2903"/>
    <w:rsid w:val="33C26DA9"/>
    <w:rsid w:val="33DA5CCC"/>
    <w:rsid w:val="33EC7B9C"/>
    <w:rsid w:val="341474A4"/>
    <w:rsid w:val="341E52E0"/>
    <w:rsid w:val="341F2472"/>
    <w:rsid w:val="34380F43"/>
    <w:rsid w:val="343D534F"/>
    <w:rsid w:val="3445105A"/>
    <w:rsid w:val="346E43FD"/>
    <w:rsid w:val="34740D52"/>
    <w:rsid w:val="347D07F4"/>
    <w:rsid w:val="34831B82"/>
    <w:rsid w:val="348E1204"/>
    <w:rsid w:val="348F22D5"/>
    <w:rsid w:val="34B34216"/>
    <w:rsid w:val="34BC0FB1"/>
    <w:rsid w:val="34DA5C46"/>
    <w:rsid w:val="34E05800"/>
    <w:rsid w:val="34FF680C"/>
    <w:rsid w:val="350031D3"/>
    <w:rsid w:val="350636F3"/>
    <w:rsid w:val="350B5E00"/>
    <w:rsid w:val="35220E21"/>
    <w:rsid w:val="35282104"/>
    <w:rsid w:val="352B1E62"/>
    <w:rsid w:val="352E61CA"/>
    <w:rsid w:val="353B13FB"/>
    <w:rsid w:val="353D56FB"/>
    <w:rsid w:val="35411E02"/>
    <w:rsid w:val="35414425"/>
    <w:rsid w:val="3544694E"/>
    <w:rsid w:val="354F7E75"/>
    <w:rsid w:val="35554437"/>
    <w:rsid w:val="355F375B"/>
    <w:rsid w:val="3561126F"/>
    <w:rsid w:val="356955BF"/>
    <w:rsid w:val="35761E4B"/>
    <w:rsid w:val="35835102"/>
    <w:rsid w:val="3583585A"/>
    <w:rsid w:val="35845BB2"/>
    <w:rsid w:val="35936FB5"/>
    <w:rsid w:val="35966267"/>
    <w:rsid w:val="359A7184"/>
    <w:rsid w:val="35A21D97"/>
    <w:rsid w:val="35A261D5"/>
    <w:rsid w:val="35AB75E3"/>
    <w:rsid w:val="35B84DCA"/>
    <w:rsid w:val="35B9585C"/>
    <w:rsid w:val="35B95D54"/>
    <w:rsid w:val="35C86B26"/>
    <w:rsid w:val="35E86F94"/>
    <w:rsid w:val="35F9060A"/>
    <w:rsid w:val="3602505C"/>
    <w:rsid w:val="360929F0"/>
    <w:rsid w:val="360A3C9A"/>
    <w:rsid w:val="361433DA"/>
    <w:rsid w:val="36176A26"/>
    <w:rsid w:val="36186A2D"/>
    <w:rsid w:val="361A2073"/>
    <w:rsid w:val="361B2AE3"/>
    <w:rsid w:val="36203B2D"/>
    <w:rsid w:val="36235C4D"/>
    <w:rsid w:val="36292D85"/>
    <w:rsid w:val="36385A1D"/>
    <w:rsid w:val="3643781B"/>
    <w:rsid w:val="36462DED"/>
    <w:rsid w:val="364B6DAE"/>
    <w:rsid w:val="36531FAD"/>
    <w:rsid w:val="365D08DD"/>
    <w:rsid w:val="36625EF3"/>
    <w:rsid w:val="367F4CF7"/>
    <w:rsid w:val="369B334E"/>
    <w:rsid w:val="36AE6107"/>
    <w:rsid w:val="36BC4C73"/>
    <w:rsid w:val="36C4095C"/>
    <w:rsid w:val="36D666D7"/>
    <w:rsid w:val="36D66B5E"/>
    <w:rsid w:val="36E051C8"/>
    <w:rsid w:val="36E54FD9"/>
    <w:rsid w:val="36E84128"/>
    <w:rsid w:val="37042E4B"/>
    <w:rsid w:val="37465815"/>
    <w:rsid w:val="374D577A"/>
    <w:rsid w:val="375C5AB5"/>
    <w:rsid w:val="376506E9"/>
    <w:rsid w:val="376614A5"/>
    <w:rsid w:val="377C08BB"/>
    <w:rsid w:val="37983B97"/>
    <w:rsid w:val="37991E68"/>
    <w:rsid w:val="37A165A9"/>
    <w:rsid w:val="37A81943"/>
    <w:rsid w:val="37AE6F16"/>
    <w:rsid w:val="37B24FD4"/>
    <w:rsid w:val="37D56E26"/>
    <w:rsid w:val="37DA4AD7"/>
    <w:rsid w:val="37E64902"/>
    <w:rsid w:val="37EB5E40"/>
    <w:rsid w:val="380148D3"/>
    <w:rsid w:val="38094EBB"/>
    <w:rsid w:val="381E23B5"/>
    <w:rsid w:val="382B2278"/>
    <w:rsid w:val="382D0783"/>
    <w:rsid w:val="383C09C6"/>
    <w:rsid w:val="38422C73"/>
    <w:rsid w:val="38473395"/>
    <w:rsid w:val="385950D4"/>
    <w:rsid w:val="386677F1"/>
    <w:rsid w:val="387719FE"/>
    <w:rsid w:val="38804C71"/>
    <w:rsid w:val="388F4F9A"/>
    <w:rsid w:val="389A2D2B"/>
    <w:rsid w:val="38A03114"/>
    <w:rsid w:val="38AB76D3"/>
    <w:rsid w:val="38B54096"/>
    <w:rsid w:val="38B608DC"/>
    <w:rsid w:val="38BC7696"/>
    <w:rsid w:val="38BE68AA"/>
    <w:rsid w:val="38CF150C"/>
    <w:rsid w:val="38DB3D3B"/>
    <w:rsid w:val="38F13D2E"/>
    <w:rsid w:val="38F372D7"/>
    <w:rsid w:val="38FD72CF"/>
    <w:rsid w:val="390019F4"/>
    <w:rsid w:val="39035416"/>
    <w:rsid w:val="39067B61"/>
    <w:rsid w:val="39070FD4"/>
    <w:rsid w:val="391D5492"/>
    <w:rsid w:val="39290F4A"/>
    <w:rsid w:val="39301121"/>
    <w:rsid w:val="39333B77"/>
    <w:rsid w:val="393D0552"/>
    <w:rsid w:val="3942025E"/>
    <w:rsid w:val="39432213"/>
    <w:rsid w:val="39463C3B"/>
    <w:rsid w:val="39465DBA"/>
    <w:rsid w:val="394672B1"/>
    <w:rsid w:val="394E37B9"/>
    <w:rsid w:val="395653E8"/>
    <w:rsid w:val="3972617E"/>
    <w:rsid w:val="397464A8"/>
    <w:rsid w:val="397B77B8"/>
    <w:rsid w:val="398C14CE"/>
    <w:rsid w:val="398D772B"/>
    <w:rsid w:val="39974106"/>
    <w:rsid w:val="39981C2C"/>
    <w:rsid w:val="399D36E6"/>
    <w:rsid w:val="399E032D"/>
    <w:rsid w:val="39A27606"/>
    <w:rsid w:val="39A348ED"/>
    <w:rsid w:val="39A36C79"/>
    <w:rsid w:val="39A72365"/>
    <w:rsid w:val="39A93E39"/>
    <w:rsid w:val="39AB4BC0"/>
    <w:rsid w:val="39B46480"/>
    <w:rsid w:val="39B57810"/>
    <w:rsid w:val="39C2092A"/>
    <w:rsid w:val="39D2770B"/>
    <w:rsid w:val="39DA652D"/>
    <w:rsid w:val="39ED01CA"/>
    <w:rsid w:val="39F009A4"/>
    <w:rsid w:val="3A015C62"/>
    <w:rsid w:val="3A326F2E"/>
    <w:rsid w:val="3A327A7E"/>
    <w:rsid w:val="3A361D5C"/>
    <w:rsid w:val="3A3B518A"/>
    <w:rsid w:val="3A3D6EAB"/>
    <w:rsid w:val="3A3F7A93"/>
    <w:rsid w:val="3A4457FE"/>
    <w:rsid w:val="3A5D6D39"/>
    <w:rsid w:val="3A6531DA"/>
    <w:rsid w:val="3A6B5356"/>
    <w:rsid w:val="3A6D7748"/>
    <w:rsid w:val="3A714BFD"/>
    <w:rsid w:val="3A772828"/>
    <w:rsid w:val="3A874BD8"/>
    <w:rsid w:val="3A891042"/>
    <w:rsid w:val="3A922B1F"/>
    <w:rsid w:val="3A993EAE"/>
    <w:rsid w:val="3AA0348E"/>
    <w:rsid w:val="3AAB1B20"/>
    <w:rsid w:val="3AB22116"/>
    <w:rsid w:val="3AE510DB"/>
    <w:rsid w:val="3AE700FD"/>
    <w:rsid w:val="3AFF53F1"/>
    <w:rsid w:val="3B005C32"/>
    <w:rsid w:val="3B096A9F"/>
    <w:rsid w:val="3B0D23A6"/>
    <w:rsid w:val="3B143CAA"/>
    <w:rsid w:val="3B247C1B"/>
    <w:rsid w:val="3B2A146C"/>
    <w:rsid w:val="3B3318C0"/>
    <w:rsid w:val="3B3E7727"/>
    <w:rsid w:val="3B3F2CA7"/>
    <w:rsid w:val="3B497B2D"/>
    <w:rsid w:val="3B521F67"/>
    <w:rsid w:val="3B6E2F61"/>
    <w:rsid w:val="3B724FE4"/>
    <w:rsid w:val="3B8343BE"/>
    <w:rsid w:val="3B844245"/>
    <w:rsid w:val="3B8E2419"/>
    <w:rsid w:val="3BC211E2"/>
    <w:rsid w:val="3BC93037"/>
    <w:rsid w:val="3BCE536B"/>
    <w:rsid w:val="3BD41EF4"/>
    <w:rsid w:val="3BDA4EF0"/>
    <w:rsid w:val="3BE0241A"/>
    <w:rsid w:val="3BE64ED1"/>
    <w:rsid w:val="3BED6EE9"/>
    <w:rsid w:val="3BF375EE"/>
    <w:rsid w:val="3C027CA2"/>
    <w:rsid w:val="3C0331F7"/>
    <w:rsid w:val="3C0D0C4A"/>
    <w:rsid w:val="3C365D8C"/>
    <w:rsid w:val="3C473765"/>
    <w:rsid w:val="3C4E1357"/>
    <w:rsid w:val="3C575DCE"/>
    <w:rsid w:val="3C664263"/>
    <w:rsid w:val="3C6A230E"/>
    <w:rsid w:val="3C77163A"/>
    <w:rsid w:val="3C805325"/>
    <w:rsid w:val="3C9E74F6"/>
    <w:rsid w:val="3CAD59EE"/>
    <w:rsid w:val="3CAF1767"/>
    <w:rsid w:val="3CD218F9"/>
    <w:rsid w:val="3CDE34FA"/>
    <w:rsid w:val="3CEF7524"/>
    <w:rsid w:val="3D023F8C"/>
    <w:rsid w:val="3D0870C9"/>
    <w:rsid w:val="3D101B9B"/>
    <w:rsid w:val="3D104BF1"/>
    <w:rsid w:val="3D2106A9"/>
    <w:rsid w:val="3D300C8A"/>
    <w:rsid w:val="3D5B197D"/>
    <w:rsid w:val="3D5B7E35"/>
    <w:rsid w:val="3D70311C"/>
    <w:rsid w:val="3D750231"/>
    <w:rsid w:val="3D8116DF"/>
    <w:rsid w:val="3D81307B"/>
    <w:rsid w:val="3D9A2417"/>
    <w:rsid w:val="3DDC2A2F"/>
    <w:rsid w:val="3DE03D4D"/>
    <w:rsid w:val="3DE32978"/>
    <w:rsid w:val="3DF7720A"/>
    <w:rsid w:val="3DF9588E"/>
    <w:rsid w:val="3E0C7A8D"/>
    <w:rsid w:val="3E1B0B74"/>
    <w:rsid w:val="3E1B3990"/>
    <w:rsid w:val="3E3C6677"/>
    <w:rsid w:val="3E4101E2"/>
    <w:rsid w:val="3E7137C1"/>
    <w:rsid w:val="3E74677C"/>
    <w:rsid w:val="3E927592"/>
    <w:rsid w:val="3E9A01F4"/>
    <w:rsid w:val="3EA370A9"/>
    <w:rsid w:val="3EAD639F"/>
    <w:rsid w:val="3EBC63BD"/>
    <w:rsid w:val="3EBD34B2"/>
    <w:rsid w:val="3EC4728B"/>
    <w:rsid w:val="3EDA7DE5"/>
    <w:rsid w:val="3EDB0B3A"/>
    <w:rsid w:val="3EE5713F"/>
    <w:rsid w:val="3EE85DB4"/>
    <w:rsid w:val="3EF1250A"/>
    <w:rsid w:val="3EF15C5D"/>
    <w:rsid w:val="3EF60048"/>
    <w:rsid w:val="3EF920D4"/>
    <w:rsid w:val="3F0072F3"/>
    <w:rsid w:val="3F0264C5"/>
    <w:rsid w:val="3F132476"/>
    <w:rsid w:val="3F1E2BD3"/>
    <w:rsid w:val="3F232F54"/>
    <w:rsid w:val="3F2502D6"/>
    <w:rsid w:val="3F2832C1"/>
    <w:rsid w:val="3F3116D1"/>
    <w:rsid w:val="3F32667F"/>
    <w:rsid w:val="3F3B3785"/>
    <w:rsid w:val="3F3E5024"/>
    <w:rsid w:val="3F3E6DD2"/>
    <w:rsid w:val="3F4F2270"/>
    <w:rsid w:val="3F5179BF"/>
    <w:rsid w:val="3F5B500B"/>
    <w:rsid w:val="3F7040E9"/>
    <w:rsid w:val="3F7462C0"/>
    <w:rsid w:val="3F867AC3"/>
    <w:rsid w:val="3F870A2F"/>
    <w:rsid w:val="3F8A64BB"/>
    <w:rsid w:val="3F960F95"/>
    <w:rsid w:val="3FC25600"/>
    <w:rsid w:val="3FCE239A"/>
    <w:rsid w:val="3FDB28FA"/>
    <w:rsid w:val="3FDD3F8A"/>
    <w:rsid w:val="3FE2041C"/>
    <w:rsid w:val="3FF12096"/>
    <w:rsid w:val="40031933"/>
    <w:rsid w:val="40076E17"/>
    <w:rsid w:val="401C35B7"/>
    <w:rsid w:val="40275AB8"/>
    <w:rsid w:val="40404A10"/>
    <w:rsid w:val="40420381"/>
    <w:rsid w:val="4054703C"/>
    <w:rsid w:val="405E6F74"/>
    <w:rsid w:val="4063054B"/>
    <w:rsid w:val="406502ED"/>
    <w:rsid w:val="40661186"/>
    <w:rsid w:val="40694322"/>
    <w:rsid w:val="406D5BC1"/>
    <w:rsid w:val="40736F4F"/>
    <w:rsid w:val="408D7B90"/>
    <w:rsid w:val="408F3543"/>
    <w:rsid w:val="40900414"/>
    <w:rsid w:val="40B333C4"/>
    <w:rsid w:val="40B530C4"/>
    <w:rsid w:val="40BE52F3"/>
    <w:rsid w:val="40D748B6"/>
    <w:rsid w:val="40D92762"/>
    <w:rsid w:val="4101455B"/>
    <w:rsid w:val="4102348C"/>
    <w:rsid w:val="41130090"/>
    <w:rsid w:val="411424E0"/>
    <w:rsid w:val="41210759"/>
    <w:rsid w:val="41411230"/>
    <w:rsid w:val="414144C3"/>
    <w:rsid w:val="414F176A"/>
    <w:rsid w:val="414F7400"/>
    <w:rsid w:val="416C40CA"/>
    <w:rsid w:val="416D3B2E"/>
    <w:rsid w:val="41706130"/>
    <w:rsid w:val="4177790A"/>
    <w:rsid w:val="41842CE0"/>
    <w:rsid w:val="41AA4BF2"/>
    <w:rsid w:val="41CF21DE"/>
    <w:rsid w:val="41DF1F10"/>
    <w:rsid w:val="41E9396D"/>
    <w:rsid w:val="41EC1821"/>
    <w:rsid w:val="41EC520B"/>
    <w:rsid w:val="41ED7771"/>
    <w:rsid w:val="41EE5E2D"/>
    <w:rsid w:val="41F104EE"/>
    <w:rsid w:val="41F173F7"/>
    <w:rsid w:val="42024A2E"/>
    <w:rsid w:val="420F0348"/>
    <w:rsid w:val="423D1BD5"/>
    <w:rsid w:val="42424E2B"/>
    <w:rsid w:val="42460C12"/>
    <w:rsid w:val="42483AF9"/>
    <w:rsid w:val="42506263"/>
    <w:rsid w:val="42574B84"/>
    <w:rsid w:val="426F425E"/>
    <w:rsid w:val="42763CD0"/>
    <w:rsid w:val="42785946"/>
    <w:rsid w:val="427E044B"/>
    <w:rsid w:val="42883FD8"/>
    <w:rsid w:val="42933B54"/>
    <w:rsid w:val="42D75573"/>
    <w:rsid w:val="42E250AA"/>
    <w:rsid w:val="42F52831"/>
    <w:rsid w:val="430D5A16"/>
    <w:rsid w:val="431247FD"/>
    <w:rsid w:val="4315240D"/>
    <w:rsid w:val="431E7646"/>
    <w:rsid w:val="43264302"/>
    <w:rsid w:val="432C7D61"/>
    <w:rsid w:val="43322DF2"/>
    <w:rsid w:val="434378AC"/>
    <w:rsid w:val="43490BE5"/>
    <w:rsid w:val="434B7FC3"/>
    <w:rsid w:val="43697B1B"/>
    <w:rsid w:val="43924F9C"/>
    <w:rsid w:val="439D2BD5"/>
    <w:rsid w:val="43B12208"/>
    <w:rsid w:val="43B1499E"/>
    <w:rsid w:val="43B7511E"/>
    <w:rsid w:val="43CC0E50"/>
    <w:rsid w:val="43CF77CD"/>
    <w:rsid w:val="43ED7A38"/>
    <w:rsid w:val="43FB0286"/>
    <w:rsid w:val="43FB0B9F"/>
    <w:rsid w:val="43FD5D9C"/>
    <w:rsid w:val="44034EDB"/>
    <w:rsid w:val="440B4927"/>
    <w:rsid w:val="441F3C18"/>
    <w:rsid w:val="441F5424"/>
    <w:rsid w:val="4420119C"/>
    <w:rsid w:val="442432F0"/>
    <w:rsid w:val="4436451B"/>
    <w:rsid w:val="443A468E"/>
    <w:rsid w:val="4445669A"/>
    <w:rsid w:val="4451255A"/>
    <w:rsid w:val="44557CFB"/>
    <w:rsid w:val="44641089"/>
    <w:rsid w:val="44724E5C"/>
    <w:rsid w:val="4484172B"/>
    <w:rsid w:val="448A5489"/>
    <w:rsid w:val="4492209A"/>
    <w:rsid w:val="449626A3"/>
    <w:rsid w:val="4497145E"/>
    <w:rsid w:val="449B5A9D"/>
    <w:rsid w:val="44B41D30"/>
    <w:rsid w:val="44B46031"/>
    <w:rsid w:val="44B50C18"/>
    <w:rsid w:val="44B6565C"/>
    <w:rsid w:val="44C31C8F"/>
    <w:rsid w:val="44C43143"/>
    <w:rsid w:val="44C856F7"/>
    <w:rsid w:val="44CD1DA8"/>
    <w:rsid w:val="44D63DB5"/>
    <w:rsid w:val="44D65FFB"/>
    <w:rsid w:val="44E006D4"/>
    <w:rsid w:val="44E65F41"/>
    <w:rsid w:val="44EC21F6"/>
    <w:rsid w:val="44FB5317"/>
    <w:rsid w:val="4500026C"/>
    <w:rsid w:val="450A60D4"/>
    <w:rsid w:val="45176692"/>
    <w:rsid w:val="452019F8"/>
    <w:rsid w:val="4520377E"/>
    <w:rsid w:val="45292FA8"/>
    <w:rsid w:val="45375F71"/>
    <w:rsid w:val="454A2E71"/>
    <w:rsid w:val="45554E75"/>
    <w:rsid w:val="45625A5A"/>
    <w:rsid w:val="45656932"/>
    <w:rsid w:val="45667BC9"/>
    <w:rsid w:val="4582210E"/>
    <w:rsid w:val="45B00CB7"/>
    <w:rsid w:val="45B3436B"/>
    <w:rsid w:val="45B474EC"/>
    <w:rsid w:val="45B918A8"/>
    <w:rsid w:val="45B96F33"/>
    <w:rsid w:val="45C80AF7"/>
    <w:rsid w:val="45CB5A15"/>
    <w:rsid w:val="45D35D56"/>
    <w:rsid w:val="45DE4E6B"/>
    <w:rsid w:val="45DF42F9"/>
    <w:rsid w:val="45E30CC2"/>
    <w:rsid w:val="45E35E78"/>
    <w:rsid w:val="45EB652F"/>
    <w:rsid w:val="45F60BD5"/>
    <w:rsid w:val="45F8417E"/>
    <w:rsid w:val="45FA0A26"/>
    <w:rsid w:val="460743C1"/>
    <w:rsid w:val="46132D66"/>
    <w:rsid w:val="46284338"/>
    <w:rsid w:val="462F56C6"/>
    <w:rsid w:val="46392047"/>
    <w:rsid w:val="464404C4"/>
    <w:rsid w:val="464F7B16"/>
    <w:rsid w:val="46537607"/>
    <w:rsid w:val="46560EA5"/>
    <w:rsid w:val="465C4DC6"/>
    <w:rsid w:val="465E49E6"/>
    <w:rsid w:val="467E5C70"/>
    <w:rsid w:val="46A22B91"/>
    <w:rsid w:val="46A81102"/>
    <w:rsid w:val="46A83D2D"/>
    <w:rsid w:val="46AE0CE1"/>
    <w:rsid w:val="46B04A59"/>
    <w:rsid w:val="46BE07F2"/>
    <w:rsid w:val="46DA1AD6"/>
    <w:rsid w:val="46DF043C"/>
    <w:rsid w:val="46FA3B28"/>
    <w:rsid w:val="46FF1116"/>
    <w:rsid w:val="47054F10"/>
    <w:rsid w:val="47136D96"/>
    <w:rsid w:val="47165CC2"/>
    <w:rsid w:val="471E4795"/>
    <w:rsid w:val="472649FE"/>
    <w:rsid w:val="472B23A9"/>
    <w:rsid w:val="47305B9A"/>
    <w:rsid w:val="4731727A"/>
    <w:rsid w:val="473236C0"/>
    <w:rsid w:val="47332F94"/>
    <w:rsid w:val="473941A0"/>
    <w:rsid w:val="4740402F"/>
    <w:rsid w:val="47405319"/>
    <w:rsid w:val="474827AE"/>
    <w:rsid w:val="47507FEA"/>
    <w:rsid w:val="475D0B3C"/>
    <w:rsid w:val="4761782C"/>
    <w:rsid w:val="47646533"/>
    <w:rsid w:val="47697659"/>
    <w:rsid w:val="47794E4B"/>
    <w:rsid w:val="478A0890"/>
    <w:rsid w:val="478A574A"/>
    <w:rsid w:val="478E23E4"/>
    <w:rsid w:val="479310D3"/>
    <w:rsid w:val="47A31265"/>
    <w:rsid w:val="47A3636C"/>
    <w:rsid w:val="47C50090"/>
    <w:rsid w:val="47C93C9F"/>
    <w:rsid w:val="47CA78CE"/>
    <w:rsid w:val="47CD1390"/>
    <w:rsid w:val="47D429C9"/>
    <w:rsid w:val="47D90AA0"/>
    <w:rsid w:val="47DA3114"/>
    <w:rsid w:val="47E10C42"/>
    <w:rsid w:val="47EA68D9"/>
    <w:rsid w:val="47F24C7D"/>
    <w:rsid w:val="47FC70B6"/>
    <w:rsid w:val="48030C56"/>
    <w:rsid w:val="48174664"/>
    <w:rsid w:val="482C010F"/>
    <w:rsid w:val="48382F58"/>
    <w:rsid w:val="48407D4F"/>
    <w:rsid w:val="48594C7C"/>
    <w:rsid w:val="489929C8"/>
    <w:rsid w:val="48A07734"/>
    <w:rsid w:val="48A91760"/>
    <w:rsid w:val="48AA3747"/>
    <w:rsid w:val="48AC38CB"/>
    <w:rsid w:val="48B74750"/>
    <w:rsid w:val="48BB3550"/>
    <w:rsid w:val="48BD520B"/>
    <w:rsid w:val="48D43A20"/>
    <w:rsid w:val="48E704DA"/>
    <w:rsid w:val="48EA3B26"/>
    <w:rsid w:val="48ED40D1"/>
    <w:rsid w:val="48F42EAD"/>
    <w:rsid w:val="48FC0BC4"/>
    <w:rsid w:val="49016C89"/>
    <w:rsid w:val="491312CF"/>
    <w:rsid w:val="49387A3B"/>
    <w:rsid w:val="4942786D"/>
    <w:rsid w:val="494C0A37"/>
    <w:rsid w:val="495B184D"/>
    <w:rsid w:val="495B3342"/>
    <w:rsid w:val="498B5309"/>
    <w:rsid w:val="499917D4"/>
    <w:rsid w:val="499925D2"/>
    <w:rsid w:val="499A554C"/>
    <w:rsid w:val="49A210C2"/>
    <w:rsid w:val="49B0735B"/>
    <w:rsid w:val="49B26103"/>
    <w:rsid w:val="49B75283"/>
    <w:rsid w:val="49DE6724"/>
    <w:rsid w:val="49E511BD"/>
    <w:rsid w:val="49F16CF3"/>
    <w:rsid w:val="49FD1B44"/>
    <w:rsid w:val="4A02527F"/>
    <w:rsid w:val="4A0941E1"/>
    <w:rsid w:val="4A0A6440"/>
    <w:rsid w:val="4A162954"/>
    <w:rsid w:val="4A2C6F8C"/>
    <w:rsid w:val="4A363423"/>
    <w:rsid w:val="4A3B19A0"/>
    <w:rsid w:val="4A3D4856"/>
    <w:rsid w:val="4A472394"/>
    <w:rsid w:val="4A58343D"/>
    <w:rsid w:val="4A586416"/>
    <w:rsid w:val="4A637C9A"/>
    <w:rsid w:val="4A646AF9"/>
    <w:rsid w:val="4A673806"/>
    <w:rsid w:val="4A6F69D9"/>
    <w:rsid w:val="4A755582"/>
    <w:rsid w:val="4A7F4E6E"/>
    <w:rsid w:val="4A8204BA"/>
    <w:rsid w:val="4A8561FD"/>
    <w:rsid w:val="4A8C1339"/>
    <w:rsid w:val="4A8D411F"/>
    <w:rsid w:val="4A9B6D6E"/>
    <w:rsid w:val="4A9E2E1A"/>
    <w:rsid w:val="4AAE12AF"/>
    <w:rsid w:val="4ABD14F2"/>
    <w:rsid w:val="4ABF0D28"/>
    <w:rsid w:val="4AC15412"/>
    <w:rsid w:val="4AC46D25"/>
    <w:rsid w:val="4ADA02F6"/>
    <w:rsid w:val="4ADB0914"/>
    <w:rsid w:val="4AE81E9C"/>
    <w:rsid w:val="4AEF07E9"/>
    <w:rsid w:val="4AF34FD1"/>
    <w:rsid w:val="4AF40A4E"/>
    <w:rsid w:val="4AF67303"/>
    <w:rsid w:val="4B014375"/>
    <w:rsid w:val="4B017244"/>
    <w:rsid w:val="4B087FB5"/>
    <w:rsid w:val="4B0E1D4E"/>
    <w:rsid w:val="4B382070"/>
    <w:rsid w:val="4B3D2633"/>
    <w:rsid w:val="4B40489E"/>
    <w:rsid w:val="4B4254CC"/>
    <w:rsid w:val="4B447056"/>
    <w:rsid w:val="4B475260"/>
    <w:rsid w:val="4B582D83"/>
    <w:rsid w:val="4B591595"/>
    <w:rsid w:val="4B6776B0"/>
    <w:rsid w:val="4B785B6A"/>
    <w:rsid w:val="4B796337"/>
    <w:rsid w:val="4B7A3887"/>
    <w:rsid w:val="4B852696"/>
    <w:rsid w:val="4BB723E6"/>
    <w:rsid w:val="4BC73C07"/>
    <w:rsid w:val="4BE56F53"/>
    <w:rsid w:val="4BED22AB"/>
    <w:rsid w:val="4BEF7DD1"/>
    <w:rsid w:val="4BF653C5"/>
    <w:rsid w:val="4BF94693"/>
    <w:rsid w:val="4BFB6776"/>
    <w:rsid w:val="4C0738B6"/>
    <w:rsid w:val="4C0C0983"/>
    <w:rsid w:val="4C1D2A3A"/>
    <w:rsid w:val="4C222D96"/>
    <w:rsid w:val="4C2537F3"/>
    <w:rsid w:val="4C27552A"/>
    <w:rsid w:val="4C417BF7"/>
    <w:rsid w:val="4C4F7024"/>
    <w:rsid w:val="4C5069C8"/>
    <w:rsid w:val="4C5C2CA1"/>
    <w:rsid w:val="4C661F17"/>
    <w:rsid w:val="4C6F2CC0"/>
    <w:rsid w:val="4C7E4CB1"/>
    <w:rsid w:val="4C981298"/>
    <w:rsid w:val="4CA70EB7"/>
    <w:rsid w:val="4CA940AF"/>
    <w:rsid w:val="4CB00748"/>
    <w:rsid w:val="4CB01341"/>
    <w:rsid w:val="4CBB7CC4"/>
    <w:rsid w:val="4CBF6DC3"/>
    <w:rsid w:val="4CD10589"/>
    <w:rsid w:val="4CD968CC"/>
    <w:rsid w:val="4CE0518B"/>
    <w:rsid w:val="4CF2476C"/>
    <w:rsid w:val="4D031BF1"/>
    <w:rsid w:val="4D136CE6"/>
    <w:rsid w:val="4D2A40E0"/>
    <w:rsid w:val="4D2B2854"/>
    <w:rsid w:val="4D31441A"/>
    <w:rsid w:val="4D333CEE"/>
    <w:rsid w:val="4D391035"/>
    <w:rsid w:val="4D3961E7"/>
    <w:rsid w:val="4D396D32"/>
    <w:rsid w:val="4D3A32CE"/>
    <w:rsid w:val="4D444E77"/>
    <w:rsid w:val="4D481621"/>
    <w:rsid w:val="4D4A5E20"/>
    <w:rsid w:val="4D4E2192"/>
    <w:rsid w:val="4D554104"/>
    <w:rsid w:val="4D5C37D5"/>
    <w:rsid w:val="4D616AAD"/>
    <w:rsid w:val="4D654BD1"/>
    <w:rsid w:val="4D840DD3"/>
    <w:rsid w:val="4D9111F9"/>
    <w:rsid w:val="4DA370C6"/>
    <w:rsid w:val="4DA85F4A"/>
    <w:rsid w:val="4DA95791"/>
    <w:rsid w:val="4DAC58DB"/>
    <w:rsid w:val="4DB36BDD"/>
    <w:rsid w:val="4DBC1867"/>
    <w:rsid w:val="4DCB7B9B"/>
    <w:rsid w:val="4DD202D7"/>
    <w:rsid w:val="4DD64E50"/>
    <w:rsid w:val="4DDB6BD5"/>
    <w:rsid w:val="4DF002B3"/>
    <w:rsid w:val="4DF746D0"/>
    <w:rsid w:val="4DF85F9D"/>
    <w:rsid w:val="4E017FF9"/>
    <w:rsid w:val="4E022359"/>
    <w:rsid w:val="4E085D97"/>
    <w:rsid w:val="4E3C6BD2"/>
    <w:rsid w:val="4E523B5A"/>
    <w:rsid w:val="4E5263F6"/>
    <w:rsid w:val="4E656129"/>
    <w:rsid w:val="4E6B4B6F"/>
    <w:rsid w:val="4E705FDA"/>
    <w:rsid w:val="4E723934"/>
    <w:rsid w:val="4E7914BD"/>
    <w:rsid w:val="4E820D9A"/>
    <w:rsid w:val="4E850579"/>
    <w:rsid w:val="4E871CBF"/>
    <w:rsid w:val="4E9755EF"/>
    <w:rsid w:val="4EA03605"/>
    <w:rsid w:val="4EA056A9"/>
    <w:rsid w:val="4EA10366"/>
    <w:rsid w:val="4EB87A5C"/>
    <w:rsid w:val="4EC92B5C"/>
    <w:rsid w:val="4ED65279"/>
    <w:rsid w:val="4ED65A27"/>
    <w:rsid w:val="4EDB63EB"/>
    <w:rsid w:val="4EE7089D"/>
    <w:rsid w:val="4EED0275"/>
    <w:rsid w:val="4EF66D8C"/>
    <w:rsid w:val="4F0C2A48"/>
    <w:rsid w:val="4F134EBD"/>
    <w:rsid w:val="4F2E12F6"/>
    <w:rsid w:val="4F30368B"/>
    <w:rsid w:val="4F506DD9"/>
    <w:rsid w:val="4F56068D"/>
    <w:rsid w:val="4F562C8C"/>
    <w:rsid w:val="4F740041"/>
    <w:rsid w:val="4F7C23DE"/>
    <w:rsid w:val="4F7E1928"/>
    <w:rsid w:val="4F7E28FC"/>
    <w:rsid w:val="4F850C9A"/>
    <w:rsid w:val="4F8F37B6"/>
    <w:rsid w:val="4F9D0725"/>
    <w:rsid w:val="4F9D246B"/>
    <w:rsid w:val="4F9F38BD"/>
    <w:rsid w:val="4FA9214B"/>
    <w:rsid w:val="4FAB30A6"/>
    <w:rsid w:val="4FB70C06"/>
    <w:rsid w:val="4FBD6D71"/>
    <w:rsid w:val="4FC73264"/>
    <w:rsid w:val="4FC82E13"/>
    <w:rsid w:val="4FE37C4D"/>
    <w:rsid w:val="4FEF59CA"/>
    <w:rsid w:val="4FFE3B9D"/>
    <w:rsid w:val="503F65DD"/>
    <w:rsid w:val="504016F1"/>
    <w:rsid w:val="504148F2"/>
    <w:rsid w:val="504B29FB"/>
    <w:rsid w:val="504F6BFA"/>
    <w:rsid w:val="50502E09"/>
    <w:rsid w:val="50506965"/>
    <w:rsid w:val="50615CCE"/>
    <w:rsid w:val="507377F2"/>
    <w:rsid w:val="5081166F"/>
    <w:rsid w:val="508A00C9"/>
    <w:rsid w:val="50965AD6"/>
    <w:rsid w:val="50A62A29"/>
    <w:rsid w:val="50B60EBE"/>
    <w:rsid w:val="50BD624C"/>
    <w:rsid w:val="50C80632"/>
    <w:rsid w:val="50CB33F1"/>
    <w:rsid w:val="50CD6207"/>
    <w:rsid w:val="50CF3D2E"/>
    <w:rsid w:val="50D62C30"/>
    <w:rsid w:val="50F76EB5"/>
    <w:rsid w:val="50F934A0"/>
    <w:rsid w:val="50FB6C29"/>
    <w:rsid w:val="51025EB1"/>
    <w:rsid w:val="51040ACC"/>
    <w:rsid w:val="511300BE"/>
    <w:rsid w:val="511D0F3D"/>
    <w:rsid w:val="511E20D7"/>
    <w:rsid w:val="51222E8E"/>
    <w:rsid w:val="51325AAC"/>
    <w:rsid w:val="514658E0"/>
    <w:rsid w:val="51487C66"/>
    <w:rsid w:val="515A79E2"/>
    <w:rsid w:val="51656833"/>
    <w:rsid w:val="516C39FA"/>
    <w:rsid w:val="517714A2"/>
    <w:rsid w:val="51773364"/>
    <w:rsid w:val="517A638F"/>
    <w:rsid w:val="517C2D91"/>
    <w:rsid w:val="51850E78"/>
    <w:rsid w:val="51881A7F"/>
    <w:rsid w:val="51976F41"/>
    <w:rsid w:val="51A62257"/>
    <w:rsid w:val="51A96C75"/>
    <w:rsid w:val="51AB479B"/>
    <w:rsid w:val="51B66C4D"/>
    <w:rsid w:val="51C55131"/>
    <w:rsid w:val="51CE2366"/>
    <w:rsid w:val="51D07D5D"/>
    <w:rsid w:val="51D57A6A"/>
    <w:rsid w:val="51D73705"/>
    <w:rsid w:val="51E3596A"/>
    <w:rsid w:val="51E47CAD"/>
    <w:rsid w:val="51ED0175"/>
    <w:rsid w:val="51EE42E6"/>
    <w:rsid w:val="51F80C3E"/>
    <w:rsid w:val="51F85506"/>
    <w:rsid w:val="5205336E"/>
    <w:rsid w:val="52071C49"/>
    <w:rsid w:val="52400E20"/>
    <w:rsid w:val="5254355D"/>
    <w:rsid w:val="527C1C93"/>
    <w:rsid w:val="527E1EAF"/>
    <w:rsid w:val="52816A7D"/>
    <w:rsid w:val="528C16D4"/>
    <w:rsid w:val="529466F2"/>
    <w:rsid w:val="52B153DA"/>
    <w:rsid w:val="52B906C1"/>
    <w:rsid w:val="52C326D9"/>
    <w:rsid w:val="52D95812"/>
    <w:rsid w:val="52D9632E"/>
    <w:rsid w:val="52DE46FC"/>
    <w:rsid w:val="52E92A60"/>
    <w:rsid w:val="5305327E"/>
    <w:rsid w:val="53254A5A"/>
    <w:rsid w:val="53275313"/>
    <w:rsid w:val="532E7D32"/>
    <w:rsid w:val="5339037D"/>
    <w:rsid w:val="5339427A"/>
    <w:rsid w:val="535464BD"/>
    <w:rsid w:val="53610DA9"/>
    <w:rsid w:val="53681BB6"/>
    <w:rsid w:val="536B7291"/>
    <w:rsid w:val="53717049"/>
    <w:rsid w:val="537E3461"/>
    <w:rsid w:val="537F4B7D"/>
    <w:rsid w:val="5382777D"/>
    <w:rsid w:val="5394161B"/>
    <w:rsid w:val="539E3693"/>
    <w:rsid w:val="53AB0716"/>
    <w:rsid w:val="53C438F2"/>
    <w:rsid w:val="53DF5896"/>
    <w:rsid w:val="53F51B7D"/>
    <w:rsid w:val="53F6232F"/>
    <w:rsid w:val="54127A69"/>
    <w:rsid w:val="541C4C75"/>
    <w:rsid w:val="54266AB8"/>
    <w:rsid w:val="542919A7"/>
    <w:rsid w:val="54297BF9"/>
    <w:rsid w:val="542B1BC3"/>
    <w:rsid w:val="5447287D"/>
    <w:rsid w:val="54477C33"/>
    <w:rsid w:val="54534C76"/>
    <w:rsid w:val="545350F0"/>
    <w:rsid w:val="54613364"/>
    <w:rsid w:val="546B5C0E"/>
    <w:rsid w:val="54726F7A"/>
    <w:rsid w:val="548412D3"/>
    <w:rsid w:val="548B440F"/>
    <w:rsid w:val="5490708A"/>
    <w:rsid w:val="54982346"/>
    <w:rsid w:val="54983866"/>
    <w:rsid w:val="549A1BD9"/>
    <w:rsid w:val="54A506C8"/>
    <w:rsid w:val="54A5228E"/>
    <w:rsid w:val="54AB6860"/>
    <w:rsid w:val="54B47AB9"/>
    <w:rsid w:val="54BF230B"/>
    <w:rsid w:val="54C53DC5"/>
    <w:rsid w:val="54C703D9"/>
    <w:rsid w:val="54D76A4B"/>
    <w:rsid w:val="54D838F5"/>
    <w:rsid w:val="54DD1751"/>
    <w:rsid w:val="54E201FC"/>
    <w:rsid w:val="5503567D"/>
    <w:rsid w:val="552E10AD"/>
    <w:rsid w:val="55347CE7"/>
    <w:rsid w:val="5536095F"/>
    <w:rsid w:val="553A0651"/>
    <w:rsid w:val="553C395C"/>
    <w:rsid w:val="553E3968"/>
    <w:rsid w:val="55450A62"/>
    <w:rsid w:val="5553355E"/>
    <w:rsid w:val="5555739E"/>
    <w:rsid w:val="555C4981"/>
    <w:rsid w:val="55757F75"/>
    <w:rsid w:val="55781D55"/>
    <w:rsid w:val="558A4BE2"/>
    <w:rsid w:val="5597442B"/>
    <w:rsid w:val="55AA2FBB"/>
    <w:rsid w:val="55AA4D69"/>
    <w:rsid w:val="55AA52D0"/>
    <w:rsid w:val="55AD03B6"/>
    <w:rsid w:val="55AF412E"/>
    <w:rsid w:val="55C51BA3"/>
    <w:rsid w:val="55C6781D"/>
    <w:rsid w:val="55D71C9C"/>
    <w:rsid w:val="55E20716"/>
    <w:rsid w:val="55E5652A"/>
    <w:rsid w:val="55F205A0"/>
    <w:rsid w:val="55FE5F46"/>
    <w:rsid w:val="560356FC"/>
    <w:rsid w:val="56105EFD"/>
    <w:rsid w:val="561D378D"/>
    <w:rsid w:val="56332CFB"/>
    <w:rsid w:val="563D4787"/>
    <w:rsid w:val="563E109E"/>
    <w:rsid w:val="56423AA7"/>
    <w:rsid w:val="564733DB"/>
    <w:rsid w:val="564C0FA5"/>
    <w:rsid w:val="564F0697"/>
    <w:rsid w:val="56517389"/>
    <w:rsid w:val="565A36BE"/>
    <w:rsid w:val="568410FF"/>
    <w:rsid w:val="569A2F80"/>
    <w:rsid w:val="569A6DCF"/>
    <w:rsid w:val="56A25A40"/>
    <w:rsid w:val="56A96DCF"/>
    <w:rsid w:val="56AB77CC"/>
    <w:rsid w:val="56B23ED5"/>
    <w:rsid w:val="56CB5A34"/>
    <w:rsid w:val="56D4157D"/>
    <w:rsid w:val="56E22663"/>
    <w:rsid w:val="56E83D9B"/>
    <w:rsid w:val="56FE2319"/>
    <w:rsid w:val="56FE536D"/>
    <w:rsid w:val="57011E72"/>
    <w:rsid w:val="57023E2E"/>
    <w:rsid w:val="57073528"/>
    <w:rsid w:val="5711721E"/>
    <w:rsid w:val="57154B60"/>
    <w:rsid w:val="57182EB5"/>
    <w:rsid w:val="573945F7"/>
    <w:rsid w:val="573E2118"/>
    <w:rsid w:val="5749578F"/>
    <w:rsid w:val="57564940"/>
    <w:rsid w:val="575A572C"/>
    <w:rsid w:val="576036E6"/>
    <w:rsid w:val="576266AB"/>
    <w:rsid w:val="576D3ED0"/>
    <w:rsid w:val="57825F9E"/>
    <w:rsid w:val="578A1A4A"/>
    <w:rsid w:val="578C0BCA"/>
    <w:rsid w:val="5794182D"/>
    <w:rsid w:val="579929C8"/>
    <w:rsid w:val="579F713A"/>
    <w:rsid w:val="57A226C5"/>
    <w:rsid w:val="57AE108B"/>
    <w:rsid w:val="57BD6FD6"/>
    <w:rsid w:val="57CF2865"/>
    <w:rsid w:val="57DFEFC0"/>
    <w:rsid w:val="57E45DA8"/>
    <w:rsid w:val="580736EB"/>
    <w:rsid w:val="580E6F53"/>
    <w:rsid w:val="58111298"/>
    <w:rsid w:val="58271394"/>
    <w:rsid w:val="582E1CA9"/>
    <w:rsid w:val="583E6117"/>
    <w:rsid w:val="58484DED"/>
    <w:rsid w:val="585C1428"/>
    <w:rsid w:val="586D4961"/>
    <w:rsid w:val="586F3636"/>
    <w:rsid w:val="58737694"/>
    <w:rsid w:val="587E69D6"/>
    <w:rsid w:val="588C1CE1"/>
    <w:rsid w:val="58921993"/>
    <w:rsid w:val="589C6BEB"/>
    <w:rsid w:val="58A016D1"/>
    <w:rsid w:val="58A47CB4"/>
    <w:rsid w:val="58AF19D3"/>
    <w:rsid w:val="58AF1BE2"/>
    <w:rsid w:val="58B55672"/>
    <w:rsid w:val="58C12AF6"/>
    <w:rsid w:val="58C919AA"/>
    <w:rsid w:val="58D746F8"/>
    <w:rsid w:val="58DD68BA"/>
    <w:rsid w:val="58E71AFF"/>
    <w:rsid w:val="58EF3B85"/>
    <w:rsid w:val="58FA1B64"/>
    <w:rsid w:val="58FE1654"/>
    <w:rsid w:val="592D7CC1"/>
    <w:rsid w:val="593C03CE"/>
    <w:rsid w:val="593F132E"/>
    <w:rsid w:val="593F655B"/>
    <w:rsid w:val="595079D6"/>
    <w:rsid w:val="59541B4B"/>
    <w:rsid w:val="59565014"/>
    <w:rsid w:val="595D62C6"/>
    <w:rsid w:val="595F73B5"/>
    <w:rsid w:val="59667064"/>
    <w:rsid w:val="59727FAA"/>
    <w:rsid w:val="597B2A2A"/>
    <w:rsid w:val="59877A50"/>
    <w:rsid w:val="598D6C7B"/>
    <w:rsid w:val="59901906"/>
    <w:rsid w:val="599F181F"/>
    <w:rsid w:val="59AD47DF"/>
    <w:rsid w:val="59BB7552"/>
    <w:rsid w:val="59BF141C"/>
    <w:rsid w:val="59C45EBE"/>
    <w:rsid w:val="59CA59DA"/>
    <w:rsid w:val="59CB138A"/>
    <w:rsid w:val="59CC3500"/>
    <w:rsid w:val="59D14318"/>
    <w:rsid w:val="59D32AE1"/>
    <w:rsid w:val="59D72BD0"/>
    <w:rsid w:val="59D81EA5"/>
    <w:rsid w:val="59E447A7"/>
    <w:rsid w:val="59EA1BA9"/>
    <w:rsid w:val="59ED2286"/>
    <w:rsid w:val="59F12F1B"/>
    <w:rsid w:val="59F9006D"/>
    <w:rsid w:val="5A165DDE"/>
    <w:rsid w:val="5A376592"/>
    <w:rsid w:val="5A4F3756"/>
    <w:rsid w:val="5A5163FA"/>
    <w:rsid w:val="5A52765A"/>
    <w:rsid w:val="5A556EDF"/>
    <w:rsid w:val="5A614B99"/>
    <w:rsid w:val="5A6220B6"/>
    <w:rsid w:val="5A644A3B"/>
    <w:rsid w:val="5A744438"/>
    <w:rsid w:val="5A971D60"/>
    <w:rsid w:val="5AA532DF"/>
    <w:rsid w:val="5AA6345B"/>
    <w:rsid w:val="5ACC061D"/>
    <w:rsid w:val="5AD21259"/>
    <w:rsid w:val="5ADE6AE4"/>
    <w:rsid w:val="5AE246A3"/>
    <w:rsid w:val="5AE76118"/>
    <w:rsid w:val="5AE86795"/>
    <w:rsid w:val="5AEB51CD"/>
    <w:rsid w:val="5AF64959"/>
    <w:rsid w:val="5B124560"/>
    <w:rsid w:val="5B16035B"/>
    <w:rsid w:val="5B1A0DEE"/>
    <w:rsid w:val="5B1A473F"/>
    <w:rsid w:val="5B1C4013"/>
    <w:rsid w:val="5B2C196C"/>
    <w:rsid w:val="5B31158F"/>
    <w:rsid w:val="5B4800FC"/>
    <w:rsid w:val="5B484683"/>
    <w:rsid w:val="5B590DC3"/>
    <w:rsid w:val="5B635584"/>
    <w:rsid w:val="5B6A4BD4"/>
    <w:rsid w:val="5B793214"/>
    <w:rsid w:val="5B884409"/>
    <w:rsid w:val="5B890FD8"/>
    <w:rsid w:val="5BA43FB8"/>
    <w:rsid w:val="5BAF30D9"/>
    <w:rsid w:val="5BC310D6"/>
    <w:rsid w:val="5BCD4872"/>
    <w:rsid w:val="5BD32A03"/>
    <w:rsid w:val="5BE335D8"/>
    <w:rsid w:val="5BF50A4C"/>
    <w:rsid w:val="5BF64778"/>
    <w:rsid w:val="5BFF2952"/>
    <w:rsid w:val="5C04551B"/>
    <w:rsid w:val="5C091C36"/>
    <w:rsid w:val="5C0F3B78"/>
    <w:rsid w:val="5C1278C9"/>
    <w:rsid w:val="5C1C45D6"/>
    <w:rsid w:val="5C361D9B"/>
    <w:rsid w:val="5C370B73"/>
    <w:rsid w:val="5C547132"/>
    <w:rsid w:val="5C5736A8"/>
    <w:rsid w:val="5C591E17"/>
    <w:rsid w:val="5C5F065B"/>
    <w:rsid w:val="5C631477"/>
    <w:rsid w:val="5C69772C"/>
    <w:rsid w:val="5C6E4D33"/>
    <w:rsid w:val="5C880D55"/>
    <w:rsid w:val="5C8A31FF"/>
    <w:rsid w:val="5C9E0A07"/>
    <w:rsid w:val="5CA638DE"/>
    <w:rsid w:val="5CC75F3F"/>
    <w:rsid w:val="5CCB7A9F"/>
    <w:rsid w:val="5CCD690F"/>
    <w:rsid w:val="5CCE51D1"/>
    <w:rsid w:val="5CD050B5"/>
    <w:rsid w:val="5CE46DB3"/>
    <w:rsid w:val="5CF20F16"/>
    <w:rsid w:val="5D0C6931"/>
    <w:rsid w:val="5D2C552D"/>
    <w:rsid w:val="5D35760E"/>
    <w:rsid w:val="5D666E09"/>
    <w:rsid w:val="5D6E66E6"/>
    <w:rsid w:val="5D703CA2"/>
    <w:rsid w:val="5D706E44"/>
    <w:rsid w:val="5D7F82BC"/>
    <w:rsid w:val="5DA92928"/>
    <w:rsid w:val="5DAF55BF"/>
    <w:rsid w:val="5DBA6E28"/>
    <w:rsid w:val="5DC03676"/>
    <w:rsid w:val="5DC3051D"/>
    <w:rsid w:val="5DC96EC0"/>
    <w:rsid w:val="5DCF4315"/>
    <w:rsid w:val="5DD010E5"/>
    <w:rsid w:val="5DE9128E"/>
    <w:rsid w:val="5DF94EE0"/>
    <w:rsid w:val="5DFA1D6A"/>
    <w:rsid w:val="5E056FE1"/>
    <w:rsid w:val="5E0D40E7"/>
    <w:rsid w:val="5E157F88"/>
    <w:rsid w:val="5E197FB4"/>
    <w:rsid w:val="5E235247"/>
    <w:rsid w:val="5E2E58FB"/>
    <w:rsid w:val="5E354906"/>
    <w:rsid w:val="5E3F5199"/>
    <w:rsid w:val="5E510478"/>
    <w:rsid w:val="5E5A1A12"/>
    <w:rsid w:val="5E680928"/>
    <w:rsid w:val="5E7C06B2"/>
    <w:rsid w:val="5E7F1345"/>
    <w:rsid w:val="5E8549CB"/>
    <w:rsid w:val="5E8A59E3"/>
    <w:rsid w:val="5EC15626"/>
    <w:rsid w:val="5EC40777"/>
    <w:rsid w:val="5EC95C51"/>
    <w:rsid w:val="5EDE31B9"/>
    <w:rsid w:val="5EE412EC"/>
    <w:rsid w:val="5EE957A1"/>
    <w:rsid w:val="5EEE3952"/>
    <w:rsid w:val="5EFB2194"/>
    <w:rsid w:val="5F031561"/>
    <w:rsid w:val="5F047298"/>
    <w:rsid w:val="5F0F4167"/>
    <w:rsid w:val="5F1A2F60"/>
    <w:rsid w:val="5F2106F8"/>
    <w:rsid w:val="5F2B4ACC"/>
    <w:rsid w:val="5F2F00DE"/>
    <w:rsid w:val="5F3103A3"/>
    <w:rsid w:val="5F3F6CC5"/>
    <w:rsid w:val="5F4518FF"/>
    <w:rsid w:val="5F577D10"/>
    <w:rsid w:val="5F585836"/>
    <w:rsid w:val="5F5A480F"/>
    <w:rsid w:val="5F711556"/>
    <w:rsid w:val="5F7E1FC4"/>
    <w:rsid w:val="5F8C3B8D"/>
    <w:rsid w:val="5F8C48FF"/>
    <w:rsid w:val="5F8E3724"/>
    <w:rsid w:val="5F93061C"/>
    <w:rsid w:val="5F9F0B0D"/>
    <w:rsid w:val="5FA504A9"/>
    <w:rsid w:val="5FB07648"/>
    <w:rsid w:val="5FBD6AA9"/>
    <w:rsid w:val="5FCC621C"/>
    <w:rsid w:val="5FD01870"/>
    <w:rsid w:val="5FEB1311"/>
    <w:rsid w:val="5FEE023A"/>
    <w:rsid w:val="5FEE7FC9"/>
    <w:rsid w:val="5FF4146E"/>
    <w:rsid w:val="5FFC46D5"/>
    <w:rsid w:val="600D1270"/>
    <w:rsid w:val="600D4872"/>
    <w:rsid w:val="60145C01"/>
    <w:rsid w:val="60306ABA"/>
    <w:rsid w:val="6037369D"/>
    <w:rsid w:val="604B1857"/>
    <w:rsid w:val="604B1F05"/>
    <w:rsid w:val="606F4BE5"/>
    <w:rsid w:val="60784D68"/>
    <w:rsid w:val="60854409"/>
    <w:rsid w:val="60963B42"/>
    <w:rsid w:val="60A07495"/>
    <w:rsid w:val="60A752CC"/>
    <w:rsid w:val="60AE7E03"/>
    <w:rsid w:val="60AF7BA1"/>
    <w:rsid w:val="60BC5C8B"/>
    <w:rsid w:val="60C91BA8"/>
    <w:rsid w:val="60DB227B"/>
    <w:rsid w:val="60DD3037"/>
    <w:rsid w:val="60EB1370"/>
    <w:rsid w:val="60F35816"/>
    <w:rsid w:val="60FB37C4"/>
    <w:rsid w:val="60FE6A1F"/>
    <w:rsid w:val="610E0230"/>
    <w:rsid w:val="612B4FB0"/>
    <w:rsid w:val="612E069D"/>
    <w:rsid w:val="61363E6B"/>
    <w:rsid w:val="61377947"/>
    <w:rsid w:val="613B35D1"/>
    <w:rsid w:val="61561EBF"/>
    <w:rsid w:val="61616C24"/>
    <w:rsid w:val="616557BB"/>
    <w:rsid w:val="61767ABB"/>
    <w:rsid w:val="618337CB"/>
    <w:rsid w:val="61852AAF"/>
    <w:rsid w:val="618B502B"/>
    <w:rsid w:val="619122CA"/>
    <w:rsid w:val="619822F1"/>
    <w:rsid w:val="61B05E3A"/>
    <w:rsid w:val="61B92B8E"/>
    <w:rsid w:val="61C73D4E"/>
    <w:rsid w:val="61CB5F32"/>
    <w:rsid w:val="61D50A18"/>
    <w:rsid w:val="61EB6DE5"/>
    <w:rsid w:val="61ED6709"/>
    <w:rsid w:val="61F21F72"/>
    <w:rsid w:val="61F81837"/>
    <w:rsid w:val="62040764"/>
    <w:rsid w:val="620926A1"/>
    <w:rsid w:val="62143C96"/>
    <w:rsid w:val="62187A9E"/>
    <w:rsid w:val="621A5025"/>
    <w:rsid w:val="621D6D8C"/>
    <w:rsid w:val="622522CC"/>
    <w:rsid w:val="622B0FE0"/>
    <w:rsid w:val="622F18E6"/>
    <w:rsid w:val="623611BE"/>
    <w:rsid w:val="62377CD0"/>
    <w:rsid w:val="623E2DD3"/>
    <w:rsid w:val="624C42D2"/>
    <w:rsid w:val="62585ED5"/>
    <w:rsid w:val="626761CC"/>
    <w:rsid w:val="626A0BA2"/>
    <w:rsid w:val="627F5797"/>
    <w:rsid w:val="62822899"/>
    <w:rsid w:val="628257A2"/>
    <w:rsid w:val="6283706E"/>
    <w:rsid w:val="62861FDF"/>
    <w:rsid w:val="62875486"/>
    <w:rsid w:val="6299419B"/>
    <w:rsid w:val="62A821B6"/>
    <w:rsid w:val="62AE3782"/>
    <w:rsid w:val="62AE5E99"/>
    <w:rsid w:val="62BD2526"/>
    <w:rsid w:val="62C236F2"/>
    <w:rsid w:val="62C772DD"/>
    <w:rsid w:val="62CC64F6"/>
    <w:rsid w:val="62D068AA"/>
    <w:rsid w:val="62D43425"/>
    <w:rsid w:val="62DE44C5"/>
    <w:rsid w:val="62F4051B"/>
    <w:rsid w:val="62F6606D"/>
    <w:rsid w:val="62FF66F4"/>
    <w:rsid w:val="6306019D"/>
    <w:rsid w:val="63140C3A"/>
    <w:rsid w:val="63142E28"/>
    <w:rsid w:val="631B72A6"/>
    <w:rsid w:val="631C6F20"/>
    <w:rsid w:val="632048BD"/>
    <w:rsid w:val="63233FE8"/>
    <w:rsid w:val="632D72AE"/>
    <w:rsid w:val="632E2B36"/>
    <w:rsid w:val="63395F12"/>
    <w:rsid w:val="633D3726"/>
    <w:rsid w:val="63481579"/>
    <w:rsid w:val="634F36C6"/>
    <w:rsid w:val="63572DCB"/>
    <w:rsid w:val="63585E05"/>
    <w:rsid w:val="63597546"/>
    <w:rsid w:val="6364668F"/>
    <w:rsid w:val="63650290"/>
    <w:rsid w:val="63764DC5"/>
    <w:rsid w:val="63891160"/>
    <w:rsid w:val="63892AC9"/>
    <w:rsid w:val="638A374D"/>
    <w:rsid w:val="639D7CBB"/>
    <w:rsid w:val="63A67709"/>
    <w:rsid w:val="63B1251A"/>
    <w:rsid w:val="63B837A5"/>
    <w:rsid w:val="63CB327E"/>
    <w:rsid w:val="63D2319A"/>
    <w:rsid w:val="63DD1832"/>
    <w:rsid w:val="63E36016"/>
    <w:rsid w:val="63E42550"/>
    <w:rsid w:val="63FE14DC"/>
    <w:rsid w:val="64130047"/>
    <w:rsid w:val="641559B5"/>
    <w:rsid w:val="641937E6"/>
    <w:rsid w:val="643B19AE"/>
    <w:rsid w:val="643D7DFB"/>
    <w:rsid w:val="643E324C"/>
    <w:rsid w:val="644857BF"/>
    <w:rsid w:val="64872E45"/>
    <w:rsid w:val="648B3FB8"/>
    <w:rsid w:val="648E7371"/>
    <w:rsid w:val="6490639E"/>
    <w:rsid w:val="64990483"/>
    <w:rsid w:val="64A34A06"/>
    <w:rsid w:val="64A62BA0"/>
    <w:rsid w:val="64AE34BC"/>
    <w:rsid w:val="64B2736E"/>
    <w:rsid w:val="64BE438D"/>
    <w:rsid w:val="64C6552E"/>
    <w:rsid w:val="64D4244F"/>
    <w:rsid w:val="64D90805"/>
    <w:rsid w:val="64DF5FFE"/>
    <w:rsid w:val="64E57B6C"/>
    <w:rsid w:val="64EB4712"/>
    <w:rsid w:val="64EB4EC8"/>
    <w:rsid w:val="64F51B8F"/>
    <w:rsid w:val="65030DDA"/>
    <w:rsid w:val="65201E76"/>
    <w:rsid w:val="652C12F7"/>
    <w:rsid w:val="652E32C1"/>
    <w:rsid w:val="65300BC2"/>
    <w:rsid w:val="6531690D"/>
    <w:rsid w:val="65333E4C"/>
    <w:rsid w:val="654E016B"/>
    <w:rsid w:val="656C203B"/>
    <w:rsid w:val="65743F05"/>
    <w:rsid w:val="657B5EAC"/>
    <w:rsid w:val="657D73A6"/>
    <w:rsid w:val="659C46CE"/>
    <w:rsid w:val="65A14393"/>
    <w:rsid w:val="65CB4FB4"/>
    <w:rsid w:val="65CF3333"/>
    <w:rsid w:val="65D60248"/>
    <w:rsid w:val="65D8147F"/>
    <w:rsid w:val="65DC2195"/>
    <w:rsid w:val="65EC71F6"/>
    <w:rsid w:val="66231614"/>
    <w:rsid w:val="663C37BC"/>
    <w:rsid w:val="66415276"/>
    <w:rsid w:val="66421580"/>
    <w:rsid w:val="66495ED8"/>
    <w:rsid w:val="6654288C"/>
    <w:rsid w:val="66577643"/>
    <w:rsid w:val="665A1E94"/>
    <w:rsid w:val="666068AE"/>
    <w:rsid w:val="66636F9A"/>
    <w:rsid w:val="666A657B"/>
    <w:rsid w:val="66752621"/>
    <w:rsid w:val="66754A7F"/>
    <w:rsid w:val="66827C67"/>
    <w:rsid w:val="66883AA7"/>
    <w:rsid w:val="669730E8"/>
    <w:rsid w:val="669827C7"/>
    <w:rsid w:val="66AC2781"/>
    <w:rsid w:val="66AF40E5"/>
    <w:rsid w:val="66B574C8"/>
    <w:rsid w:val="66BB1752"/>
    <w:rsid w:val="66D87988"/>
    <w:rsid w:val="66DD4F9F"/>
    <w:rsid w:val="66E6217E"/>
    <w:rsid w:val="66EA1469"/>
    <w:rsid w:val="66F05D28"/>
    <w:rsid w:val="66F978FF"/>
    <w:rsid w:val="67033D67"/>
    <w:rsid w:val="6710264E"/>
    <w:rsid w:val="67391046"/>
    <w:rsid w:val="674B46B9"/>
    <w:rsid w:val="674D22F2"/>
    <w:rsid w:val="6751773B"/>
    <w:rsid w:val="675C3547"/>
    <w:rsid w:val="6769047D"/>
    <w:rsid w:val="67695C49"/>
    <w:rsid w:val="676A5247"/>
    <w:rsid w:val="67742476"/>
    <w:rsid w:val="6776641C"/>
    <w:rsid w:val="67803B7C"/>
    <w:rsid w:val="678261B3"/>
    <w:rsid w:val="678438BC"/>
    <w:rsid w:val="67A26B47"/>
    <w:rsid w:val="67AA29A7"/>
    <w:rsid w:val="67B11D41"/>
    <w:rsid w:val="67B13EF6"/>
    <w:rsid w:val="67BE124B"/>
    <w:rsid w:val="67E4410B"/>
    <w:rsid w:val="67F325A0"/>
    <w:rsid w:val="67F9060E"/>
    <w:rsid w:val="68096D1A"/>
    <w:rsid w:val="680A3EC7"/>
    <w:rsid w:val="680C2869"/>
    <w:rsid w:val="682E35D8"/>
    <w:rsid w:val="68377859"/>
    <w:rsid w:val="68483B6E"/>
    <w:rsid w:val="68580655"/>
    <w:rsid w:val="68582170"/>
    <w:rsid w:val="68582D95"/>
    <w:rsid w:val="68591702"/>
    <w:rsid w:val="685B6A43"/>
    <w:rsid w:val="687E1C85"/>
    <w:rsid w:val="68801F06"/>
    <w:rsid w:val="68902A3B"/>
    <w:rsid w:val="689B3FC6"/>
    <w:rsid w:val="68A13D9F"/>
    <w:rsid w:val="68AC2EBA"/>
    <w:rsid w:val="68B63F43"/>
    <w:rsid w:val="68B910F3"/>
    <w:rsid w:val="68CA77A4"/>
    <w:rsid w:val="68D62D43"/>
    <w:rsid w:val="68D668F7"/>
    <w:rsid w:val="68D8774F"/>
    <w:rsid w:val="68E80759"/>
    <w:rsid w:val="68F61747"/>
    <w:rsid w:val="690359AD"/>
    <w:rsid w:val="690B75AE"/>
    <w:rsid w:val="690C0C1A"/>
    <w:rsid w:val="692A0243"/>
    <w:rsid w:val="692C40A8"/>
    <w:rsid w:val="6933585C"/>
    <w:rsid w:val="694D0207"/>
    <w:rsid w:val="694D7F34"/>
    <w:rsid w:val="694F479D"/>
    <w:rsid w:val="695A62A0"/>
    <w:rsid w:val="697F7F35"/>
    <w:rsid w:val="69801C11"/>
    <w:rsid w:val="69941325"/>
    <w:rsid w:val="69981651"/>
    <w:rsid w:val="699D0CDF"/>
    <w:rsid w:val="69C7411B"/>
    <w:rsid w:val="69CC4E56"/>
    <w:rsid w:val="69E15F06"/>
    <w:rsid w:val="69E559CC"/>
    <w:rsid w:val="69E9326E"/>
    <w:rsid w:val="69F10D61"/>
    <w:rsid w:val="69F331D1"/>
    <w:rsid w:val="69F34AD9"/>
    <w:rsid w:val="6A002D52"/>
    <w:rsid w:val="6A1363B3"/>
    <w:rsid w:val="6A143218"/>
    <w:rsid w:val="6A163C6F"/>
    <w:rsid w:val="6A250730"/>
    <w:rsid w:val="6A4C5F97"/>
    <w:rsid w:val="6A4E0984"/>
    <w:rsid w:val="6A536D2E"/>
    <w:rsid w:val="6A5C3C27"/>
    <w:rsid w:val="6A624A98"/>
    <w:rsid w:val="6A6947A8"/>
    <w:rsid w:val="6A6A4722"/>
    <w:rsid w:val="6A7259FE"/>
    <w:rsid w:val="6A884C3F"/>
    <w:rsid w:val="6A8E0664"/>
    <w:rsid w:val="6A9D4ED7"/>
    <w:rsid w:val="6A9D750D"/>
    <w:rsid w:val="6AAA233E"/>
    <w:rsid w:val="6AB06526"/>
    <w:rsid w:val="6AB44DE6"/>
    <w:rsid w:val="6AB4508D"/>
    <w:rsid w:val="6ABE50E7"/>
    <w:rsid w:val="6AC326FD"/>
    <w:rsid w:val="6AC50223"/>
    <w:rsid w:val="6ACC272F"/>
    <w:rsid w:val="6AD006E0"/>
    <w:rsid w:val="6ADE2865"/>
    <w:rsid w:val="6AE60A11"/>
    <w:rsid w:val="6AE84FEF"/>
    <w:rsid w:val="6AEF0EC0"/>
    <w:rsid w:val="6AF346F0"/>
    <w:rsid w:val="6B01373E"/>
    <w:rsid w:val="6B1B7E43"/>
    <w:rsid w:val="6B2A42CC"/>
    <w:rsid w:val="6B460C38"/>
    <w:rsid w:val="6B497AD5"/>
    <w:rsid w:val="6B5621AA"/>
    <w:rsid w:val="6B687EA3"/>
    <w:rsid w:val="6B6F1807"/>
    <w:rsid w:val="6B761D75"/>
    <w:rsid w:val="6B767770"/>
    <w:rsid w:val="6B7F19ED"/>
    <w:rsid w:val="6B854F05"/>
    <w:rsid w:val="6B8A6D77"/>
    <w:rsid w:val="6B9171E7"/>
    <w:rsid w:val="6B9765EB"/>
    <w:rsid w:val="6BA34F74"/>
    <w:rsid w:val="6BAD2A66"/>
    <w:rsid w:val="6BAF3707"/>
    <w:rsid w:val="6BBC67D4"/>
    <w:rsid w:val="6BCC1286"/>
    <w:rsid w:val="6BE741CA"/>
    <w:rsid w:val="6BE92662"/>
    <w:rsid w:val="6BEB14B8"/>
    <w:rsid w:val="6BF7668D"/>
    <w:rsid w:val="6BFD1D54"/>
    <w:rsid w:val="6C132923"/>
    <w:rsid w:val="6C186A79"/>
    <w:rsid w:val="6C1A634D"/>
    <w:rsid w:val="6C2162ED"/>
    <w:rsid w:val="6C25568B"/>
    <w:rsid w:val="6C2C66BE"/>
    <w:rsid w:val="6C2F26D9"/>
    <w:rsid w:val="6C313697"/>
    <w:rsid w:val="6C3406C1"/>
    <w:rsid w:val="6C3A75C8"/>
    <w:rsid w:val="6C4909E0"/>
    <w:rsid w:val="6C52334A"/>
    <w:rsid w:val="6C523D39"/>
    <w:rsid w:val="6C5C425E"/>
    <w:rsid w:val="6C6E174D"/>
    <w:rsid w:val="6C6E503B"/>
    <w:rsid w:val="6C81795C"/>
    <w:rsid w:val="6C832144"/>
    <w:rsid w:val="6C843484"/>
    <w:rsid w:val="6C9858E3"/>
    <w:rsid w:val="6CA420BB"/>
    <w:rsid w:val="6CA7558B"/>
    <w:rsid w:val="6CAD5413"/>
    <w:rsid w:val="6CB22A29"/>
    <w:rsid w:val="6CB5251A"/>
    <w:rsid w:val="6CCC3ECD"/>
    <w:rsid w:val="6CCD1611"/>
    <w:rsid w:val="6CD009DE"/>
    <w:rsid w:val="6CDB71CD"/>
    <w:rsid w:val="6CE16E6B"/>
    <w:rsid w:val="6CE67E03"/>
    <w:rsid w:val="6CED278B"/>
    <w:rsid w:val="6CF72DE3"/>
    <w:rsid w:val="6D1E4D0E"/>
    <w:rsid w:val="6D555732"/>
    <w:rsid w:val="6D594DBA"/>
    <w:rsid w:val="6D5C0101"/>
    <w:rsid w:val="6D5E648B"/>
    <w:rsid w:val="6D6E0CAF"/>
    <w:rsid w:val="6D716441"/>
    <w:rsid w:val="6D752939"/>
    <w:rsid w:val="6D793968"/>
    <w:rsid w:val="6D86167B"/>
    <w:rsid w:val="6D877700"/>
    <w:rsid w:val="6DA74740"/>
    <w:rsid w:val="6DA7655A"/>
    <w:rsid w:val="6DB66549"/>
    <w:rsid w:val="6DBC1F55"/>
    <w:rsid w:val="6DBC33D5"/>
    <w:rsid w:val="6DC04CD2"/>
    <w:rsid w:val="6DD2057F"/>
    <w:rsid w:val="6DE406B7"/>
    <w:rsid w:val="6DE758A3"/>
    <w:rsid w:val="6DEB2D23"/>
    <w:rsid w:val="6DF11009"/>
    <w:rsid w:val="6DFC4493"/>
    <w:rsid w:val="6DFF3A4C"/>
    <w:rsid w:val="6E113780"/>
    <w:rsid w:val="6E25411E"/>
    <w:rsid w:val="6E2A4B4D"/>
    <w:rsid w:val="6E2E4E0D"/>
    <w:rsid w:val="6E3A0F28"/>
    <w:rsid w:val="6E3A456E"/>
    <w:rsid w:val="6E4168C0"/>
    <w:rsid w:val="6E4C2A0A"/>
    <w:rsid w:val="6E54299F"/>
    <w:rsid w:val="6E546AFE"/>
    <w:rsid w:val="6E57464F"/>
    <w:rsid w:val="6E663ACB"/>
    <w:rsid w:val="6E6D0349"/>
    <w:rsid w:val="6E771FD9"/>
    <w:rsid w:val="6E7855AD"/>
    <w:rsid w:val="6E7B49D8"/>
    <w:rsid w:val="6E9879FD"/>
    <w:rsid w:val="6EB13FBA"/>
    <w:rsid w:val="6EB20ABF"/>
    <w:rsid w:val="6EC262C6"/>
    <w:rsid w:val="6EC82BAD"/>
    <w:rsid w:val="6ECE034F"/>
    <w:rsid w:val="6ECF192D"/>
    <w:rsid w:val="6ED93C6A"/>
    <w:rsid w:val="6EDE1BD9"/>
    <w:rsid w:val="6EE81B1B"/>
    <w:rsid w:val="6EE9019B"/>
    <w:rsid w:val="6EED1FF5"/>
    <w:rsid w:val="6EED7D49"/>
    <w:rsid w:val="6EF5508B"/>
    <w:rsid w:val="6F01376B"/>
    <w:rsid w:val="6F076989"/>
    <w:rsid w:val="6F196D90"/>
    <w:rsid w:val="6F1C418A"/>
    <w:rsid w:val="6F1E6154"/>
    <w:rsid w:val="6F213E96"/>
    <w:rsid w:val="6F2A560B"/>
    <w:rsid w:val="6F355D18"/>
    <w:rsid w:val="6F3656F7"/>
    <w:rsid w:val="6F447065"/>
    <w:rsid w:val="6F4B0F13"/>
    <w:rsid w:val="6F4C31BA"/>
    <w:rsid w:val="6F6C5367"/>
    <w:rsid w:val="6F7272FC"/>
    <w:rsid w:val="6F750081"/>
    <w:rsid w:val="6F767D3E"/>
    <w:rsid w:val="6F887A72"/>
    <w:rsid w:val="6FB32B04"/>
    <w:rsid w:val="6FB61999"/>
    <w:rsid w:val="6FC56DEE"/>
    <w:rsid w:val="6FCE10E6"/>
    <w:rsid w:val="6FD607DD"/>
    <w:rsid w:val="6FD7676C"/>
    <w:rsid w:val="6FE949B4"/>
    <w:rsid w:val="6FEC1526"/>
    <w:rsid w:val="6FEFEBA8"/>
    <w:rsid w:val="70187047"/>
    <w:rsid w:val="701967A6"/>
    <w:rsid w:val="701A2DBF"/>
    <w:rsid w:val="701B1137"/>
    <w:rsid w:val="701C576D"/>
    <w:rsid w:val="70394091"/>
    <w:rsid w:val="703A1173"/>
    <w:rsid w:val="703F45D4"/>
    <w:rsid w:val="70400AE7"/>
    <w:rsid w:val="705143F3"/>
    <w:rsid w:val="7052253A"/>
    <w:rsid w:val="70727B8C"/>
    <w:rsid w:val="707D7D83"/>
    <w:rsid w:val="70816491"/>
    <w:rsid w:val="709A3F00"/>
    <w:rsid w:val="70A27B39"/>
    <w:rsid w:val="70A97078"/>
    <w:rsid w:val="70DA7783"/>
    <w:rsid w:val="70E10D54"/>
    <w:rsid w:val="70F224AF"/>
    <w:rsid w:val="70F41602"/>
    <w:rsid w:val="70F51137"/>
    <w:rsid w:val="70F829D5"/>
    <w:rsid w:val="70F94A85"/>
    <w:rsid w:val="70FB00FA"/>
    <w:rsid w:val="71115BC0"/>
    <w:rsid w:val="71132CA0"/>
    <w:rsid w:val="711576EF"/>
    <w:rsid w:val="711A6F93"/>
    <w:rsid w:val="711C2B67"/>
    <w:rsid w:val="71333F6D"/>
    <w:rsid w:val="71340068"/>
    <w:rsid w:val="713E1A33"/>
    <w:rsid w:val="714300F4"/>
    <w:rsid w:val="71447C3E"/>
    <w:rsid w:val="714C267A"/>
    <w:rsid w:val="71551BD5"/>
    <w:rsid w:val="71606DB2"/>
    <w:rsid w:val="716342F2"/>
    <w:rsid w:val="716A38D3"/>
    <w:rsid w:val="719A1ED8"/>
    <w:rsid w:val="71A03367"/>
    <w:rsid w:val="71B23DB6"/>
    <w:rsid w:val="71B7463E"/>
    <w:rsid w:val="71BB04F5"/>
    <w:rsid w:val="71CF478B"/>
    <w:rsid w:val="71D00153"/>
    <w:rsid w:val="71E01FB4"/>
    <w:rsid w:val="72281098"/>
    <w:rsid w:val="723637B5"/>
    <w:rsid w:val="723D02F6"/>
    <w:rsid w:val="723F4D5F"/>
    <w:rsid w:val="72514A93"/>
    <w:rsid w:val="727A4797"/>
    <w:rsid w:val="72874010"/>
    <w:rsid w:val="729C594C"/>
    <w:rsid w:val="72A11708"/>
    <w:rsid w:val="72AF5315"/>
    <w:rsid w:val="72B33057"/>
    <w:rsid w:val="72D0526D"/>
    <w:rsid w:val="72D56C27"/>
    <w:rsid w:val="72D9462C"/>
    <w:rsid w:val="72E01333"/>
    <w:rsid w:val="72EF6671"/>
    <w:rsid w:val="72FF3950"/>
    <w:rsid w:val="73086474"/>
    <w:rsid w:val="730C58BA"/>
    <w:rsid w:val="73161787"/>
    <w:rsid w:val="731932B3"/>
    <w:rsid w:val="73340C09"/>
    <w:rsid w:val="73351CBE"/>
    <w:rsid w:val="73371A65"/>
    <w:rsid w:val="7341582F"/>
    <w:rsid w:val="734D57BF"/>
    <w:rsid w:val="73634E5B"/>
    <w:rsid w:val="737345F1"/>
    <w:rsid w:val="73777D21"/>
    <w:rsid w:val="73893DB8"/>
    <w:rsid w:val="738C28BD"/>
    <w:rsid w:val="73972979"/>
    <w:rsid w:val="73C65EE9"/>
    <w:rsid w:val="73DE0E84"/>
    <w:rsid w:val="73EF00BF"/>
    <w:rsid w:val="73FE786D"/>
    <w:rsid w:val="740718AD"/>
    <w:rsid w:val="74097460"/>
    <w:rsid w:val="74182E7D"/>
    <w:rsid w:val="7419513C"/>
    <w:rsid w:val="742C5BE3"/>
    <w:rsid w:val="743429EF"/>
    <w:rsid w:val="744618CE"/>
    <w:rsid w:val="744A1799"/>
    <w:rsid w:val="7456402F"/>
    <w:rsid w:val="745D4F62"/>
    <w:rsid w:val="745D771F"/>
    <w:rsid w:val="74602A39"/>
    <w:rsid w:val="746209EB"/>
    <w:rsid w:val="74681BCC"/>
    <w:rsid w:val="74795BDB"/>
    <w:rsid w:val="747C4BAC"/>
    <w:rsid w:val="749A4AEC"/>
    <w:rsid w:val="74AA3A50"/>
    <w:rsid w:val="74AC63B6"/>
    <w:rsid w:val="74B00A03"/>
    <w:rsid w:val="74B53C26"/>
    <w:rsid w:val="74BA0789"/>
    <w:rsid w:val="74BA535A"/>
    <w:rsid w:val="74BB33FD"/>
    <w:rsid w:val="74BB4445"/>
    <w:rsid w:val="74D00E94"/>
    <w:rsid w:val="74E41BEE"/>
    <w:rsid w:val="74E67981"/>
    <w:rsid w:val="74E76FE8"/>
    <w:rsid w:val="74F5167A"/>
    <w:rsid w:val="74F54795"/>
    <w:rsid w:val="74FD3C58"/>
    <w:rsid w:val="750E76A6"/>
    <w:rsid w:val="75104791"/>
    <w:rsid w:val="75167C75"/>
    <w:rsid w:val="75245BE8"/>
    <w:rsid w:val="75343945"/>
    <w:rsid w:val="75357D54"/>
    <w:rsid w:val="753A180E"/>
    <w:rsid w:val="75410DEE"/>
    <w:rsid w:val="75581306"/>
    <w:rsid w:val="755F2F99"/>
    <w:rsid w:val="75662002"/>
    <w:rsid w:val="75667941"/>
    <w:rsid w:val="75692310"/>
    <w:rsid w:val="756B527E"/>
    <w:rsid w:val="756E0CBF"/>
    <w:rsid w:val="757E0CBD"/>
    <w:rsid w:val="757F73CD"/>
    <w:rsid w:val="75801BBC"/>
    <w:rsid w:val="758172A6"/>
    <w:rsid w:val="75862CA5"/>
    <w:rsid w:val="75A50C71"/>
    <w:rsid w:val="75AB60FD"/>
    <w:rsid w:val="75AC49BA"/>
    <w:rsid w:val="75BC455A"/>
    <w:rsid w:val="75BE41ED"/>
    <w:rsid w:val="75D71714"/>
    <w:rsid w:val="75E95D2F"/>
    <w:rsid w:val="7614205F"/>
    <w:rsid w:val="76197675"/>
    <w:rsid w:val="76213F07"/>
    <w:rsid w:val="762245D5"/>
    <w:rsid w:val="76224C10"/>
    <w:rsid w:val="76364649"/>
    <w:rsid w:val="7653210B"/>
    <w:rsid w:val="76565A05"/>
    <w:rsid w:val="76573763"/>
    <w:rsid w:val="769043E9"/>
    <w:rsid w:val="769B16FA"/>
    <w:rsid w:val="76B04073"/>
    <w:rsid w:val="76B7273F"/>
    <w:rsid w:val="76BD1268"/>
    <w:rsid w:val="76C03F95"/>
    <w:rsid w:val="76C72E0C"/>
    <w:rsid w:val="76C772F7"/>
    <w:rsid w:val="76C94B70"/>
    <w:rsid w:val="76CB7586"/>
    <w:rsid w:val="76D3350E"/>
    <w:rsid w:val="76D65445"/>
    <w:rsid w:val="76DA5057"/>
    <w:rsid w:val="76EF6628"/>
    <w:rsid w:val="76F97188"/>
    <w:rsid w:val="771F586F"/>
    <w:rsid w:val="772241F6"/>
    <w:rsid w:val="77260E63"/>
    <w:rsid w:val="773329B9"/>
    <w:rsid w:val="77382AC7"/>
    <w:rsid w:val="77450D15"/>
    <w:rsid w:val="775269CE"/>
    <w:rsid w:val="775F66FC"/>
    <w:rsid w:val="77613B11"/>
    <w:rsid w:val="7764479E"/>
    <w:rsid w:val="77771551"/>
    <w:rsid w:val="777821D9"/>
    <w:rsid w:val="77A21C9F"/>
    <w:rsid w:val="77BA09E4"/>
    <w:rsid w:val="77BC639E"/>
    <w:rsid w:val="77D40A39"/>
    <w:rsid w:val="77DA6CAF"/>
    <w:rsid w:val="77ED5A14"/>
    <w:rsid w:val="77EF26F8"/>
    <w:rsid w:val="77F52527"/>
    <w:rsid w:val="77F8480C"/>
    <w:rsid w:val="77FE2FC7"/>
    <w:rsid w:val="77FF79B7"/>
    <w:rsid w:val="780126CE"/>
    <w:rsid w:val="78127272"/>
    <w:rsid w:val="781C7A0C"/>
    <w:rsid w:val="78202330"/>
    <w:rsid w:val="78332C4C"/>
    <w:rsid w:val="78365C82"/>
    <w:rsid w:val="78372F92"/>
    <w:rsid w:val="78412EB3"/>
    <w:rsid w:val="78544995"/>
    <w:rsid w:val="78597E0E"/>
    <w:rsid w:val="786374EF"/>
    <w:rsid w:val="78880FB4"/>
    <w:rsid w:val="789450C9"/>
    <w:rsid w:val="78A77D6F"/>
    <w:rsid w:val="78AA6CAB"/>
    <w:rsid w:val="78B611AB"/>
    <w:rsid w:val="78C62476"/>
    <w:rsid w:val="78F36363"/>
    <w:rsid w:val="78FB0952"/>
    <w:rsid w:val="78FD3AAF"/>
    <w:rsid w:val="790747E8"/>
    <w:rsid w:val="79121E83"/>
    <w:rsid w:val="7937399B"/>
    <w:rsid w:val="793C0F69"/>
    <w:rsid w:val="793C746F"/>
    <w:rsid w:val="79510E55"/>
    <w:rsid w:val="7957347A"/>
    <w:rsid w:val="7957532A"/>
    <w:rsid w:val="796B3B47"/>
    <w:rsid w:val="79817A0B"/>
    <w:rsid w:val="79822125"/>
    <w:rsid w:val="798A6706"/>
    <w:rsid w:val="79970678"/>
    <w:rsid w:val="79981AAC"/>
    <w:rsid w:val="79A435E8"/>
    <w:rsid w:val="79A55DEE"/>
    <w:rsid w:val="79A61D44"/>
    <w:rsid w:val="79AB6836"/>
    <w:rsid w:val="79BC4EE7"/>
    <w:rsid w:val="79BF7150"/>
    <w:rsid w:val="79C378F0"/>
    <w:rsid w:val="79D34622"/>
    <w:rsid w:val="79D55FA9"/>
    <w:rsid w:val="79E306C6"/>
    <w:rsid w:val="79FA72E4"/>
    <w:rsid w:val="7A1A7489"/>
    <w:rsid w:val="7A2F56B9"/>
    <w:rsid w:val="7A3525A4"/>
    <w:rsid w:val="7A680BCB"/>
    <w:rsid w:val="7A835337"/>
    <w:rsid w:val="7A8B6F63"/>
    <w:rsid w:val="7AB45BBF"/>
    <w:rsid w:val="7ACB31B6"/>
    <w:rsid w:val="7AE124D9"/>
    <w:rsid w:val="7AE621E7"/>
    <w:rsid w:val="7AE96FDE"/>
    <w:rsid w:val="7AF1471D"/>
    <w:rsid w:val="7AF95CC7"/>
    <w:rsid w:val="7AFD6B98"/>
    <w:rsid w:val="7B002BB2"/>
    <w:rsid w:val="7B063A95"/>
    <w:rsid w:val="7B074E04"/>
    <w:rsid w:val="7B0D1126"/>
    <w:rsid w:val="7B117A42"/>
    <w:rsid w:val="7B152094"/>
    <w:rsid w:val="7B1623D5"/>
    <w:rsid w:val="7B2D5A6B"/>
    <w:rsid w:val="7B30473A"/>
    <w:rsid w:val="7B38178B"/>
    <w:rsid w:val="7B38234C"/>
    <w:rsid w:val="7B481FF0"/>
    <w:rsid w:val="7B4871E9"/>
    <w:rsid w:val="7B6064E0"/>
    <w:rsid w:val="7B66335D"/>
    <w:rsid w:val="7B6A5DD0"/>
    <w:rsid w:val="7B7005C9"/>
    <w:rsid w:val="7B717B28"/>
    <w:rsid w:val="7B8E6410"/>
    <w:rsid w:val="7B9529DB"/>
    <w:rsid w:val="7B98103C"/>
    <w:rsid w:val="7B9E0578"/>
    <w:rsid w:val="7BA21536"/>
    <w:rsid w:val="7BAC4AE8"/>
    <w:rsid w:val="7BAF675B"/>
    <w:rsid w:val="7BB408EF"/>
    <w:rsid w:val="7BC67D1A"/>
    <w:rsid w:val="7BDD499F"/>
    <w:rsid w:val="7BDF6C6B"/>
    <w:rsid w:val="7BE008E8"/>
    <w:rsid w:val="7C0C6053"/>
    <w:rsid w:val="7C134B67"/>
    <w:rsid w:val="7C176405"/>
    <w:rsid w:val="7C19629C"/>
    <w:rsid w:val="7C1A7CA3"/>
    <w:rsid w:val="7C2B3294"/>
    <w:rsid w:val="7C354ADD"/>
    <w:rsid w:val="7C3B232D"/>
    <w:rsid w:val="7C5605CA"/>
    <w:rsid w:val="7C661724"/>
    <w:rsid w:val="7C707834"/>
    <w:rsid w:val="7C85533B"/>
    <w:rsid w:val="7C9006F1"/>
    <w:rsid w:val="7C904316"/>
    <w:rsid w:val="7C9E6B26"/>
    <w:rsid w:val="7CAE1FD0"/>
    <w:rsid w:val="7CBA34BB"/>
    <w:rsid w:val="7CBD1FCA"/>
    <w:rsid w:val="7CC1658A"/>
    <w:rsid w:val="7CC66763"/>
    <w:rsid w:val="7CC9239E"/>
    <w:rsid w:val="7CD00BB2"/>
    <w:rsid w:val="7CD030C4"/>
    <w:rsid w:val="7CD662C0"/>
    <w:rsid w:val="7CF623E5"/>
    <w:rsid w:val="7D0C3A90"/>
    <w:rsid w:val="7D172435"/>
    <w:rsid w:val="7D180687"/>
    <w:rsid w:val="7D1C7A4B"/>
    <w:rsid w:val="7D2034B1"/>
    <w:rsid w:val="7D2648D7"/>
    <w:rsid w:val="7D2A2168"/>
    <w:rsid w:val="7D621902"/>
    <w:rsid w:val="7D6D0674"/>
    <w:rsid w:val="7D733B0F"/>
    <w:rsid w:val="7D7605A0"/>
    <w:rsid w:val="7D8549F1"/>
    <w:rsid w:val="7D883BA0"/>
    <w:rsid w:val="7D8E755A"/>
    <w:rsid w:val="7D8F35DF"/>
    <w:rsid w:val="7D943A85"/>
    <w:rsid w:val="7D9A72EE"/>
    <w:rsid w:val="7DB83C18"/>
    <w:rsid w:val="7DCA74A7"/>
    <w:rsid w:val="7DD74D2A"/>
    <w:rsid w:val="7DDE3143"/>
    <w:rsid w:val="7DF83B31"/>
    <w:rsid w:val="7DFC2C82"/>
    <w:rsid w:val="7E025E74"/>
    <w:rsid w:val="7E0323E1"/>
    <w:rsid w:val="7E0D78F8"/>
    <w:rsid w:val="7E0E1FC1"/>
    <w:rsid w:val="7E14077C"/>
    <w:rsid w:val="7E3037AE"/>
    <w:rsid w:val="7E350DC4"/>
    <w:rsid w:val="7E3671CD"/>
    <w:rsid w:val="7E417769"/>
    <w:rsid w:val="7E45730E"/>
    <w:rsid w:val="7E4616E2"/>
    <w:rsid w:val="7E494870"/>
    <w:rsid w:val="7E4A2574"/>
    <w:rsid w:val="7E5A76FB"/>
    <w:rsid w:val="7E691B95"/>
    <w:rsid w:val="7E7739B5"/>
    <w:rsid w:val="7E826B2E"/>
    <w:rsid w:val="7E857F9E"/>
    <w:rsid w:val="7E867872"/>
    <w:rsid w:val="7E891110"/>
    <w:rsid w:val="7E8E1142"/>
    <w:rsid w:val="7E8F2203"/>
    <w:rsid w:val="7EAE190F"/>
    <w:rsid w:val="7EB965B6"/>
    <w:rsid w:val="7EC35CF6"/>
    <w:rsid w:val="7ED14F91"/>
    <w:rsid w:val="7ED423D0"/>
    <w:rsid w:val="7ED66D43"/>
    <w:rsid w:val="7EE06A0A"/>
    <w:rsid w:val="7EE5447B"/>
    <w:rsid w:val="7EEA57F4"/>
    <w:rsid w:val="7EF44AD3"/>
    <w:rsid w:val="7F0828CC"/>
    <w:rsid w:val="7F084BEC"/>
    <w:rsid w:val="7F0A2251"/>
    <w:rsid w:val="7F12623F"/>
    <w:rsid w:val="7F1A7713"/>
    <w:rsid w:val="7F1A7EFD"/>
    <w:rsid w:val="7F1C6070"/>
    <w:rsid w:val="7F1D2D77"/>
    <w:rsid w:val="7F1E662F"/>
    <w:rsid w:val="7F276B23"/>
    <w:rsid w:val="7F393A04"/>
    <w:rsid w:val="7F44282B"/>
    <w:rsid w:val="7F5931D8"/>
    <w:rsid w:val="7F611FBC"/>
    <w:rsid w:val="7F640BC8"/>
    <w:rsid w:val="7F757958"/>
    <w:rsid w:val="7F857B2A"/>
    <w:rsid w:val="7F923FF5"/>
    <w:rsid w:val="7FAB6BEB"/>
    <w:rsid w:val="7FB43725"/>
    <w:rsid w:val="7FC1621C"/>
    <w:rsid w:val="7FD567DD"/>
    <w:rsid w:val="7FDE16D0"/>
    <w:rsid w:val="7FF34FB9"/>
    <w:rsid w:val="7FFF3E0B"/>
    <w:rsid w:val="7FFFAA2D"/>
    <w:rsid w:val="8FAFFAB5"/>
    <w:rsid w:val="9B7F88D2"/>
    <w:rsid w:val="9FEF5003"/>
    <w:rsid w:val="AECFF873"/>
    <w:rsid w:val="B6DF36A1"/>
    <w:rsid w:val="CB77A960"/>
    <w:rsid w:val="CBEEEE12"/>
    <w:rsid w:val="D6FE7CB5"/>
    <w:rsid w:val="DF9BC658"/>
    <w:rsid w:val="E6BF20F1"/>
    <w:rsid w:val="EFE94E0E"/>
    <w:rsid w:val="F038DF2F"/>
    <w:rsid w:val="F356C907"/>
    <w:rsid w:val="F3AFA6DF"/>
    <w:rsid w:val="F6FF331C"/>
    <w:rsid w:val="F7FEF40A"/>
    <w:rsid w:val="FD5B6CF7"/>
    <w:rsid w:val="FDFB9E92"/>
    <w:rsid w:val="FE7E9CE3"/>
    <w:rsid w:val="FEFF49C7"/>
    <w:rsid w:val="FF57A548"/>
    <w:rsid w:val="FF5FAAE8"/>
    <w:rsid w:val="FF7B5B46"/>
    <w:rsid w:val="FFBAB2C5"/>
    <w:rsid w:val="FFBF07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FFFFFF" joinstyle="miter"/>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keepNext/>
      <w:tabs>
        <w:tab w:val="left" w:pos="1117"/>
      </w:tabs>
      <w:ind w:right="-128" w:rightChars="-61"/>
      <w:outlineLvl w:val="0"/>
    </w:pPr>
    <w:rPr>
      <w:rFonts w:hint="eastAsia" w:ascii="宋体" w:hAnsi="宋体"/>
      <w:b/>
      <w:kern w:val="44"/>
      <w:sz w:val="44"/>
      <w:szCs w:val="44"/>
    </w:rPr>
  </w:style>
  <w:style w:type="paragraph" w:styleId="4">
    <w:name w:val="heading 2"/>
    <w:basedOn w:val="1"/>
    <w:next w:val="1"/>
    <w:autoRedefine/>
    <w:qFormat/>
    <w:uiPriority w:val="1"/>
    <w:pPr>
      <w:ind w:left="1290"/>
      <w:outlineLvl w:val="1"/>
    </w:pPr>
    <w:rPr>
      <w:rFonts w:ascii="宋体" w:hAnsi="宋体" w:eastAsia="宋体" w:cs="宋体"/>
      <w:b/>
      <w:bCs/>
      <w:szCs w:val="21"/>
      <w:lang w:val="zh-CN" w:bidi="zh-CN"/>
    </w:rPr>
  </w:style>
  <w:style w:type="paragraph" w:styleId="5">
    <w:name w:val="heading 3"/>
    <w:basedOn w:val="1"/>
    <w:next w:val="1"/>
    <w:autoRedefine/>
    <w:qFormat/>
    <w:uiPriority w:val="0"/>
    <w:pPr>
      <w:keepNext/>
      <w:keepLines/>
      <w:spacing w:before="260" w:after="260" w:line="413" w:lineRule="auto"/>
      <w:outlineLvl w:val="2"/>
    </w:pPr>
    <w:rPr>
      <w:b/>
      <w:sz w:val="32"/>
    </w:rPr>
  </w:style>
  <w:style w:type="paragraph" w:styleId="6">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2">
    <w:name w:val="table of figures"/>
    <w:basedOn w:val="1"/>
    <w:next w:val="1"/>
    <w:autoRedefine/>
    <w:qFormat/>
    <w:uiPriority w:val="0"/>
    <w:pPr>
      <w:ind w:left="200" w:leftChars="200" w:hanging="200" w:hangingChars="200"/>
    </w:pPr>
  </w:style>
  <w:style w:type="paragraph" w:styleId="7">
    <w:name w:val="Normal Indent"/>
    <w:basedOn w:val="1"/>
    <w:autoRedefine/>
    <w:qFormat/>
    <w:uiPriority w:val="0"/>
    <w:pPr>
      <w:ind w:firstLine="420"/>
    </w:pPr>
    <w:rPr>
      <w:sz w:val="24"/>
      <w:szCs w:val="20"/>
    </w:rPr>
  </w:style>
  <w:style w:type="paragraph" w:styleId="8">
    <w:name w:val="annotation text"/>
    <w:basedOn w:val="1"/>
    <w:link w:val="70"/>
    <w:autoRedefine/>
    <w:qFormat/>
    <w:uiPriority w:val="0"/>
    <w:pPr>
      <w:jc w:val="left"/>
    </w:pPr>
  </w:style>
  <w:style w:type="paragraph" w:styleId="9">
    <w:name w:val="Body Text"/>
    <w:basedOn w:val="1"/>
    <w:next w:val="10"/>
    <w:autoRedefine/>
    <w:qFormat/>
    <w:uiPriority w:val="0"/>
    <w:rPr>
      <w:rFonts w:hint="eastAsia" w:ascii="宋体" w:hAnsi="宋体"/>
      <w:kern w:val="0"/>
      <w:sz w:val="22"/>
      <w:szCs w:val="22"/>
    </w:rPr>
  </w:style>
  <w:style w:type="paragraph" w:styleId="10">
    <w:name w:val="List Bullet 5"/>
    <w:basedOn w:val="1"/>
    <w:autoRedefine/>
    <w:qFormat/>
    <w:uiPriority w:val="0"/>
    <w:pPr>
      <w:numPr>
        <w:ilvl w:val="0"/>
        <w:numId w:val="1"/>
      </w:numPr>
    </w:pPr>
  </w:style>
  <w:style w:type="paragraph" w:styleId="11">
    <w:name w:val="Body Text Indent"/>
    <w:basedOn w:val="1"/>
    <w:next w:val="1"/>
    <w:autoRedefine/>
    <w:qFormat/>
    <w:uiPriority w:val="0"/>
    <w:pPr>
      <w:spacing w:before="60" w:line="460" w:lineRule="exact"/>
      <w:ind w:firstLine="540"/>
    </w:pPr>
    <w:rPr>
      <w:rFonts w:ascii="宋体"/>
      <w:sz w:val="28"/>
      <w:szCs w:val="20"/>
    </w:rPr>
  </w:style>
  <w:style w:type="paragraph" w:styleId="12">
    <w:name w:val="Plain Text"/>
    <w:basedOn w:val="1"/>
    <w:autoRedefine/>
    <w:qFormat/>
    <w:uiPriority w:val="0"/>
    <w:rPr>
      <w:rFonts w:ascii="宋体" w:hAnsi="Courier New"/>
      <w:sz w:val="24"/>
    </w:rPr>
  </w:style>
  <w:style w:type="paragraph" w:styleId="13">
    <w:name w:val="Body Text Indent 2"/>
    <w:basedOn w:val="1"/>
    <w:autoRedefine/>
    <w:qFormat/>
    <w:uiPriority w:val="0"/>
    <w:pPr>
      <w:spacing w:after="120" w:line="480" w:lineRule="auto"/>
      <w:ind w:left="420" w:leftChars="200"/>
    </w:pPr>
  </w:style>
  <w:style w:type="paragraph" w:styleId="14">
    <w:name w:val="Balloon Text"/>
    <w:basedOn w:val="1"/>
    <w:link w:val="69"/>
    <w:autoRedefine/>
    <w:qFormat/>
    <w:uiPriority w:val="0"/>
    <w:rPr>
      <w:sz w:val="18"/>
      <w:szCs w:val="18"/>
    </w:rPr>
  </w:style>
  <w:style w:type="paragraph" w:styleId="15">
    <w:name w:val="footer"/>
    <w:basedOn w:val="1"/>
    <w:link w:val="36"/>
    <w:autoRedefine/>
    <w:qFormat/>
    <w:uiPriority w:val="0"/>
    <w:pPr>
      <w:tabs>
        <w:tab w:val="center" w:pos="4153"/>
        <w:tab w:val="right" w:pos="8306"/>
      </w:tabs>
      <w:snapToGrid w:val="0"/>
      <w:jc w:val="left"/>
    </w:pPr>
    <w:rPr>
      <w:sz w:val="18"/>
    </w:rPr>
  </w:style>
  <w:style w:type="paragraph" w:styleId="1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List"/>
    <w:basedOn w:val="1"/>
    <w:autoRedefine/>
    <w:qFormat/>
    <w:uiPriority w:val="0"/>
    <w:pPr>
      <w:spacing w:line="320" w:lineRule="exact"/>
      <w:jc w:val="center"/>
    </w:pPr>
    <w:rPr>
      <w:sz w:val="20"/>
    </w:rPr>
  </w:style>
  <w:style w:type="paragraph" w:styleId="18">
    <w:name w:val="Body Text Indent 3"/>
    <w:basedOn w:val="1"/>
    <w:autoRedefine/>
    <w:qFormat/>
    <w:uiPriority w:val="0"/>
    <w:pPr>
      <w:spacing w:line="360" w:lineRule="auto"/>
      <w:ind w:firstLine="480" w:firstLineChars="200"/>
    </w:pPr>
    <w:rPr>
      <w:sz w:val="24"/>
    </w:rPr>
  </w:style>
  <w:style w:type="paragraph" w:styleId="19">
    <w:name w:val="toc 2"/>
    <w:basedOn w:val="1"/>
    <w:next w:val="1"/>
    <w:autoRedefine/>
    <w:qFormat/>
    <w:uiPriority w:val="0"/>
    <w:pPr>
      <w:ind w:left="420" w:leftChars="200"/>
    </w:pPr>
  </w:style>
  <w:style w:type="paragraph" w:styleId="20">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21">
    <w:name w:val="Normal (Web)"/>
    <w:basedOn w:val="1"/>
    <w:link w:val="35"/>
    <w:autoRedefine/>
    <w:qFormat/>
    <w:uiPriority w:val="0"/>
    <w:pPr>
      <w:widowControl/>
      <w:spacing w:beforeAutospacing="1" w:afterAutospacing="1"/>
      <w:jc w:val="left"/>
    </w:pPr>
    <w:rPr>
      <w:rFonts w:hint="eastAsia" w:ascii="宋体" w:hAnsi="宋体" w:eastAsia="宋体" w:cs="Times New Roman"/>
      <w:kern w:val="0"/>
      <w:sz w:val="24"/>
      <w:szCs w:val="20"/>
    </w:rPr>
  </w:style>
  <w:style w:type="paragraph" w:styleId="22">
    <w:name w:val="Title"/>
    <w:basedOn w:val="1"/>
    <w:next w:val="1"/>
    <w:autoRedefine/>
    <w:qFormat/>
    <w:uiPriority w:val="0"/>
    <w:rPr>
      <w:rFonts w:ascii="Cambria" w:hAnsi="Cambria"/>
      <w:b/>
      <w:bCs/>
      <w:sz w:val="28"/>
      <w:szCs w:val="32"/>
    </w:rPr>
  </w:style>
  <w:style w:type="paragraph" w:styleId="23">
    <w:name w:val="annotation subject"/>
    <w:basedOn w:val="8"/>
    <w:next w:val="8"/>
    <w:link w:val="71"/>
    <w:autoRedefine/>
    <w:qFormat/>
    <w:uiPriority w:val="0"/>
    <w:rPr>
      <w:b/>
      <w:bCs/>
    </w:rPr>
  </w:style>
  <w:style w:type="paragraph" w:styleId="24">
    <w:name w:val="Body Text First Indent"/>
    <w:basedOn w:val="9"/>
    <w:next w:val="1"/>
    <w:autoRedefine/>
    <w:qFormat/>
    <w:uiPriority w:val="0"/>
    <w:pPr>
      <w:spacing w:after="120"/>
      <w:ind w:firstLine="420" w:firstLineChars="100"/>
    </w:pPr>
    <w:rPr>
      <w:sz w:val="21"/>
      <w:szCs w:val="24"/>
    </w:rPr>
  </w:style>
  <w:style w:type="paragraph" w:styleId="25">
    <w:name w:val="Body Text First Indent 2"/>
    <w:basedOn w:val="11"/>
    <w:next w:val="1"/>
    <w:autoRedefine/>
    <w:unhideWhenUsed/>
    <w:qFormat/>
    <w:uiPriority w:val="0"/>
    <w:pPr>
      <w:ind w:firstLine="420" w:firstLineChars="200"/>
    </w:pPr>
  </w:style>
  <w:style w:type="table" w:styleId="27">
    <w:name w:val="Table Grid"/>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autoRedefine/>
    <w:qFormat/>
    <w:uiPriority w:val="22"/>
    <w:rPr>
      <w:b/>
      <w:bCs/>
    </w:rPr>
  </w:style>
  <w:style w:type="character" w:styleId="30">
    <w:name w:val="Hyperlink"/>
    <w:basedOn w:val="28"/>
    <w:autoRedefine/>
    <w:qFormat/>
    <w:uiPriority w:val="0"/>
    <w:rPr>
      <w:rFonts w:cs="Times New Roman"/>
      <w:color w:val="0000FF"/>
      <w:u w:val="single"/>
    </w:rPr>
  </w:style>
  <w:style w:type="character" w:styleId="31">
    <w:name w:val="annotation reference"/>
    <w:basedOn w:val="28"/>
    <w:autoRedefine/>
    <w:qFormat/>
    <w:uiPriority w:val="0"/>
    <w:rPr>
      <w:sz w:val="21"/>
      <w:szCs w:val="21"/>
    </w:rPr>
  </w:style>
  <w:style w:type="paragraph" w:customStyle="1" w:styleId="32">
    <w:name w:val="Default"/>
    <w:basedOn w:val="33"/>
    <w:autoRedefine/>
    <w:qFormat/>
    <w:uiPriority w:val="0"/>
    <w:pPr>
      <w:autoSpaceDE w:val="0"/>
      <w:autoSpaceDN w:val="0"/>
      <w:adjustRightInd w:val="0"/>
    </w:pPr>
    <w:rPr>
      <w:rFonts w:ascii="宋体" w:hAnsi="Times New Roman" w:cs="宋体"/>
      <w:sz w:val="24"/>
    </w:rPr>
  </w:style>
  <w:style w:type="paragraph" w:customStyle="1" w:styleId="33">
    <w:name w:val="批注文字1"/>
    <w:autoRedefine/>
    <w:qFormat/>
    <w:uiPriority w:val="0"/>
    <w:pPr>
      <w:widowControl w:val="0"/>
    </w:pPr>
    <w:rPr>
      <w:rFonts w:ascii="Calibri" w:hAnsi="Calibri" w:eastAsia="宋体" w:cs="Times New Roman"/>
      <w:color w:val="000000"/>
      <w:kern w:val="2"/>
      <w:sz w:val="21"/>
      <w:szCs w:val="24"/>
      <w:lang w:val="en-US" w:eastAsia="zh-CN" w:bidi="ar-SA"/>
    </w:rPr>
  </w:style>
  <w:style w:type="character" w:customStyle="1" w:styleId="34">
    <w:name w:val="页脚 Char"/>
    <w:basedOn w:val="28"/>
    <w:autoRedefine/>
    <w:qFormat/>
    <w:uiPriority w:val="0"/>
    <w:rPr>
      <w:sz w:val="18"/>
    </w:rPr>
  </w:style>
  <w:style w:type="character" w:customStyle="1" w:styleId="35">
    <w:name w:val="普通(网站) 字符"/>
    <w:basedOn w:val="28"/>
    <w:link w:val="21"/>
    <w:autoRedefine/>
    <w:qFormat/>
    <w:uiPriority w:val="0"/>
    <w:rPr>
      <w:rFonts w:hint="eastAsia" w:ascii="宋体" w:hAnsi="宋体" w:eastAsia="宋体" w:cs="宋体"/>
      <w:sz w:val="24"/>
    </w:rPr>
  </w:style>
  <w:style w:type="character" w:customStyle="1" w:styleId="36">
    <w:name w:val="页脚 字符"/>
    <w:basedOn w:val="28"/>
    <w:link w:val="15"/>
    <w:autoRedefine/>
    <w:qFormat/>
    <w:uiPriority w:val="0"/>
    <w:rPr>
      <w:kern w:val="2"/>
      <w:sz w:val="18"/>
      <w:szCs w:val="18"/>
    </w:rPr>
  </w:style>
  <w:style w:type="character" w:customStyle="1" w:styleId="37">
    <w:name w:val="表格 Char"/>
    <w:basedOn w:val="28"/>
    <w:link w:val="38"/>
    <w:autoRedefine/>
    <w:qFormat/>
    <w:uiPriority w:val="0"/>
    <w:rPr>
      <w:rFonts w:hint="eastAsia" w:ascii="宋体" w:hAnsi="宋体" w:eastAsia="宋体" w:cs="宋体"/>
      <w:sz w:val="21"/>
    </w:rPr>
  </w:style>
  <w:style w:type="paragraph" w:customStyle="1" w:styleId="38">
    <w:name w:val="表格"/>
    <w:basedOn w:val="7"/>
    <w:next w:val="1"/>
    <w:link w:val="37"/>
    <w:autoRedefine/>
    <w:qFormat/>
    <w:uiPriority w:val="0"/>
    <w:pPr>
      <w:adjustRightInd w:val="0"/>
      <w:snapToGrid w:val="0"/>
      <w:spacing w:beforeLines="10" w:line="256" w:lineRule="auto"/>
      <w:jc w:val="center"/>
    </w:pPr>
    <w:rPr>
      <w:rFonts w:hint="eastAsia" w:ascii="宋体" w:hAnsi="Times New Roman" w:eastAsia="宋体" w:cs="Times New Roman"/>
      <w:kern w:val="0"/>
      <w:sz w:val="21"/>
    </w:rPr>
  </w:style>
  <w:style w:type="paragraph" w:customStyle="1" w:styleId="39">
    <w:name w:val="Table Paragraph"/>
    <w:basedOn w:val="1"/>
    <w:autoRedefine/>
    <w:qFormat/>
    <w:uiPriority w:val="1"/>
    <w:rPr>
      <w:rFonts w:ascii="仿宋" w:hAnsi="仿宋" w:eastAsia="仿宋" w:cs="仿宋"/>
      <w:lang w:val="zh-CN" w:bidi="zh-CN"/>
    </w:rPr>
  </w:style>
  <w:style w:type="character" w:customStyle="1" w:styleId="40">
    <w:name w:val="正文文本 (2) + 10.5 pt"/>
    <w:autoRedefine/>
    <w:qFormat/>
    <w:uiPriority w:val="0"/>
    <w:rPr>
      <w:rFonts w:ascii="宋体" w:hAnsi="宋体" w:cs="宋体"/>
      <w:sz w:val="21"/>
      <w:szCs w:val="21"/>
      <w:u w:val="none"/>
      <w:lang w:bidi="ar-SA"/>
    </w:rPr>
  </w:style>
  <w:style w:type="paragraph" w:customStyle="1" w:styleId="41">
    <w:name w:val="正文文本 (2)1"/>
    <w:basedOn w:val="1"/>
    <w:autoRedefine/>
    <w:qFormat/>
    <w:uiPriority w:val="0"/>
    <w:pPr>
      <w:shd w:val="clear" w:color="auto" w:fill="FFFFFF"/>
      <w:spacing w:before="300" w:line="466" w:lineRule="exact"/>
      <w:ind w:hanging="600"/>
      <w:jc w:val="distribute"/>
    </w:pPr>
    <w:rPr>
      <w:rFonts w:ascii="宋体" w:hAnsi="宋体" w:eastAsia="Times New Roman"/>
      <w:kern w:val="0"/>
      <w:sz w:val="22"/>
      <w:szCs w:val="22"/>
    </w:rPr>
  </w:style>
  <w:style w:type="paragraph" w:customStyle="1" w:styleId="42">
    <w:name w:val="正文样式"/>
    <w:basedOn w:val="1"/>
    <w:autoRedefine/>
    <w:qFormat/>
    <w:uiPriority w:val="0"/>
    <w:pPr>
      <w:spacing w:line="460" w:lineRule="exact"/>
      <w:ind w:firstLine="200" w:firstLineChars="200"/>
    </w:pPr>
    <w:rPr>
      <w:rFonts w:hint="eastAsia" w:ascii="宋体" w:hAnsi="宋体"/>
      <w:sz w:val="24"/>
    </w:rPr>
  </w:style>
  <w:style w:type="paragraph" w:customStyle="1" w:styleId="43">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44">
    <w:name w:val="武大环评所正文"/>
    <w:basedOn w:val="1"/>
    <w:autoRedefine/>
    <w:qFormat/>
    <w:uiPriority w:val="0"/>
    <w:pPr>
      <w:spacing w:line="360" w:lineRule="auto"/>
      <w:ind w:firstLine="1040" w:firstLineChars="200"/>
    </w:pPr>
    <w:rPr>
      <w:rFonts w:ascii="Times New Roman" w:hAnsi="Times New Roman" w:eastAsia="楷体"/>
      <w:sz w:val="24"/>
    </w:rPr>
  </w:style>
  <w:style w:type="paragraph" w:styleId="45">
    <w:name w:val="No Spacing"/>
    <w:autoRedefine/>
    <w:qFormat/>
    <w:uiPriority w:val="0"/>
    <w:pPr>
      <w:widowControl w:val="0"/>
      <w:adjustRightInd w:val="0"/>
      <w:spacing w:line="360" w:lineRule="atLeast"/>
      <w:jc w:val="both"/>
      <w:textAlignment w:val="baseline"/>
    </w:pPr>
    <w:rPr>
      <w:rFonts w:ascii="Times New Roman" w:hAnsi="Times New Roman" w:eastAsia="宋体" w:cs="Times New Roman"/>
      <w:kern w:val="2"/>
      <w:sz w:val="24"/>
      <w:szCs w:val="24"/>
      <w:lang w:val="en-US" w:eastAsia="zh-CN" w:bidi="ar-SA"/>
    </w:rPr>
  </w:style>
  <w:style w:type="character" w:customStyle="1" w:styleId="46">
    <w:name w:val="font11"/>
    <w:basedOn w:val="28"/>
    <w:autoRedefine/>
    <w:qFormat/>
    <w:uiPriority w:val="0"/>
    <w:rPr>
      <w:rFonts w:hint="eastAsia" w:ascii="宋体" w:hAnsi="宋体" w:eastAsia="宋体" w:cs="宋体"/>
      <w:color w:val="000000"/>
      <w:sz w:val="24"/>
      <w:szCs w:val="24"/>
      <w:u w:val="none"/>
    </w:rPr>
  </w:style>
  <w:style w:type="paragraph" w:customStyle="1" w:styleId="47">
    <w:name w:val="！正文"/>
    <w:basedOn w:val="1"/>
    <w:autoRedefine/>
    <w:qFormat/>
    <w:uiPriority w:val="0"/>
    <w:pPr>
      <w:spacing w:line="400" w:lineRule="exact"/>
      <w:ind w:firstLine="200" w:firstLineChars="200"/>
    </w:pPr>
    <w:rPr>
      <w:rFonts w:ascii="Calibri" w:hAnsi="Calibri" w:eastAsia="宋体"/>
      <w:sz w:val="24"/>
    </w:rPr>
  </w:style>
  <w:style w:type="paragraph" w:customStyle="1" w:styleId="48">
    <w:name w:val="表格内容"/>
    <w:basedOn w:val="1"/>
    <w:autoRedefine/>
    <w:qFormat/>
    <w:uiPriority w:val="0"/>
    <w:pPr>
      <w:tabs>
        <w:tab w:val="left" w:pos="2340"/>
      </w:tabs>
      <w:snapToGrid w:val="0"/>
      <w:jc w:val="center"/>
    </w:pPr>
    <w:rPr>
      <w:rFonts w:hAnsi="宋体"/>
      <w:kern w:val="0"/>
      <w:sz w:val="20"/>
      <w:szCs w:val="20"/>
    </w:rPr>
  </w:style>
  <w:style w:type="paragraph" w:customStyle="1" w:styleId="49">
    <w:name w:val="标准段落"/>
    <w:basedOn w:val="1"/>
    <w:next w:val="1"/>
    <w:autoRedefine/>
    <w:qFormat/>
    <w:uiPriority w:val="0"/>
    <w:pPr>
      <w:spacing w:line="360" w:lineRule="auto"/>
      <w:ind w:firstLine="480" w:firstLineChars="200"/>
    </w:pPr>
    <w:rPr>
      <w:rFonts w:ascii="宋体" w:hAnsi="宋体"/>
      <w:color w:val="000000"/>
      <w:kern w:val="0"/>
      <w:sz w:val="24"/>
    </w:rPr>
  </w:style>
  <w:style w:type="paragraph" w:customStyle="1" w:styleId="50">
    <w:name w:val="报告正文"/>
    <w:basedOn w:val="1"/>
    <w:autoRedefine/>
    <w:qFormat/>
    <w:uiPriority w:val="0"/>
    <w:pPr>
      <w:adjustRightInd w:val="0"/>
      <w:snapToGrid w:val="0"/>
      <w:spacing w:line="360" w:lineRule="auto"/>
      <w:ind w:firstLine="200" w:firstLineChars="200"/>
    </w:pPr>
    <w:rPr>
      <w:rFonts w:ascii="宋体"/>
      <w:sz w:val="24"/>
      <w:szCs w:val="20"/>
    </w:rPr>
  </w:style>
  <w:style w:type="paragraph" w:customStyle="1" w:styleId="51">
    <w:name w:val="表头1"/>
    <w:basedOn w:val="1"/>
    <w:autoRedefine/>
    <w:qFormat/>
    <w:uiPriority w:val="0"/>
    <w:pPr>
      <w:jc w:val="center"/>
    </w:pPr>
    <w:rPr>
      <w:rFonts w:eastAsia="黑体"/>
      <w:szCs w:val="20"/>
    </w:rPr>
  </w:style>
  <w:style w:type="paragraph" w:customStyle="1" w:styleId="52">
    <w:name w:val="我正文"/>
    <w:basedOn w:val="1"/>
    <w:autoRedefine/>
    <w:qFormat/>
    <w:uiPriority w:val="0"/>
    <w:pPr>
      <w:spacing w:line="360" w:lineRule="auto"/>
      <w:ind w:firstLine="480" w:firstLineChars="200"/>
    </w:pPr>
    <w:rPr>
      <w:sz w:val="24"/>
      <w:szCs w:val="20"/>
    </w:rPr>
  </w:style>
  <w:style w:type="paragraph" w:customStyle="1" w:styleId="53">
    <w:name w:val="君邦正文"/>
    <w:autoRedefine/>
    <w:qFormat/>
    <w:uiPriority w:val="0"/>
    <w:pPr>
      <w:spacing w:line="360" w:lineRule="auto"/>
      <w:ind w:left="-4" w:leftChars="-2" w:firstLine="480" w:firstLineChars="200"/>
      <w:jc w:val="both"/>
    </w:pPr>
    <w:rPr>
      <w:rFonts w:ascii="宋体" w:hAnsi="宋体" w:eastAsia="宋体" w:cs="Times New Roman"/>
      <w:kern w:val="2"/>
      <w:sz w:val="24"/>
      <w:lang w:val="en-US" w:eastAsia="zh-CN" w:bidi="ar-SA"/>
    </w:rPr>
  </w:style>
  <w:style w:type="paragraph" w:styleId="54">
    <w:name w:val="List Paragraph"/>
    <w:basedOn w:val="1"/>
    <w:autoRedefine/>
    <w:qFormat/>
    <w:uiPriority w:val="1"/>
    <w:pPr>
      <w:ind w:left="1333" w:hanging="602"/>
    </w:pPr>
    <w:rPr>
      <w:rFonts w:ascii="宋体" w:hAnsi="宋体" w:eastAsia="宋体" w:cs="宋体"/>
      <w:lang w:val="zh-CN" w:bidi="zh-CN"/>
    </w:rPr>
  </w:style>
  <w:style w:type="paragraph" w:customStyle="1" w:styleId="55">
    <w:name w:val="p0"/>
    <w:basedOn w:val="1"/>
    <w:autoRedefine/>
    <w:qFormat/>
    <w:uiPriority w:val="0"/>
    <w:pPr>
      <w:widowControl/>
      <w:spacing w:line="360" w:lineRule="auto"/>
    </w:pPr>
    <w:rPr>
      <w:rFonts w:ascii="Calibri" w:hAnsi="Calibri"/>
      <w:szCs w:val="21"/>
    </w:rPr>
  </w:style>
  <w:style w:type="paragraph" w:customStyle="1" w:styleId="56">
    <w:name w:val="..正文"/>
    <w:autoRedefine/>
    <w:qFormat/>
    <w:uiPriority w:val="0"/>
    <w:pPr>
      <w:spacing w:line="480" w:lineRule="exact"/>
      <w:ind w:firstLine="200" w:firstLineChars="200"/>
      <w:jc w:val="both"/>
    </w:pPr>
    <w:rPr>
      <w:rFonts w:ascii="Times New Roman" w:hAnsi="Times New Roman" w:eastAsia="宋体" w:cs="Times New Roman"/>
      <w:sz w:val="24"/>
      <w:szCs w:val="24"/>
      <w:lang w:val="en-US" w:eastAsia="zh-CN" w:bidi="ar-SA"/>
    </w:rPr>
  </w:style>
  <w:style w:type="character" w:customStyle="1" w:styleId="57">
    <w:name w:val="正文文本 (2) + Georgia23"/>
    <w:autoRedefine/>
    <w:qFormat/>
    <w:uiPriority w:val="0"/>
    <w:rPr>
      <w:rFonts w:ascii="Georgia" w:hAnsi="Georgia" w:cs="Georgia"/>
      <w:sz w:val="19"/>
      <w:szCs w:val="19"/>
      <w:u w:val="none"/>
      <w:lang w:val="en-US" w:eastAsia="en-US" w:bidi="ar-SA"/>
    </w:rPr>
  </w:style>
  <w:style w:type="paragraph" w:customStyle="1" w:styleId="58">
    <w:name w:val="无间隔表格内"/>
    <w:basedOn w:val="59"/>
    <w:autoRedefine/>
    <w:qFormat/>
    <w:uiPriority w:val="0"/>
    <w:rPr>
      <w:b w:val="0"/>
    </w:rPr>
  </w:style>
  <w:style w:type="paragraph" w:customStyle="1" w:styleId="59">
    <w:name w:val="表   头"/>
    <w:basedOn w:val="1"/>
    <w:autoRedefine/>
    <w:qFormat/>
    <w:uiPriority w:val="0"/>
    <w:pPr>
      <w:snapToGrid w:val="0"/>
      <w:jc w:val="center"/>
    </w:pPr>
    <w:rPr>
      <w:b/>
    </w:rPr>
  </w:style>
  <w:style w:type="paragraph" w:customStyle="1" w:styleId="60">
    <w:name w:val="Other|1"/>
    <w:basedOn w:val="1"/>
    <w:autoRedefine/>
    <w:qFormat/>
    <w:uiPriority w:val="0"/>
    <w:pPr>
      <w:jc w:val="center"/>
    </w:pPr>
    <w:rPr>
      <w:color w:val="191520"/>
      <w:lang w:val="zh-TW" w:eastAsia="zh-TW" w:bidi="zh-TW"/>
    </w:rPr>
  </w:style>
  <w:style w:type="paragraph" w:customStyle="1" w:styleId="61">
    <w:name w:val="表头"/>
    <w:basedOn w:val="9"/>
    <w:next w:val="1"/>
    <w:autoRedefine/>
    <w:qFormat/>
    <w:uiPriority w:val="0"/>
    <w:pPr>
      <w:adjustRightInd w:val="0"/>
      <w:spacing w:line="320" w:lineRule="atLeast"/>
      <w:jc w:val="center"/>
      <w:textAlignment w:val="baseline"/>
    </w:pPr>
    <w:rPr>
      <w:rFonts w:eastAsia="黑体"/>
      <w:spacing w:val="-10"/>
      <w:szCs w:val="20"/>
    </w:rPr>
  </w:style>
  <w:style w:type="paragraph" w:customStyle="1" w:styleId="62">
    <w:name w:val="表格文字我要的"/>
    <w:basedOn w:val="1"/>
    <w:autoRedefine/>
    <w:qFormat/>
    <w:uiPriority w:val="0"/>
    <w:pPr>
      <w:jc w:val="center"/>
    </w:pPr>
    <w:rPr>
      <w:kern w:val="0"/>
      <w:szCs w:val="21"/>
    </w:rPr>
  </w:style>
  <w:style w:type="paragraph" w:customStyle="1" w:styleId="63">
    <w:name w:val="正文(首行缩进)"/>
    <w:basedOn w:val="1"/>
    <w:autoRedefine/>
    <w:qFormat/>
    <w:uiPriority w:val="0"/>
    <w:pPr>
      <w:tabs>
        <w:tab w:val="left" w:pos="4584"/>
      </w:tabs>
      <w:adjustRightInd w:val="0"/>
      <w:snapToGrid w:val="0"/>
      <w:spacing w:line="360" w:lineRule="auto"/>
      <w:ind w:firstLine="200" w:firstLineChars="200"/>
    </w:pPr>
    <w:rPr>
      <w:bCs/>
      <w:snapToGrid w:val="0"/>
      <w:kern w:val="0"/>
      <w:sz w:val="24"/>
    </w:rPr>
  </w:style>
  <w:style w:type="paragraph" w:customStyle="1" w:styleId="64">
    <w:name w:val="【表中文字】"/>
    <w:basedOn w:val="1"/>
    <w:next w:val="65"/>
    <w:autoRedefine/>
    <w:qFormat/>
    <w:uiPriority w:val="0"/>
    <w:pPr>
      <w:jc w:val="center"/>
    </w:pPr>
    <w:rPr>
      <w:szCs w:val="20"/>
    </w:rPr>
  </w:style>
  <w:style w:type="paragraph" w:customStyle="1" w:styleId="65">
    <w:name w:val="正文缩进1"/>
    <w:basedOn w:val="1"/>
    <w:next w:val="1"/>
    <w:autoRedefine/>
    <w:qFormat/>
    <w:uiPriority w:val="0"/>
    <w:pPr>
      <w:ind w:firstLine="420" w:firstLineChars="200"/>
    </w:pPr>
    <w:rPr>
      <w:rFonts w:ascii="宋体" w:hAnsi="Calibri"/>
      <w:sz w:val="28"/>
    </w:rPr>
  </w:style>
  <w:style w:type="paragraph" w:customStyle="1" w:styleId="66">
    <w:name w:val="表内1号"/>
    <w:autoRedefine/>
    <w:qFormat/>
    <w:uiPriority w:val="0"/>
    <w:pPr>
      <w:adjustRightInd w:val="0"/>
      <w:snapToGrid w:val="0"/>
      <w:jc w:val="center"/>
    </w:pPr>
    <w:rPr>
      <w:rFonts w:ascii="Times New Roman" w:hAnsi="Times New Roman" w:eastAsia="宋体" w:cs="Times New Roman"/>
      <w:kern w:val="2"/>
      <w:sz w:val="21"/>
      <w:szCs w:val="21"/>
      <w:lang w:val="en-US" w:eastAsia="zh-CN" w:bidi="ar-SA"/>
    </w:rPr>
  </w:style>
  <w:style w:type="paragraph" w:customStyle="1" w:styleId="67">
    <w:name w:val="Normal Indent1"/>
    <w:autoRedefine/>
    <w:qFormat/>
    <w:uiPriority w:val="0"/>
    <w:pPr>
      <w:widowControl w:val="0"/>
      <w:ind w:firstLine="200" w:firstLineChars="200"/>
      <w:jc w:val="both"/>
    </w:pPr>
    <w:rPr>
      <w:rFonts w:ascii="Times New Roman" w:hAnsi="Times New Roman" w:eastAsia="楷体_GB2312" w:cs="Times New Roman"/>
      <w:kern w:val="2"/>
      <w:sz w:val="21"/>
      <w:szCs w:val="24"/>
      <w:lang w:val="en-US" w:eastAsia="zh-CN" w:bidi="ar-SA"/>
    </w:rPr>
  </w:style>
  <w:style w:type="character" w:customStyle="1" w:styleId="68">
    <w:name w:val="正文文本 (2) + 粗体"/>
    <w:qFormat/>
    <w:uiPriority w:val="0"/>
    <w:rPr>
      <w:rFonts w:cs="宋体"/>
      <w:b/>
      <w:bCs/>
      <w:u w:val="none"/>
      <w:lang w:eastAsia="en-US"/>
    </w:rPr>
  </w:style>
  <w:style w:type="character" w:customStyle="1" w:styleId="69">
    <w:name w:val="批注框文本 字符"/>
    <w:basedOn w:val="28"/>
    <w:link w:val="14"/>
    <w:qFormat/>
    <w:uiPriority w:val="0"/>
    <w:rPr>
      <w:rFonts w:asciiTheme="minorHAnsi" w:hAnsiTheme="minorHAnsi" w:eastAsiaTheme="minorEastAsia" w:cstheme="minorBidi"/>
      <w:kern w:val="2"/>
      <w:sz w:val="18"/>
      <w:szCs w:val="18"/>
    </w:rPr>
  </w:style>
  <w:style w:type="character" w:customStyle="1" w:styleId="70">
    <w:name w:val="批注文字 字符"/>
    <w:basedOn w:val="28"/>
    <w:link w:val="8"/>
    <w:qFormat/>
    <w:uiPriority w:val="0"/>
    <w:rPr>
      <w:rFonts w:asciiTheme="minorHAnsi" w:hAnsiTheme="minorHAnsi" w:eastAsiaTheme="minorEastAsia" w:cstheme="minorBidi"/>
      <w:kern w:val="2"/>
      <w:sz w:val="21"/>
      <w:szCs w:val="24"/>
    </w:rPr>
  </w:style>
  <w:style w:type="character" w:customStyle="1" w:styleId="71">
    <w:name w:val="批注主题 字符"/>
    <w:basedOn w:val="70"/>
    <w:link w:val="23"/>
    <w:qFormat/>
    <w:uiPriority w:val="0"/>
    <w:rPr>
      <w:rFonts w:asciiTheme="minorHAnsi" w:hAnsiTheme="minorHAnsi" w:eastAsiaTheme="minorEastAsia" w:cstheme="minorBidi"/>
      <w:b/>
      <w:bCs/>
      <w:kern w:val="2"/>
      <w:sz w:val="21"/>
      <w:szCs w:val="24"/>
    </w:rPr>
  </w:style>
  <w:style w:type="paragraph" w:customStyle="1" w:styleId="72">
    <w:name w:val="ds-markdown-paragraph"/>
    <w:basedOn w:val="1"/>
    <w:qFormat/>
    <w:uiPriority w:val="0"/>
    <w:pPr>
      <w:widowControl/>
      <w:spacing w:before="100" w:beforeAutospacing="1" w:after="100" w:afterAutospacing="1"/>
      <w:jc w:val="left"/>
    </w:pPr>
    <w:rPr>
      <w:rFonts w:ascii="宋体" w:hAnsi="宋体"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microsoft.com/office/2011/relationships/commentsExtended" Target="commentsExtended.xml"/><Relationship Id="rId31" Type="http://schemas.microsoft.com/office/2011/relationships/people" Target="people.xml"/><Relationship Id="rId30" Type="http://schemas.openxmlformats.org/officeDocument/2006/relationships/fontTable" Target="fontTable.xml"/><Relationship Id="rId3" Type="http://schemas.openxmlformats.org/officeDocument/2006/relationships/comments" Target="comment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w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75</Pages>
  <Words>2899</Words>
  <Characters>3060</Characters>
  <Lines>353</Lines>
  <Paragraphs>99</Paragraphs>
  <TotalTime>4</TotalTime>
  <ScaleCrop>false</ScaleCrop>
  <LinksUpToDate>false</LinksUpToDate>
  <CharactersWithSpaces>3109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2025-05-16T17:42:00Z</dcterms:created>
  <dc:creator>Administrator</dc:creator>
  <cp:lastModifiedBy>此时此刻</cp:lastModifiedBy>
  <cp:lastPrinted>2024-10-31T16:43:00Z</cp:lastPrinted>
  <dcterms:modified xsi:type="dcterms:W3CDTF">2025-06-25T01:08:49Z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67F325D339A2D574201B56689B9E815E_43</vt:lpwstr>
  </property>
  <property fmtid="{D5CDD505-2E9C-101B-9397-08002B2CF9AE}" pid="4" name="KSOTemplateDocerSaveRecord">
    <vt:lpwstr>eyJoZGlkIjoiM2FjMjU5MzZlZWUzZjA5NTc5Yzc4NmI5MTNiNTM3YTkiLCJ1c2VySWQiOiI3MDQ2OTQwMjIifQ==</vt:lpwstr>
  </property>
</Properties>
</file>